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C8CE" w14:textId="0FE4E44C" w:rsidR="005360C4" w:rsidRPr="007B2273" w:rsidRDefault="005360C4" w:rsidP="007B2273">
      <w:pPr>
        <w:spacing w:after="0" w:line="276" w:lineRule="auto"/>
        <w:ind w:right="-144"/>
        <w:jc w:val="both"/>
        <w:rPr>
          <w:rFonts w:ascii="Lucida Sans Unicode" w:hAnsi="Lucida Sans Unicode" w:cs="Lucida Sans Unicode"/>
          <w:b/>
          <w:bCs/>
          <w:sz w:val="21"/>
          <w:szCs w:val="21"/>
        </w:rPr>
      </w:pPr>
      <w:r w:rsidRPr="007B2273">
        <w:rPr>
          <w:rFonts w:ascii="Lucida Sans Unicode" w:hAnsi="Lucida Sans Unicode" w:cs="Lucida Sans Unicode"/>
          <w:b/>
          <w:bCs/>
          <w:sz w:val="21"/>
          <w:szCs w:val="21"/>
        </w:rPr>
        <w:t xml:space="preserve">VOTO PARTICULAR QUE EMITE LA CONSEJERA SILVIA GUADALUPE BUSTOS VÁSQUEZ RESPECTO DEL </w:t>
      </w:r>
      <w:r w:rsidR="007C1D45" w:rsidRPr="007B2273">
        <w:rPr>
          <w:rFonts w:ascii="Lucida Sans Unicode" w:hAnsi="Lucida Sans Unicode" w:cs="Lucida Sans Unicode"/>
          <w:b/>
          <w:bCs/>
          <w:sz w:val="21"/>
          <w:szCs w:val="21"/>
        </w:rPr>
        <w:t xml:space="preserve">ACUERDO </w:t>
      </w:r>
      <w:r w:rsidRPr="007B2273">
        <w:rPr>
          <w:rFonts w:ascii="Lucida Sans Unicode" w:hAnsi="Lucida Sans Unicode" w:cs="Lucida Sans Unicode"/>
          <w:b/>
          <w:bCs/>
          <w:sz w:val="21"/>
          <w:szCs w:val="21"/>
        </w:rPr>
        <w:t>QUE APRUEBA LOS LINEAMIENTOS QUE REGULAN EL DESARROLLO DE LAS SESIONES DE CÓMPUTOS DEL INSTITUTO ELECTORAL Y DE PARTICIPACIÓN CIUDADANA DEL ESTADO DE JALISCO, Y EL CUADERNILLO DE CONSULTA SOBRE VOTOS VÁLIDOS Y VOTOS NULOS PARA EL PROCESO ELECTORAL LOCAL CONCURRENTE 2023-2024</w:t>
      </w:r>
    </w:p>
    <w:p w14:paraId="45DF0B53" w14:textId="77777777" w:rsidR="005360C4" w:rsidRPr="007C1D45" w:rsidRDefault="005360C4" w:rsidP="007B2273">
      <w:pPr>
        <w:spacing w:after="0" w:line="276" w:lineRule="auto"/>
        <w:ind w:right="-144"/>
        <w:jc w:val="both"/>
        <w:rPr>
          <w:rFonts w:ascii="Century Gothic" w:hAnsi="Century Gothic" w:cs="Lucida Sans Unicode"/>
          <w:b/>
          <w:bCs/>
          <w:sz w:val="24"/>
          <w:szCs w:val="24"/>
        </w:rPr>
      </w:pPr>
    </w:p>
    <w:p w14:paraId="6BFB805E" w14:textId="6831104C" w:rsidR="005360C4" w:rsidRPr="007B2273" w:rsidRDefault="005360C4" w:rsidP="007B2273">
      <w:pPr>
        <w:spacing w:after="0" w:line="276" w:lineRule="auto"/>
        <w:ind w:right="-144"/>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De conformidad con el artículo 50, párrafos 1 y 4 del Reglamento de sesiones del Consejo Electoral y de Participación Ciudadana del Estado de Jalisco, la suscrita Consejera Silvia Guadalupe Bustos Vásquez emito </w:t>
      </w:r>
      <w:r w:rsidRPr="007B2273">
        <w:rPr>
          <w:rFonts w:ascii="Lucida Sans Unicode" w:hAnsi="Lucida Sans Unicode" w:cs="Lucida Sans Unicode"/>
          <w:b/>
          <w:bCs/>
          <w:sz w:val="21"/>
          <w:szCs w:val="21"/>
        </w:rPr>
        <w:t>VOTO PARTICULAR</w:t>
      </w:r>
      <w:r w:rsidRPr="007B2273">
        <w:rPr>
          <w:rFonts w:ascii="Lucida Sans Unicode" w:hAnsi="Lucida Sans Unicode" w:cs="Lucida Sans Unicode"/>
          <w:sz w:val="21"/>
          <w:szCs w:val="21"/>
        </w:rPr>
        <w:t xml:space="preserve"> respecto del </w:t>
      </w:r>
      <w:r w:rsidR="007C1D45" w:rsidRPr="007B2273">
        <w:rPr>
          <w:rFonts w:ascii="Lucida Sans Unicode" w:hAnsi="Lucida Sans Unicode" w:cs="Lucida Sans Unicode"/>
          <w:sz w:val="21"/>
          <w:szCs w:val="21"/>
        </w:rPr>
        <w:t xml:space="preserve">acuerdo </w:t>
      </w:r>
      <w:r w:rsidRPr="007B2273">
        <w:rPr>
          <w:rFonts w:ascii="Lucida Sans Unicode" w:hAnsi="Lucida Sans Unicode" w:cs="Lucida Sans Unicode"/>
          <w:sz w:val="21"/>
          <w:szCs w:val="21"/>
        </w:rPr>
        <w:t xml:space="preserve">que aprueba los lineamientos que regulan el desarrollo de las sesiones de cómputos del </w:t>
      </w:r>
      <w:r w:rsidR="004E6F28" w:rsidRPr="007B2273">
        <w:rPr>
          <w:rFonts w:ascii="Lucida Sans Unicode" w:hAnsi="Lucida Sans Unicode" w:cs="Lucida Sans Unicode"/>
          <w:sz w:val="21"/>
          <w:szCs w:val="21"/>
        </w:rPr>
        <w:t>I</w:t>
      </w:r>
      <w:r w:rsidRPr="007B2273">
        <w:rPr>
          <w:rFonts w:ascii="Lucida Sans Unicode" w:hAnsi="Lucida Sans Unicode" w:cs="Lucida Sans Unicode"/>
          <w:sz w:val="21"/>
          <w:szCs w:val="21"/>
        </w:rPr>
        <w:t xml:space="preserve">nstituto </w:t>
      </w:r>
      <w:r w:rsidR="004E6F28" w:rsidRPr="007B2273">
        <w:rPr>
          <w:rFonts w:ascii="Lucida Sans Unicode" w:hAnsi="Lucida Sans Unicode" w:cs="Lucida Sans Unicode"/>
          <w:sz w:val="21"/>
          <w:szCs w:val="21"/>
        </w:rPr>
        <w:t>E</w:t>
      </w:r>
      <w:r w:rsidRPr="007B2273">
        <w:rPr>
          <w:rFonts w:ascii="Lucida Sans Unicode" w:hAnsi="Lucida Sans Unicode" w:cs="Lucida Sans Unicode"/>
          <w:sz w:val="21"/>
          <w:szCs w:val="21"/>
        </w:rPr>
        <w:t xml:space="preserve">lectoral y de </w:t>
      </w:r>
      <w:r w:rsidR="004E6F28" w:rsidRPr="007B2273">
        <w:rPr>
          <w:rFonts w:ascii="Lucida Sans Unicode" w:hAnsi="Lucida Sans Unicode" w:cs="Lucida Sans Unicode"/>
          <w:sz w:val="21"/>
          <w:szCs w:val="21"/>
        </w:rPr>
        <w:t>P</w:t>
      </w:r>
      <w:r w:rsidRPr="007B2273">
        <w:rPr>
          <w:rFonts w:ascii="Lucida Sans Unicode" w:hAnsi="Lucida Sans Unicode" w:cs="Lucida Sans Unicode"/>
          <w:sz w:val="21"/>
          <w:szCs w:val="21"/>
        </w:rPr>
        <w:t xml:space="preserve">articipación </w:t>
      </w:r>
      <w:r w:rsidR="004E6F28" w:rsidRPr="007B2273">
        <w:rPr>
          <w:rFonts w:ascii="Lucida Sans Unicode" w:hAnsi="Lucida Sans Unicode" w:cs="Lucida Sans Unicode"/>
          <w:sz w:val="21"/>
          <w:szCs w:val="21"/>
        </w:rPr>
        <w:t>C</w:t>
      </w:r>
      <w:r w:rsidRPr="007B2273">
        <w:rPr>
          <w:rFonts w:ascii="Lucida Sans Unicode" w:hAnsi="Lucida Sans Unicode" w:cs="Lucida Sans Unicode"/>
          <w:sz w:val="21"/>
          <w:szCs w:val="21"/>
        </w:rPr>
        <w:t xml:space="preserve">iudadana del </w:t>
      </w:r>
      <w:r w:rsidR="004E6F28" w:rsidRPr="007B2273">
        <w:rPr>
          <w:rFonts w:ascii="Lucida Sans Unicode" w:hAnsi="Lucida Sans Unicode" w:cs="Lucida Sans Unicode"/>
          <w:sz w:val="21"/>
          <w:szCs w:val="21"/>
        </w:rPr>
        <w:t>E</w:t>
      </w:r>
      <w:r w:rsidRPr="007B2273">
        <w:rPr>
          <w:rFonts w:ascii="Lucida Sans Unicode" w:hAnsi="Lucida Sans Unicode" w:cs="Lucida Sans Unicode"/>
          <w:sz w:val="21"/>
          <w:szCs w:val="21"/>
        </w:rPr>
        <w:t xml:space="preserve">stado de </w:t>
      </w:r>
      <w:r w:rsidR="004E6F28" w:rsidRPr="007B2273">
        <w:rPr>
          <w:rFonts w:ascii="Lucida Sans Unicode" w:hAnsi="Lucida Sans Unicode" w:cs="Lucida Sans Unicode"/>
          <w:sz w:val="21"/>
          <w:szCs w:val="21"/>
        </w:rPr>
        <w:t>J</w:t>
      </w:r>
      <w:r w:rsidRPr="007B2273">
        <w:rPr>
          <w:rFonts w:ascii="Lucida Sans Unicode" w:hAnsi="Lucida Sans Unicode" w:cs="Lucida Sans Unicode"/>
          <w:sz w:val="21"/>
          <w:szCs w:val="21"/>
        </w:rPr>
        <w:t>alisco, y el cuadernillo de consulta sobre votos válidos y votos nulos para el proceso electoral local concurrente 2023-2024</w:t>
      </w:r>
      <w:r w:rsidR="0093615D" w:rsidRPr="007B2273">
        <w:rPr>
          <w:rFonts w:ascii="Lucida Sans Unicode" w:hAnsi="Lucida Sans Unicode" w:cs="Lucida Sans Unicode"/>
          <w:sz w:val="21"/>
          <w:szCs w:val="21"/>
        </w:rPr>
        <w:t>,</w:t>
      </w:r>
      <w:r w:rsidRPr="007B2273">
        <w:rPr>
          <w:rFonts w:ascii="Lucida Sans Unicode" w:hAnsi="Lucida Sans Unicode" w:cs="Lucida Sans Unicode"/>
          <w:sz w:val="21"/>
          <w:szCs w:val="21"/>
        </w:rPr>
        <w:t xml:space="preserve"> </w:t>
      </w:r>
      <w:r w:rsidRPr="007B2273">
        <w:rPr>
          <w:rFonts w:ascii="Lucida Sans Unicode" w:eastAsia="Trebuchet MS" w:hAnsi="Lucida Sans Unicode" w:cs="Lucida Sans Unicode"/>
          <w:bCs/>
          <w:iCs/>
          <w:sz w:val="21"/>
          <w:szCs w:val="21"/>
        </w:rPr>
        <w:t xml:space="preserve">aprobado por mayoría de las consejerías presentes en la </w:t>
      </w:r>
      <w:r w:rsidR="0093615D" w:rsidRPr="007B2273">
        <w:rPr>
          <w:rFonts w:ascii="Lucida Sans Unicode" w:eastAsia="Trebuchet MS" w:hAnsi="Lucida Sans Unicode" w:cs="Lucida Sans Unicode"/>
          <w:bCs/>
          <w:iCs/>
          <w:sz w:val="21"/>
          <w:szCs w:val="21"/>
        </w:rPr>
        <w:t xml:space="preserve">décima </w:t>
      </w:r>
      <w:r w:rsidRPr="007B2273">
        <w:rPr>
          <w:rFonts w:ascii="Lucida Sans Unicode" w:eastAsia="Trebuchet MS" w:hAnsi="Lucida Sans Unicode" w:cs="Lucida Sans Unicode"/>
          <w:bCs/>
          <w:iCs/>
          <w:sz w:val="21"/>
          <w:szCs w:val="21"/>
        </w:rPr>
        <w:t xml:space="preserve">sesión extraordinaria de </w:t>
      </w:r>
      <w:r w:rsidR="0093615D" w:rsidRPr="007B2273">
        <w:rPr>
          <w:rFonts w:ascii="Lucida Sans Unicode" w:eastAsia="Trebuchet MS" w:hAnsi="Lucida Sans Unicode" w:cs="Lucida Sans Unicode"/>
          <w:bCs/>
          <w:iCs/>
          <w:sz w:val="21"/>
          <w:szCs w:val="21"/>
        </w:rPr>
        <w:t xml:space="preserve">veintiuno de febrero de </w:t>
      </w:r>
      <w:r w:rsidRPr="007B2273">
        <w:rPr>
          <w:rFonts w:ascii="Lucida Sans Unicode" w:eastAsia="Trebuchet MS" w:hAnsi="Lucida Sans Unicode" w:cs="Lucida Sans Unicode"/>
          <w:bCs/>
          <w:iCs/>
          <w:sz w:val="21"/>
          <w:szCs w:val="21"/>
        </w:rPr>
        <w:t>dos mil veinti</w:t>
      </w:r>
      <w:r w:rsidR="0093615D" w:rsidRPr="007B2273">
        <w:rPr>
          <w:rFonts w:ascii="Lucida Sans Unicode" w:eastAsia="Trebuchet MS" w:hAnsi="Lucida Sans Unicode" w:cs="Lucida Sans Unicode"/>
          <w:bCs/>
          <w:iCs/>
          <w:sz w:val="21"/>
          <w:szCs w:val="21"/>
        </w:rPr>
        <w:t>cuatro</w:t>
      </w:r>
      <w:r w:rsidRPr="007B2273">
        <w:rPr>
          <w:rFonts w:ascii="Lucida Sans Unicode" w:eastAsia="Trebuchet MS" w:hAnsi="Lucida Sans Unicode" w:cs="Lucida Sans Unicode"/>
          <w:bCs/>
          <w:iCs/>
          <w:sz w:val="21"/>
          <w:szCs w:val="21"/>
        </w:rPr>
        <w:t>.</w:t>
      </w:r>
    </w:p>
    <w:p w14:paraId="5FBF95AD" w14:textId="2A788B0A" w:rsidR="005360C4" w:rsidRPr="007B2273" w:rsidRDefault="005360C4" w:rsidP="007B2273">
      <w:pPr>
        <w:spacing w:after="0" w:line="276" w:lineRule="auto"/>
        <w:ind w:right="-144"/>
        <w:jc w:val="both"/>
        <w:rPr>
          <w:rFonts w:ascii="Lucida Sans Unicode" w:hAnsi="Lucida Sans Unicode" w:cs="Lucida Sans Unicode"/>
          <w:sz w:val="21"/>
          <w:szCs w:val="21"/>
        </w:rPr>
      </w:pPr>
    </w:p>
    <w:p w14:paraId="542B7190" w14:textId="72EEB264" w:rsidR="007C1D45" w:rsidRPr="007B2273" w:rsidRDefault="007C1D45" w:rsidP="007B2273">
      <w:pPr>
        <w:spacing w:after="0" w:line="276" w:lineRule="auto"/>
        <w:ind w:right="-144"/>
        <w:jc w:val="both"/>
        <w:rPr>
          <w:rFonts w:ascii="Lucida Sans Unicode" w:hAnsi="Lucida Sans Unicode" w:cs="Lucida Sans Unicode"/>
          <w:sz w:val="21"/>
          <w:szCs w:val="21"/>
        </w:rPr>
      </w:pPr>
      <w:r w:rsidRPr="007B2273">
        <w:rPr>
          <w:rFonts w:ascii="Lucida Sans Unicode" w:hAnsi="Lucida Sans Unicode" w:cs="Lucida Sans Unicode"/>
          <w:sz w:val="21"/>
          <w:szCs w:val="21"/>
        </w:rPr>
        <w:t>Al respecto, es importante circunscribir que la materia de la presente disidencia responde</w:t>
      </w:r>
      <w:r w:rsidR="00AC7132" w:rsidRPr="007B2273">
        <w:rPr>
          <w:rFonts w:ascii="Lucida Sans Unicode" w:hAnsi="Lucida Sans Unicode" w:cs="Lucida Sans Unicode"/>
          <w:sz w:val="21"/>
          <w:szCs w:val="21"/>
        </w:rPr>
        <w:t>,</w:t>
      </w:r>
      <w:r w:rsidRPr="007B2273">
        <w:rPr>
          <w:rFonts w:ascii="Lucida Sans Unicode" w:hAnsi="Lucida Sans Unicode" w:cs="Lucida Sans Unicode"/>
          <w:sz w:val="21"/>
          <w:szCs w:val="21"/>
        </w:rPr>
        <w:t xml:space="preserve"> única y exclusivamente</w:t>
      </w:r>
      <w:r w:rsidR="00AC7132" w:rsidRPr="007B2273">
        <w:rPr>
          <w:rFonts w:ascii="Lucida Sans Unicode" w:hAnsi="Lucida Sans Unicode" w:cs="Lucida Sans Unicode"/>
          <w:sz w:val="21"/>
          <w:szCs w:val="21"/>
        </w:rPr>
        <w:t>,</w:t>
      </w:r>
      <w:r w:rsidRPr="007B2273">
        <w:rPr>
          <w:rFonts w:ascii="Lucida Sans Unicode" w:hAnsi="Lucida Sans Unicode" w:cs="Lucida Sans Unicode"/>
          <w:sz w:val="21"/>
          <w:szCs w:val="21"/>
        </w:rPr>
        <w:t xml:space="preserve"> al tema de otorgar a los consejos municipales electorales competencia natural y automática para la realización de </w:t>
      </w:r>
      <w:r w:rsidR="00AC7132" w:rsidRPr="007B2273">
        <w:rPr>
          <w:rFonts w:ascii="Lucida Sans Unicode" w:hAnsi="Lucida Sans Unicode" w:cs="Lucida Sans Unicode"/>
          <w:sz w:val="21"/>
          <w:szCs w:val="21"/>
        </w:rPr>
        <w:t xml:space="preserve">sus mismos </w:t>
      </w:r>
      <w:r w:rsidRPr="007B2273">
        <w:rPr>
          <w:rFonts w:ascii="Lucida Sans Unicode" w:hAnsi="Lucida Sans Unicode" w:cs="Lucida Sans Unicode"/>
          <w:sz w:val="21"/>
          <w:szCs w:val="21"/>
        </w:rPr>
        <w:t xml:space="preserve">recuentos </w:t>
      </w:r>
      <w:r w:rsidR="00AC7132" w:rsidRPr="007B2273">
        <w:rPr>
          <w:rFonts w:ascii="Lucida Sans Unicode" w:hAnsi="Lucida Sans Unicode" w:cs="Lucida Sans Unicode"/>
          <w:sz w:val="21"/>
          <w:szCs w:val="21"/>
        </w:rPr>
        <w:t xml:space="preserve">de paquetes electorales </w:t>
      </w:r>
      <w:r w:rsidRPr="007B2273">
        <w:rPr>
          <w:rFonts w:ascii="Lucida Sans Unicode" w:hAnsi="Lucida Sans Unicode" w:cs="Lucida Sans Unicode"/>
          <w:sz w:val="21"/>
          <w:szCs w:val="21"/>
        </w:rPr>
        <w:t xml:space="preserve">totales, </w:t>
      </w:r>
      <w:r w:rsidR="00AC7132" w:rsidRPr="007B2273">
        <w:rPr>
          <w:rFonts w:ascii="Lucida Sans Unicode" w:hAnsi="Lucida Sans Unicode" w:cs="Lucida Sans Unicode"/>
          <w:sz w:val="21"/>
          <w:szCs w:val="21"/>
        </w:rPr>
        <w:t xml:space="preserve">los cuales </w:t>
      </w:r>
      <w:r w:rsidRPr="007B2273">
        <w:rPr>
          <w:rFonts w:ascii="Lucida Sans Unicode" w:hAnsi="Lucida Sans Unicode" w:cs="Lucida Sans Unicode"/>
          <w:sz w:val="21"/>
          <w:szCs w:val="21"/>
        </w:rPr>
        <w:t xml:space="preserve">pudieran surgir derivados de la actualización de </w:t>
      </w:r>
      <w:r w:rsidR="00AC7132" w:rsidRPr="007B2273">
        <w:rPr>
          <w:rFonts w:ascii="Lucida Sans Unicode" w:hAnsi="Lucida Sans Unicode" w:cs="Lucida Sans Unicode"/>
          <w:sz w:val="21"/>
          <w:szCs w:val="21"/>
        </w:rPr>
        <w:t xml:space="preserve">alguno de </w:t>
      </w:r>
      <w:r w:rsidRPr="007B2273">
        <w:rPr>
          <w:rFonts w:ascii="Lucida Sans Unicode" w:hAnsi="Lucida Sans Unicode" w:cs="Lucida Sans Unicode"/>
          <w:sz w:val="21"/>
          <w:szCs w:val="21"/>
        </w:rPr>
        <w:t>los supuestos previstos en los propios lineamientos de cuenta.</w:t>
      </w:r>
    </w:p>
    <w:p w14:paraId="10D660BC" w14:textId="77777777" w:rsidR="007C1D45" w:rsidRPr="007B2273" w:rsidRDefault="007C1D45" w:rsidP="007B2273">
      <w:pPr>
        <w:spacing w:after="0" w:line="276" w:lineRule="auto"/>
        <w:ind w:right="-144"/>
        <w:jc w:val="both"/>
        <w:rPr>
          <w:rFonts w:ascii="Lucida Sans Unicode" w:hAnsi="Lucida Sans Unicode" w:cs="Lucida Sans Unicode"/>
          <w:sz w:val="21"/>
          <w:szCs w:val="21"/>
        </w:rPr>
      </w:pPr>
    </w:p>
    <w:p w14:paraId="5C9F2E28" w14:textId="342475C7" w:rsidR="00AC7132" w:rsidRPr="007B2273" w:rsidRDefault="00AC7132" w:rsidP="007B2273">
      <w:pPr>
        <w:spacing w:after="0" w:line="276" w:lineRule="auto"/>
        <w:ind w:right="-144"/>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Lo anterior, se encuentra previsto en forma genérica pero sistemática en los artículos 40, 41 y 42 de dicho instrumento reglamentario, así como su correlativa motivación </w:t>
      </w:r>
      <w:r w:rsidR="00AD0CE0" w:rsidRPr="007B2273">
        <w:rPr>
          <w:rFonts w:ascii="Lucida Sans Unicode" w:hAnsi="Lucida Sans Unicode" w:cs="Lucida Sans Unicode"/>
          <w:sz w:val="21"/>
          <w:szCs w:val="21"/>
        </w:rPr>
        <w:t xml:space="preserve">dispuesta </w:t>
      </w:r>
      <w:r w:rsidRPr="007B2273">
        <w:rPr>
          <w:rFonts w:ascii="Lucida Sans Unicode" w:hAnsi="Lucida Sans Unicode" w:cs="Lucida Sans Unicode"/>
          <w:sz w:val="21"/>
          <w:szCs w:val="21"/>
        </w:rPr>
        <w:t>en el considerando X del acuerdo que los acompaña.</w:t>
      </w:r>
    </w:p>
    <w:p w14:paraId="0566034B" w14:textId="77777777" w:rsidR="00AD0CE0" w:rsidRPr="007B2273" w:rsidRDefault="00AD0CE0" w:rsidP="007B2273">
      <w:pPr>
        <w:spacing w:after="0" w:line="276" w:lineRule="auto"/>
        <w:ind w:right="-144"/>
        <w:jc w:val="both"/>
        <w:rPr>
          <w:rFonts w:ascii="Lucida Sans Unicode" w:hAnsi="Lucida Sans Unicode" w:cs="Lucida Sans Unicode"/>
          <w:sz w:val="21"/>
          <w:szCs w:val="21"/>
        </w:rPr>
      </w:pPr>
    </w:p>
    <w:p w14:paraId="3B0FAE6F" w14:textId="7AA98567" w:rsidR="009A064E" w:rsidRPr="007B2273" w:rsidRDefault="0095421F" w:rsidP="007B2273">
      <w:pPr>
        <w:spacing w:after="0" w:line="276" w:lineRule="auto"/>
        <w:ind w:right="-144"/>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Establecida con claridad la materia del presente voto particular, lo siguiente para explicar mi razonamiento es citar </w:t>
      </w:r>
      <w:r w:rsidR="005C647A" w:rsidRPr="007B2273">
        <w:rPr>
          <w:rFonts w:ascii="Lucida Sans Unicode" w:hAnsi="Lucida Sans Unicode" w:cs="Lucida Sans Unicode"/>
          <w:sz w:val="21"/>
          <w:szCs w:val="21"/>
        </w:rPr>
        <w:t xml:space="preserve">el </w:t>
      </w:r>
      <w:r w:rsidR="009A064E" w:rsidRPr="007B2273">
        <w:rPr>
          <w:rFonts w:ascii="Lucida Sans Unicode" w:hAnsi="Lucida Sans Unicode" w:cs="Lucida Sans Unicode"/>
          <w:b/>
          <w:bCs/>
          <w:sz w:val="21"/>
          <w:szCs w:val="21"/>
        </w:rPr>
        <w:t>MARCO JURÍDICO</w:t>
      </w:r>
      <w:r w:rsidR="005C647A" w:rsidRPr="007B2273">
        <w:rPr>
          <w:rFonts w:ascii="Lucida Sans Unicode" w:hAnsi="Lucida Sans Unicode" w:cs="Lucida Sans Unicode"/>
          <w:sz w:val="21"/>
          <w:szCs w:val="21"/>
        </w:rPr>
        <w:t xml:space="preserve"> aplicable</w:t>
      </w:r>
      <w:r w:rsidR="00DB4637" w:rsidRPr="007B2273">
        <w:rPr>
          <w:rFonts w:ascii="Lucida Sans Unicode" w:hAnsi="Lucida Sans Unicode" w:cs="Lucida Sans Unicode"/>
          <w:sz w:val="21"/>
          <w:szCs w:val="21"/>
        </w:rPr>
        <w:t>:</w:t>
      </w:r>
    </w:p>
    <w:p w14:paraId="378B735F" w14:textId="77777777" w:rsidR="009A064E" w:rsidRPr="007B2273" w:rsidRDefault="009A064E" w:rsidP="007B2273">
      <w:pPr>
        <w:pStyle w:val="Estilo"/>
        <w:spacing w:line="276" w:lineRule="auto"/>
        <w:rPr>
          <w:rFonts w:ascii="Lucida Sans Unicode" w:hAnsi="Lucida Sans Unicode" w:cs="Lucida Sans Unicode"/>
          <w:b/>
          <w:bCs/>
          <w:sz w:val="21"/>
          <w:szCs w:val="21"/>
        </w:rPr>
      </w:pPr>
    </w:p>
    <w:p w14:paraId="5D647AAD" w14:textId="3CFB0EDF" w:rsidR="009A064E" w:rsidRPr="007B2273" w:rsidRDefault="009A064E" w:rsidP="007B2273">
      <w:pPr>
        <w:pStyle w:val="Estilo"/>
        <w:numPr>
          <w:ilvl w:val="0"/>
          <w:numId w:val="3"/>
        </w:numPr>
        <w:spacing w:line="276" w:lineRule="auto"/>
        <w:rPr>
          <w:rFonts w:ascii="Lucida Sans Unicode" w:hAnsi="Lucida Sans Unicode" w:cs="Lucida Sans Unicode"/>
          <w:b/>
          <w:bCs/>
          <w:sz w:val="21"/>
          <w:szCs w:val="21"/>
        </w:rPr>
      </w:pPr>
      <w:r w:rsidRPr="007B2273">
        <w:rPr>
          <w:rFonts w:ascii="Lucida Sans Unicode" w:hAnsi="Lucida Sans Unicode" w:cs="Lucida Sans Unicode"/>
          <w:b/>
          <w:bCs/>
          <w:sz w:val="21"/>
          <w:szCs w:val="21"/>
        </w:rPr>
        <w:t>Anexo 17 de Reglamento de Elecciones.</w:t>
      </w:r>
    </w:p>
    <w:p w14:paraId="4866D322" w14:textId="77777777" w:rsidR="009A064E" w:rsidRPr="007B2273" w:rsidRDefault="009A064E" w:rsidP="007B2273">
      <w:pPr>
        <w:pStyle w:val="Estilo"/>
        <w:spacing w:line="276" w:lineRule="auto"/>
        <w:rPr>
          <w:rFonts w:ascii="Lucida Sans Unicode" w:hAnsi="Lucida Sans Unicode" w:cs="Lucida Sans Unicode"/>
          <w:b/>
          <w:bCs/>
          <w:sz w:val="21"/>
          <w:szCs w:val="21"/>
        </w:rPr>
      </w:pPr>
    </w:p>
    <w:p w14:paraId="0BAE1DA6" w14:textId="75401D5F" w:rsidR="009A064E" w:rsidRPr="007B2273" w:rsidRDefault="009A064E" w:rsidP="007B2273">
      <w:pPr>
        <w:pStyle w:val="Estilo"/>
        <w:spacing w:line="276" w:lineRule="auto"/>
        <w:rPr>
          <w:rFonts w:ascii="Lucida Sans Unicode" w:hAnsi="Lucida Sans Unicode" w:cs="Lucida Sans Unicode"/>
          <w:b/>
          <w:bCs/>
          <w:sz w:val="21"/>
          <w:szCs w:val="21"/>
        </w:rPr>
      </w:pPr>
      <w:r w:rsidRPr="007B2273">
        <w:rPr>
          <w:rFonts w:ascii="Lucida Sans Unicode" w:hAnsi="Lucida Sans Unicode" w:cs="Lucida Sans Unicode"/>
          <w:sz w:val="21"/>
          <w:szCs w:val="21"/>
        </w:rPr>
        <w:lastRenderedPageBreak/>
        <w:t xml:space="preserve">Este instrumento expedido por el Instituto Nacional de Elecciones de índole reglamentario </w:t>
      </w:r>
      <w:r w:rsidR="00FA7728" w:rsidRPr="007B2273">
        <w:rPr>
          <w:rFonts w:ascii="Lucida Sans Unicode" w:hAnsi="Lucida Sans Unicode" w:cs="Lucida Sans Unicode"/>
          <w:sz w:val="21"/>
          <w:szCs w:val="21"/>
        </w:rPr>
        <w:t>prevé</w:t>
      </w:r>
      <w:r w:rsidRPr="007B2273">
        <w:rPr>
          <w:rFonts w:ascii="Lucida Sans Unicode" w:hAnsi="Lucida Sans Unicode" w:cs="Lucida Sans Unicode"/>
          <w:sz w:val="21"/>
          <w:szCs w:val="21"/>
        </w:rPr>
        <w:t xml:space="preserve">, </w:t>
      </w:r>
      <w:r w:rsidR="002508F5" w:rsidRPr="007B2273">
        <w:rPr>
          <w:rFonts w:ascii="Lucida Sans Unicode" w:hAnsi="Lucida Sans Unicode" w:cs="Lucida Sans Unicode"/>
          <w:sz w:val="21"/>
          <w:szCs w:val="21"/>
        </w:rPr>
        <w:t xml:space="preserve">en </w:t>
      </w:r>
      <w:r w:rsidR="00FA7728" w:rsidRPr="007B2273">
        <w:rPr>
          <w:rFonts w:ascii="Lucida Sans Unicode" w:hAnsi="Lucida Sans Unicode" w:cs="Lucida Sans Unicode"/>
          <w:sz w:val="21"/>
          <w:szCs w:val="21"/>
        </w:rPr>
        <w:t xml:space="preserve">el </w:t>
      </w:r>
      <w:r w:rsidR="002508F5" w:rsidRPr="007B2273">
        <w:rPr>
          <w:rFonts w:ascii="Lucida Sans Unicode" w:hAnsi="Lucida Sans Unicode" w:cs="Lucida Sans Unicode"/>
          <w:sz w:val="21"/>
          <w:szCs w:val="21"/>
        </w:rPr>
        <w:t>apartado 3.5</w:t>
      </w:r>
      <w:r w:rsidR="00A03543" w:rsidRPr="007B2273">
        <w:rPr>
          <w:rFonts w:ascii="Lucida Sans Unicode" w:hAnsi="Lucida Sans Unicode" w:cs="Lucida Sans Unicode"/>
          <w:sz w:val="21"/>
          <w:szCs w:val="21"/>
        </w:rPr>
        <w:t xml:space="preserve"> denominado </w:t>
      </w:r>
      <w:r w:rsidR="00A03543" w:rsidRPr="007B2273">
        <w:rPr>
          <w:rFonts w:ascii="Lucida Sans Unicode" w:hAnsi="Lucida Sans Unicode" w:cs="Lucida Sans Unicode"/>
          <w:i/>
          <w:iCs/>
          <w:sz w:val="21"/>
          <w:szCs w:val="21"/>
        </w:rPr>
        <w:t xml:space="preserve">Posibilidad de recuento parcial y recuento total de la votación, </w:t>
      </w:r>
      <w:r w:rsidRPr="007B2273">
        <w:rPr>
          <w:rFonts w:ascii="Lucida Sans Unicode" w:hAnsi="Lucida Sans Unicode" w:cs="Lucida Sans Unicode"/>
          <w:sz w:val="21"/>
          <w:szCs w:val="21"/>
        </w:rPr>
        <w:t xml:space="preserve">en lo que interesa que, se establecerá el recuento total de una demarcación territorial distrital o municipal cuando </w:t>
      </w:r>
      <w:r w:rsidRPr="007B2273">
        <w:rPr>
          <w:rFonts w:ascii="Lucida Sans Unicode" w:hAnsi="Lucida Sans Unicode" w:cs="Lucida Sans Unicode"/>
          <w:b/>
          <w:bCs/>
          <w:sz w:val="21"/>
          <w:szCs w:val="21"/>
        </w:rPr>
        <w:t>exista indicio que la diferencia entre la candidatura presunta ganadora de la elección de mayoría relativa en el distrito local o municipio y la que haya obtenido el segundo lugar en la votación:</w:t>
      </w:r>
    </w:p>
    <w:p w14:paraId="09631D98" w14:textId="77777777" w:rsidR="009A064E" w:rsidRPr="007B2273" w:rsidRDefault="009A064E" w:rsidP="007B2273">
      <w:pPr>
        <w:pStyle w:val="Estilo"/>
        <w:spacing w:line="276" w:lineRule="auto"/>
        <w:rPr>
          <w:rFonts w:ascii="Lucida Sans Unicode" w:hAnsi="Lucida Sans Unicode" w:cs="Lucida Sans Unicode"/>
          <w:b/>
          <w:bCs/>
          <w:sz w:val="21"/>
          <w:szCs w:val="21"/>
        </w:rPr>
      </w:pPr>
    </w:p>
    <w:p w14:paraId="0A539134" w14:textId="3B4070A8" w:rsidR="009A064E" w:rsidRPr="007B2273" w:rsidRDefault="009A064E" w:rsidP="007B2273">
      <w:pPr>
        <w:pStyle w:val="Estilo"/>
        <w:numPr>
          <w:ilvl w:val="0"/>
          <w:numId w:val="4"/>
        </w:numPr>
        <w:spacing w:line="276" w:lineRule="auto"/>
        <w:rPr>
          <w:rFonts w:ascii="Lucida Sans Unicode" w:hAnsi="Lucida Sans Unicode" w:cs="Lucida Sans Unicode"/>
          <w:sz w:val="21"/>
          <w:szCs w:val="21"/>
        </w:rPr>
      </w:pPr>
      <w:r w:rsidRPr="007B2273">
        <w:rPr>
          <w:rFonts w:ascii="Lucida Sans Unicode" w:hAnsi="Lucida Sans Unicode" w:cs="Lucida Sans Unicode"/>
          <w:b/>
          <w:bCs/>
          <w:sz w:val="21"/>
          <w:szCs w:val="21"/>
        </w:rPr>
        <w:t>SEA IGUAL O MENOR A UN PUNTO PORCEN</w:t>
      </w:r>
      <w:r w:rsidR="00FA7728" w:rsidRPr="007B2273">
        <w:rPr>
          <w:rFonts w:ascii="Lucida Sans Unicode" w:hAnsi="Lucida Sans Unicode" w:cs="Lucida Sans Unicode"/>
          <w:b/>
          <w:bCs/>
          <w:sz w:val="21"/>
          <w:szCs w:val="21"/>
        </w:rPr>
        <w:t>TU</w:t>
      </w:r>
      <w:r w:rsidRPr="007B2273">
        <w:rPr>
          <w:rFonts w:ascii="Lucida Sans Unicode" w:hAnsi="Lucida Sans Unicode" w:cs="Lucida Sans Unicode"/>
          <w:b/>
          <w:bCs/>
          <w:sz w:val="21"/>
          <w:szCs w:val="21"/>
        </w:rPr>
        <w:t xml:space="preserve">AL Y </w:t>
      </w:r>
    </w:p>
    <w:p w14:paraId="64D058CD" w14:textId="33A08956" w:rsidR="0055163B" w:rsidRPr="007B2273" w:rsidRDefault="00B325B8" w:rsidP="007B2273">
      <w:pPr>
        <w:pStyle w:val="Estilo"/>
        <w:numPr>
          <w:ilvl w:val="0"/>
          <w:numId w:val="4"/>
        </w:numPr>
        <w:spacing w:line="276" w:lineRule="auto"/>
        <w:rPr>
          <w:rFonts w:ascii="Lucida Sans Unicode" w:hAnsi="Lucida Sans Unicode" w:cs="Lucida Sans Unicode"/>
          <w:sz w:val="21"/>
          <w:szCs w:val="21"/>
        </w:rPr>
      </w:pPr>
      <w:r w:rsidRPr="007B2273">
        <w:rPr>
          <w:rFonts w:ascii="Lucida Sans Unicode" w:hAnsi="Lucida Sans Unicode" w:cs="Lucida Sans Unicode"/>
          <w:b/>
          <w:bCs/>
          <w:sz w:val="21"/>
          <w:szCs w:val="21"/>
        </w:rPr>
        <w:t xml:space="preserve">SE SOLICITE </w:t>
      </w:r>
      <w:r w:rsidR="001E0638" w:rsidRPr="007B2273">
        <w:rPr>
          <w:rFonts w:ascii="Lucida Sans Unicode" w:hAnsi="Lucida Sans Unicode" w:cs="Lucida Sans Unicode"/>
          <w:b/>
          <w:bCs/>
          <w:sz w:val="21"/>
          <w:szCs w:val="21"/>
        </w:rPr>
        <w:t xml:space="preserve">EXPRESAMENTE </w:t>
      </w:r>
      <w:r w:rsidR="009A064E" w:rsidRPr="007B2273">
        <w:rPr>
          <w:rFonts w:ascii="Lucida Sans Unicode" w:hAnsi="Lucida Sans Unicode" w:cs="Lucida Sans Unicode"/>
          <w:b/>
          <w:bCs/>
          <w:sz w:val="21"/>
          <w:szCs w:val="21"/>
        </w:rPr>
        <w:t xml:space="preserve">AL INICIO O TÉRMINO DE LA SESIÓN </w:t>
      </w:r>
      <w:r w:rsidR="001E0638" w:rsidRPr="007B2273">
        <w:rPr>
          <w:rFonts w:ascii="Lucida Sans Unicode" w:hAnsi="Lucida Sans Unicode" w:cs="Lucida Sans Unicode"/>
          <w:b/>
          <w:bCs/>
          <w:sz w:val="21"/>
          <w:szCs w:val="21"/>
        </w:rPr>
        <w:t xml:space="preserve">POR PARTE DE </w:t>
      </w:r>
      <w:r w:rsidR="009A064E" w:rsidRPr="007B2273">
        <w:rPr>
          <w:rFonts w:ascii="Lucida Sans Unicode" w:hAnsi="Lucida Sans Unicode" w:cs="Lucida Sans Unicode"/>
          <w:b/>
          <w:bCs/>
          <w:sz w:val="21"/>
          <w:szCs w:val="21"/>
        </w:rPr>
        <w:t>LA REPRESENTACIÓN DEL PARTIDO POLÍT</w:t>
      </w:r>
      <w:r w:rsidR="001E0638" w:rsidRPr="007B2273">
        <w:rPr>
          <w:rFonts w:ascii="Lucida Sans Unicode" w:hAnsi="Lucida Sans Unicode" w:cs="Lucida Sans Unicode"/>
          <w:b/>
          <w:bCs/>
          <w:sz w:val="21"/>
          <w:szCs w:val="21"/>
        </w:rPr>
        <w:t>I</w:t>
      </w:r>
      <w:r w:rsidR="009A064E" w:rsidRPr="007B2273">
        <w:rPr>
          <w:rFonts w:ascii="Lucida Sans Unicode" w:hAnsi="Lucida Sans Unicode" w:cs="Lucida Sans Unicode"/>
          <w:b/>
          <w:bCs/>
          <w:sz w:val="21"/>
          <w:szCs w:val="21"/>
        </w:rPr>
        <w:t>CO O CANDIDATURA INDEPENDIENTE QUE POSTULÓ AL SEGUNDO LUGAR</w:t>
      </w:r>
    </w:p>
    <w:p w14:paraId="2555C864" w14:textId="77777777" w:rsidR="00FA7728" w:rsidRPr="007B2273" w:rsidRDefault="00FA7728" w:rsidP="007B2273">
      <w:pPr>
        <w:pStyle w:val="Prrafodelista"/>
        <w:spacing w:after="0" w:line="276" w:lineRule="auto"/>
        <w:rPr>
          <w:rFonts w:ascii="Lucida Sans Unicode" w:hAnsi="Lucida Sans Unicode" w:cs="Lucida Sans Unicode"/>
          <w:b/>
          <w:bCs/>
          <w:sz w:val="21"/>
          <w:szCs w:val="21"/>
        </w:rPr>
      </w:pPr>
    </w:p>
    <w:p w14:paraId="128BC863" w14:textId="209C941F" w:rsidR="009A064E" w:rsidRPr="007B2273" w:rsidRDefault="00450A95" w:rsidP="007B2273">
      <w:pPr>
        <w:pStyle w:val="Estilo"/>
        <w:spacing w:line="276" w:lineRule="auto"/>
        <w:rPr>
          <w:rFonts w:ascii="Lucida Sans Unicode" w:hAnsi="Lucida Sans Unicode" w:cs="Lucida Sans Unicode"/>
          <w:b/>
          <w:bCs/>
          <w:sz w:val="21"/>
          <w:szCs w:val="21"/>
        </w:rPr>
      </w:pPr>
      <w:r w:rsidRPr="007B2273">
        <w:rPr>
          <w:rFonts w:ascii="Lucida Sans Unicode" w:hAnsi="Lucida Sans Unicode" w:cs="Lucida Sans Unicode"/>
          <w:b/>
          <w:bCs/>
          <w:sz w:val="21"/>
          <w:szCs w:val="21"/>
        </w:rPr>
        <w:t>Además, establece que, en el caso de que la legislación l</w:t>
      </w:r>
      <w:r w:rsidR="00C96F25" w:rsidRPr="007B2273">
        <w:rPr>
          <w:rFonts w:ascii="Lucida Sans Unicode" w:hAnsi="Lucida Sans Unicode" w:cs="Lucida Sans Unicode"/>
          <w:b/>
          <w:bCs/>
          <w:sz w:val="21"/>
          <w:szCs w:val="21"/>
        </w:rPr>
        <w:t>ocal disponga un porcentaje me</w:t>
      </w:r>
      <w:r w:rsidR="0055163B" w:rsidRPr="007B2273">
        <w:rPr>
          <w:rFonts w:ascii="Lucida Sans Unicode" w:hAnsi="Lucida Sans Unicode" w:cs="Lucida Sans Unicode"/>
          <w:b/>
          <w:bCs/>
          <w:sz w:val="21"/>
          <w:szCs w:val="21"/>
        </w:rPr>
        <w:t>n</w:t>
      </w:r>
      <w:r w:rsidR="00C96F25" w:rsidRPr="007B2273">
        <w:rPr>
          <w:rFonts w:ascii="Lucida Sans Unicode" w:hAnsi="Lucida Sans Unicode" w:cs="Lucida Sans Unicode"/>
          <w:b/>
          <w:bCs/>
          <w:sz w:val="21"/>
          <w:szCs w:val="21"/>
        </w:rPr>
        <w:t xml:space="preserve">or a </w:t>
      </w:r>
      <w:r w:rsidR="00EC420C" w:rsidRPr="007B2273">
        <w:rPr>
          <w:rFonts w:ascii="Lucida Sans Unicode" w:hAnsi="Lucida Sans Unicode" w:cs="Lucida Sans Unicode"/>
          <w:b/>
          <w:bCs/>
          <w:sz w:val="21"/>
          <w:szCs w:val="21"/>
        </w:rPr>
        <w:t>“</w:t>
      </w:r>
      <w:r w:rsidR="00C96F25" w:rsidRPr="007B2273">
        <w:rPr>
          <w:rFonts w:ascii="Lucida Sans Unicode" w:hAnsi="Lucida Sans Unicode" w:cs="Lucida Sans Unicode"/>
          <w:b/>
          <w:bCs/>
          <w:sz w:val="21"/>
          <w:szCs w:val="21"/>
        </w:rPr>
        <w:t xml:space="preserve">IGUAL </w:t>
      </w:r>
      <w:r w:rsidR="00FA7728" w:rsidRPr="007B2273">
        <w:rPr>
          <w:rFonts w:ascii="Lucida Sans Unicode" w:hAnsi="Lucida Sans Unicode" w:cs="Lucida Sans Unicode"/>
          <w:b/>
          <w:bCs/>
          <w:sz w:val="21"/>
          <w:szCs w:val="21"/>
        </w:rPr>
        <w:t xml:space="preserve">O </w:t>
      </w:r>
      <w:r w:rsidR="00C96F25" w:rsidRPr="007B2273">
        <w:rPr>
          <w:rFonts w:ascii="Lucida Sans Unicode" w:hAnsi="Lucida Sans Unicode" w:cs="Lucida Sans Unicode"/>
          <w:b/>
          <w:bCs/>
          <w:sz w:val="21"/>
          <w:szCs w:val="21"/>
        </w:rPr>
        <w:t xml:space="preserve">MENOR AL </w:t>
      </w:r>
      <w:r w:rsidR="00EC420C" w:rsidRPr="007B2273">
        <w:rPr>
          <w:rFonts w:ascii="Lucida Sans Unicode" w:hAnsi="Lucida Sans Unicode" w:cs="Lucida Sans Unicode"/>
          <w:b/>
          <w:bCs/>
          <w:sz w:val="21"/>
          <w:szCs w:val="21"/>
        </w:rPr>
        <w:t xml:space="preserve">UN </w:t>
      </w:r>
      <w:r w:rsidR="00C96F25" w:rsidRPr="007B2273">
        <w:rPr>
          <w:rFonts w:ascii="Lucida Sans Unicode" w:hAnsi="Lucida Sans Unicode" w:cs="Lucida Sans Unicode"/>
          <w:b/>
          <w:bCs/>
          <w:sz w:val="21"/>
          <w:szCs w:val="21"/>
        </w:rPr>
        <w:t>1</w:t>
      </w:r>
      <w:r w:rsidR="00EC420C" w:rsidRPr="007B2273">
        <w:rPr>
          <w:rFonts w:ascii="Lucida Sans Unicode" w:hAnsi="Lucida Sans Unicode" w:cs="Lucida Sans Unicode"/>
          <w:b/>
          <w:bCs/>
          <w:sz w:val="21"/>
          <w:szCs w:val="21"/>
        </w:rPr>
        <w:t xml:space="preserve"> PUNTO PORCENTUAL”</w:t>
      </w:r>
      <w:r w:rsidR="00A842EF" w:rsidRPr="007B2273">
        <w:rPr>
          <w:rFonts w:ascii="Lucida Sans Unicode" w:hAnsi="Lucida Sans Unicode" w:cs="Lucida Sans Unicode"/>
          <w:b/>
          <w:bCs/>
          <w:sz w:val="21"/>
          <w:szCs w:val="21"/>
        </w:rPr>
        <w:t>, SERÁN APLICABLES LAS REGLAS</w:t>
      </w:r>
      <w:r w:rsidR="001C4491" w:rsidRPr="007B2273">
        <w:rPr>
          <w:rFonts w:ascii="Lucida Sans Unicode" w:hAnsi="Lucida Sans Unicode" w:cs="Lucida Sans Unicode"/>
          <w:b/>
          <w:bCs/>
          <w:sz w:val="21"/>
          <w:szCs w:val="21"/>
        </w:rPr>
        <w:t xml:space="preserve"> DE LA ENTIDAD.</w:t>
      </w:r>
    </w:p>
    <w:p w14:paraId="28BD1E96" w14:textId="7C20549E" w:rsidR="0095421F" w:rsidRPr="007B2273" w:rsidRDefault="0095421F" w:rsidP="007B2273">
      <w:pPr>
        <w:pStyle w:val="Estilo"/>
        <w:spacing w:line="276" w:lineRule="auto"/>
        <w:rPr>
          <w:rFonts w:ascii="Lucida Sans Unicode" w:hAnsi="Lucida Sans Unicode" w:cs="Lucida Sans Unicode"/>
          <w:sz w:val="21"/>
          <w:szCs w:val="21"/>
        </w:rPr>
      </w:pPr>
    </w:p>
    <w:p w14:paraId="0EE47800" w14:textId="527CCA86" w:rsidR="009A064E" w:rsidRPr="007B2273" w:rsidRDefault="00EC420C" w:rsidP="007B2273">
      <w:pPr>
        <w:pStyle w:val="Estilo"/>
        <w:spacing w:line="276" w:lineRule="auto"/>
        <w:rPr>
          <w:rFonts w:ascii="Lucida Sans Unicode" w:hAnsi="Lucida Sans Unicode" w:cs="Lucida Sans Unicode"/>
          <w:sz w:val="21"/>
          <w:szCs w:val="21"/>
        </w:rPr>
      </w:pPr>
      <w:r w:rsidRPr="007B2273">
        <w:rPr>
          <w:rFonts w:ascii="Lucida Sans Unicode" w:hAnsi="Lucida Sans Unicode" w:cs="Lucida Sans Unicode"/>
          <w:sz w:val="21"/>
          <w:szCs w:val="21"/>
        </w:rPr>
        <w:t xml:space="preserve">Por su parte, el artículo </w:t>
      </w:r>
      <w:r w:rsidR="009A064E" w:rsidRPr="007B2273">
        <w:rPr>
          <w:rFonts w:ascii="Lucida Sans Unicode" w:hAnsi="Lucida Sans Unicode" w:cs="Lucida Sans Unicode"/>
          <w:sz w:val="21"/>
          <w:szCs w:val="21"/>
        </w:rPr>
        <w:t>637 del C</w:t>
      </w:r>
      <w:r w:rsidR="001C08BA" w:rsidRPr="007B2273">
        <w:rPr>
          <w:rFonts w:ascii="Lucida Sans Unicode" w:hAnsi="Lucida Sans Unicode" w:cs="Lucida Sans Unicode"/>
          <w:sz w:val="21"/>
          <w:szCs w:val="21"/>
        </w:rPr>
        <w:t>ódigo Electoral del Estado de Jalisco dispone al respecto, lo siguiente:</w:t>
      </w:r>
    </w:p>
    <w:p w14:paraId="04EC861F" w14:textId="77777777" w:rsidR="00FE7F59" w:rsidRPr="007B2273" w:rsidRDefault="00FE7F59" w:rsidP="007B2273">
      <w:pPr>
        <w:pStyle w:val="Estilo"/>
        <w:spacing w:line="276" w:lineRule="auto"/>
        <w:rPr>
          <w:rFonts w:ascii="Lucida Sans Unicode" w:hAnsi="Lucida Sans Unicode" w:cs="Lucida Sans Unicode"/>
          <w:sz w:val="21"/>
          <w:szCs w:val="21"/>
        </w:rPr>
      </w:pPr>
    </w:p>
    <w:p w14:paraId="596F5C0C" w14:textId="7857A748" w:rsidR="009A064E" w:rsidRPr="007B2273" w:rsidRDefault="009A064E" w:rsidP="007B2273">
      <w:pPr>
        <w:pStyle w:val="Estilo"/>
        <w:spacing w:line="276" w:lineRule="auto"/>
        <w:rPr>
          <w:rFonts w:ascii="Lucida Sans Unicode" w:hAnsi="Lucida Sans Unicode" w:cs="Lucida Sans Unicode"/>
          <w:i/>
          <w:iCs/>
          <w:sz w:val="21"/>
          <w:szCs w:val="21"/>
        </w:rPr>
      </w:pPr>
      <w:r w:rsidRPr="007B2273">
        <w:rPr>
          <w:rFonts w:ascii="Lucida Sans Unicode" w:hAnsi="Lucida Sans Unicode" w:cs="Lucida Sans Unicode"/>
          <w:i/>
          <w:iCs/>
          <w:sz w:val="21"/>
          <w:szCs w:val="21"/>
        </w:rPr>
        <w:t>(…)</w:t>
      </w:r>
    </w:p>
    <w:p w14:paraId="405F079D" w14:textId="4EF79AF8" w:rsidR="00FE7F59" w:rsidRPr="007B2273" w:rsidRDefault="00FE7F59" w:rsidP="007B2273">
      <w:pPr>
        <w:pStyle w:val="Estilo"/>
        <w:spacing w:line="276" w:lineRule="auto"/>
        <w:rPr>
          <w:rFonts w:ascii="Lucida Sans Unicode" w:hAnsi="Lucida Sans Unicode" w:cs="Lucida Sans Unicode"/>
          <w:i/>
          <w:iCs/>
          <w:sz w:val="21"/>
          <w:szCs w:val="21"/>
        </w:rPr>
      </w:pPr>
    </w:p>
    <w:p w14:paraId="1F9FC0A1" w14:textId="26F6FFBF" w:rsidR="009A064E" w:rsidRPr="007B2273" w:rsidRDefault="009A064E" w:rsidP="007B2273">
      <w:pPr>
        <w:pStyle w:val="Estilo"/>
        <w:spacing w:line="276" w:lineRule="auto"/>
        <w:rPr>
          <w:rFonts w:ascii="Lucida Sans Unicode" w:hAnsi="Lucida Sans Unicode" w:cs="Lucida Sans Unicode"/>
          <w:b/>
          <w:bCs/>
          <w:i/>
          <w:iCs/>
          <w:sz w:val="21"/>
          <w:szCs w:val="21"/>
        </w:rPr>
      </w:pPr>
      <w:r w:rsidRPr="007B2273">
        <w:rPr>
          <w:rFonts w:ascii="Lucida Sans Unicode" w:hAnsi="Lucida Sans Unicode" w:cs="Lucida Sans Unicode"/>
          <w:i/>
          <w:iCs/>
          <w:sz w:val="21"/>
          <w:szCs w:val="21"/>
        </w:rPr>
        <w:t xml:space="preserve">2. </w:t>
      </w:r>
      <w:r w:rsidRPr="007B2273">
        <w:rPr>
          <w:rFonts w:ascii="Lucida Sans Unicode" w:hAnsi="Lucida Sans Unicode" w:cs="Lucida Sans Unicode"/>
          <w:b/>
          <w:bCs/>
          <w:i/>
          <w:iCs/>
          <w:sz w:val="21"/>
          <w:szCs w:val="21"/>
        </w:rPr>
        <w:t>Recuentos de la competencia de los Consejos Distritales Electorales:</w:t>
      </w:r>
    </w:p>
    <w:p w14:paraId="7C1120B7" w14:textId="77777777" w:rsidR="008557B5" w:rsidRPr="007B2273" w:rsidRDefault="008557B5" w:rsidP="007B2273">
      <w:pPr>
        <w:spacing w:after="0" w:line="276" w:lineRule="auto"/>
        <w:jc w:val="both"/>
        <w:rPr>
          <w:rFonts w:ascii="Lucida Sans Unicode" w:hAnsi="Lucida Sans Unicode" w:cs="Lucida Sans Unicode"/>
          <w:b/>
          <w:bCs/>
          <w:i/>
          <w:iCs/>
          <w:sz w:val="21"/>
          <w:szCs w:val="21"/>
        </w:rPr>
      </w:pPr>
    </w:p>
    <w:p w14:paraId="7FFDA38A" w14:textId="034CAA3E" w:rsidR="008440D5" w:rsidRPr="007B2273" w:rsidRDefault="00803A29" w:rsidP="007B2273">
      <w:pPr>
        <w:spacing w:after="0" w:line="276" w:lineRule="auto"/>
        <w:jc w:val="both"/>
        <w:rPr>
          <w:rFonts w:ascii="Lucida Sans Unicode" w:hAnsi="Lucida Sans Unicode" w:cs="Lucida Sans Unicode"/>
          <w:i/>
          <w:iCs/>
          <w:sz w:val="21"/>
          <w:szCs w:val="21"/>
        </w:rPr>
      </w:pPr>
      <w:r w:rsidRPr="007B2273">
        <w:rPr>
          <w:rFonts w:ascii="Lucida Sans Unicode" w:hAnsi="Lucida Sans Unicode" w:cs="Lucida Sans Unicode"/>
          <w:i/>
          <w:iCs/>
          <w:sz w:val="21"/>
          <w:szCs w:val="21"/>
        </w:rPr>
        <w:t>(…)</w:t>
      </w:r>
    </w:p>
    <w:p w14:paraId="2F2BCB04" w14:textId="77777777" w:rsidR="00B94190" w:rsidRPr="007B2273" w:rsidRDefault="00B94190" w:rsidP="007B2273">
      <w:pPr>
        <w:spacing w:after="0" w:line="276" w:lineRule="auto"/>
        <w:jc w:val="both"/>
        <w:rPr>
          <w:rFonts w:ascii="Lucida Sans Unicode" w:hAnsi="Lucida Sans Unicode" w:cs="Lucida Sans Unicode"/>
          <w:i/>
          <w:iCs/>
          <w:sz w:val="21"/>
          <w:szCs w:val="21"/>
        </w:rPr>
      </w:pPr>
    </w:p>
    <w:p w14:paraId="3C6CA743" w14:textId="13A5BE69" w:rsidR="00803A29" w:rsidRPr="007B2273" w:rsidRDefault="00803A2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i/>
          <w:iCs/>
          <w:sz w:val="21"/>
          <w:szCs w:val="21"/>
        </w:rPr>
        <w:t>III. El recuento total de la votación recibida en alguno de los municipios de la elección de Munícipes, cuando así lo acuerde el Consejo Municipal. Sólo en los distritos cuya geografía abarque dos o más municipios</w:t>
      </w:r>
      <w:r w:rsidR="00DC0B3B" w:rsidRPr="007B2273">
        <w:rPr>
          <w:rFonts w:ascii="Lucida Sans Unicode" w:hAnsi="Lucida Sans Unicode" w:cs="Lucida Sans Unicode"/>
          <w:i/>
          <w:iCs/>
          <w:sz w:val="21"/>
          <w:szCs w:val="21"/>
        </w:rPr>
        <w:t xml:space="preserve"> </w:t>
      </w:r>
      <w:r w:rsidR="00DC0B3B" w:rsidRPr="007B2273">
        <w:rPr>
          <w:rFonts w:ascii="Lucida Sans Unicode" w:hAnsi="Lucida Sans Unicode" w:cs="Lucida Sans Unicode"/>
          <w:sz w:val="21"/>
          <w:szCs w:val="21"/>
        </w:rPr>
        <w:t>(</w:t>
      </w:r>
      <w:r w:rsidR="0095421F" w:rsidRPr="007B2273">
        <w:rPr>
          <w:rFonts w:ascii="Lucida Sans Unicode" w:hAnsi="Lucida Sans Unicode" w:cs="Lucida Sans Unicode"/>
          <w:sz w:val="21"/>
          <w:szCs w:val="21"/>
        </w:rPr>
        <w:t>Este supuesto se refiere a los municipios que se encuentran fuera de la zona metropolitana de Guadalajara</w:t>
      </w:r>
      <w:r w:rsidR="0095421F" w:rsidRPr="007B2273">
        <w:rPr>
          <w:rStyle w:val="Refdenotaalpie"/>
          <w:rFonts w:ascii="Lucida Sans Unicode" w:hAnsi="Lucida Sans Unicode" w:cs="Lucida Sans Unicode"/>
          <w:sz w:val="21"/>
          <w:szCs w:val="21"/>
        </w:rPr>
        <w:footnoteReference w:id="1"/>
      </w:r>
      <w:r w:rsidR="0095421F" w:rsidRPr="007B2273">
        <w:rPr>
          <w:rFonts w:ascii="Lucida Sans Unicode" w:hAnsi="Lucida Sans Unicode" w:cs="Lucida Sans Unicode"/>
          <w:sz w:val="21"/>
          <w:szCs w:val="21"/>
        </w:rPr>
        <w:t>)</w:t>
      </w:r>
    </w:p>
    <w:p w14:paraId="64B740ED" w14:textId="77777777" w:rsidR="008557B5" w:rsidRPr="007B2273" w:rsidRDefault="008557B5" w:rsidP="007B2273">
      <w:pPr>
        <w:spacing w:after="0" w:line="276" w:lineRule="auto"/>
        <w:jc w:val="both"/>
        <w:rPr>
          <w:rFonts w:ascii="Lucida Sans Unicode" w:hAnsi="Lucida Sans Unicode" w:cs="Lucida Sans Unicode"/>
          <w:sz w:val="21"/>
          <w:szCs w:val="21"/>
        </w:rPr>
      </w:pPr>
    </w:p>
    <w:p w14:paraId="04F4D572" w14:textId="3820FDD9" w:rsidR="008557B5" w:rsidRPr="007B2273" w:rsidRDefault="008557B5"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lastRenderedPageBreak/>
        <w:t>(…)</w:t>
      </w:r>
    </w:p>
    <w:p w14:paraId="4A3894C3" w14:textId="77777777" w:rsidR="008557B5" w:rsidRPr="007B2273" w:rsidRDefault="008557B5" w:rsidP="007B2273">
      <w:pPr>
        <w:spacing w:after="0" w:line="276" w:lineRule="auto"/>
        <w:jc w:val="both"/>
        <w:rPr>
          <w:rFonts w:ascii="Lucida Sans Unicode" w:hAnsi="Lucida Sans Unicode" w:cs="Lucida Sans Unicode"/>
          <w:sz w:val="21"/>
          <w:szCs w:val="21"/>
        </w:rPr>
      </w:pPr>
    </w:p>
    <w:p w14:paraId="5F630B02" w14:textId="25CC6F88" w:rsidR="00094AD9" w:rsidRPr="007B2273" w:rsidRDefault="008E7C74"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5</w:t>
      </w:r>
      <w:r w:rsidR="00094AD9" w:rsidRPr="007B2273">
        <w:rPr>
          <w:rFonts w:ascii="Lucida Sans Unicode" w:hAnsi="Lucida Sans Unicode" w:cs="Lucida Sans Unicode"/>
          <w:sz w:val="21"/>
          <w:szCs w:val="21"/>
        </w:rPr>
        <w:t>. El procedimiento comprenderá las etapas siguientes:</w:t>
      </w:r>
    </w:p>
    <w:p w14:paraId="2EDF79F1" w14:textId="77777777" w:rsidR="00807738" w:rsidRPr="007B2273" w:rsidRDefault="00807738" w:rsidP="007B2273">
      <w:pPr>
        <w:spacing w:after="0" w:line="276" w:lineRule="auto"/>
        <w:jc w:val="both"/>
        <w:rPr>
          <w:rFonts w:ascii="Lucida Sans Unicode" w:hAnsi="Lucida Sans Unicode" w:cs="Lucida Sans Unicode"/>
          <w:sz w:val="21"/>
          <w:szCs w:val="21"/>
        </w:rPr>
      </w:pPr>
    </w:p>
    <w:p w14:paraId="75AA40E9" w14:textId="77777777" w:rsidR="00094AD9" w:rsidRPr="007B2273" w:rsidRDefault="00094AD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I. Declaración de procedencia por el órgano competente. Solo podrá declararse la procedencia del recuento de una elección, cuando se reúnan las siguientes condiciones:</w:t>
      </w:r>
    </w:p>
    <w:p w14:paraId="1F892E25" w14:textId="77777777" w:rsidR="00094AD9" w:rsidRPr="007B2273" w:rsidRDefault="00094AD9" w:rsidP="007B2273">
      <w:pPr>
        <w:spacing w:after="0" w:line="276" w:lineRule="auto"/>
        <w:jc w:val="both"/>
        <w:rPr>
          <w:rFonts w:ascii="Lucida Sans Unicode" w:hAnsi="Lucida Sans Unicode" w:cs="Lucida Sans Unicode"/>
          <w:sz w:val="21"/>
          <w:szCs w:val="21"/>
        </w:rPr>
      </w:pPr>
    </w:p>
    <w:p w14:paraId="6CBC12E3" w14:textId="77777777" w:rsidR="00094AD9" w:rsidRPr="007B2273" w:rsidRDefault="00094AD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(REFORMADO, P.O. 19 DE JULIO DE 2011)</w:t>
      </w:r>
    </w:p>
    <w:p w14:paraId="062D7951" w14:textId="355903AD" w:rsidR="00094AD9" w:rsidRPr="007B2273" w:rsidRDefault="00094AD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a) La diferencia entre el candidato presunto ganador de la elección y el que haya obtenido el segundo lugar</w:t>
      </w:r>
      <w:r w:rsidR="00781AF3" w:rsidRPr="007B2273">
        <w:rPr>
          <w:rFonts w:ascii="Lucida Sans Unicode" w:hAnsi="Lucida Sans Unicode" w:cs="Lucida Sans Unicode"/>
          <w:b/>
          <w:bCs/>
          <w:sz w:val="21"/>
          <w:szCs w:val="21"/>
        </w:rPr>
        <w:t xml:space="preserve"> SEA MENOR A UN PUNTO PORCENTUAL</w:t>
      </w:r>
      <w:r w:rsidRPr="007B2273">
        <w:rPr>
          <w:rFonts w:ascii="Lucida Sans Unicode" w:hAnsi="Lucida Sans Unicode" w:cs="Lucida Sans Unicode"/>
          <w:b/>
          <w:bCs/>
          <w:sz w:val="21"/>
          <w:szCs w:val="21"/>
        </w:rPr>
        <w:t>,</w:t>
      </w:r>
      <w:r w:rsidRPr="007B2273">
        <w:rPr>
          <w:rFonts w:ascii="Lucida Sans Unicode" w:hAnsi="Lucida Sans Unicode" w:cs="Lucida Sans Unicode"/>
          <w:sz w:val="21"/>
          <w:szCs w:val="21"/>
        </w:rPr>
        <w:t xml:space="preserve"> tomando como referencia la votación total emitida y así lo solicite el representante del candidato que haya obtenido el segundo lugar al momento de firmar el acta de cómputo Municipal o Distrital</w:t>
      </w:r>
      <w:r w:rsidR="000C3180" w:rsidRPr="007B2273">
        <w:rPr>
          <w:rStyle w:val="Refdenotaalpie"/>
          <w:rFonts w:ascii="Lucida Sans Unicode" w:hAnsi="Lucida Sans Unicode" w:cs="Lucida Sans Unicode"/>
          <w:sz w:val="21"/>
          <w:szCs w:val="21"/>
        </w:rPr>
        <w:footnoteReference w:id="2"/>
      </w:r>
      <w:r w:rsidRPr="007B2273">
        <w:rPr>
          <w:rFonts w:ascii="Lucida Sans Unicode" w:hAnsi="Lucida Sans Unicode" w:cs="Lucida Sans Unicode"/>
          <w:sz w:val="21"/>
          <w:szCs w:val="21"/>
        </w:rPr>
        <w:t xml:space="preserve">; </w:t>
      </w:r>
    </w:p>
    <w:p w14:paraId="1993CCCE" w14:textId="77777777" w:rsidR="00094AD9" w:rsidRPr="007B2273" w:rsidRDefault="00094AD9" w:rsidP="007B2273">
      <w:pPr>
        <w:spacing w:after="0" w:line="276" w:lineRule="auto"/>
        <w:jc w:val="both"/>
        <w:rPr>
          <w:rFonts w:ascii="Lucida Sans Unicode" w:hAnsi="Lucida Sans Unicode" w:cs="Lucida Sans Unicode"/>
          <w:sz w:val="21"/>
          <w:szCs w:val="21"/>
        </w:rPr>
      </w:pPr>
    </w:p>
    <w:p w14:paraId="457249DB" w14:textId="493AECA7" w:rsidR="00412455" w:rsidRPr="007B2273" w:rsidRDefault="00094AD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b) La diferencia entre el candidato presunto ganador de la elección y el que haya obtenido el segundo lugar sea igual o</w:t>
      </w:r>
      <w:r w:rsidR="000C3180" w:rsidRPr="007B2273">
        <w:rPr>
          <w:rFonts w:ascii="Lucida Sans Unicode" w:hAnsi="Lucida Sans Unicode" w:cs="Lucida Sans Unicode"/>
          <w:sz w:val="21"/>
          <w:szCs w:val="21"/>
        </w:rPr>
        <w:t xml:space="preserve"> </w:t>
      </w:r>
      <w:r w:rsidRPr="007B2273">
        <w:rPr>
          <w:rFonts w:ascii="Lucida Sans Unicode" w:hAnsi="Lucida Sans Unicode" w:cs="Lucida Sans Unicode"/>
          <w:sz w:val="21"/>
          <w:szCs w:val="21"/>
        </w:rPr>
        <w:t>menor (sic) a los votos nulos y así lo solicite el representante del candidato que haya obtenido el segundo lugar al momento de firmar el acta de cómputo Municipal o Distrital</w:t>
      </w:r>
      <w:r w:rsidR="000C3180" w:rsidRPr="007B2273">
        <w:rPr>
          <w:rFonts w:ascii="Lucida Sans Unicode" w:hAnsi="Lucida Sans Unicode" w:cs="Lucida Sans Unicode"/>
          <w:sz w:val="21"/>
          <w:szCs w:val="21"/>
        </w:rPr>
        <w:t>.</w:t>
      </w:r>
    </w:p>
    <w:p w14:paraId="2D39FB07" w14:textId="77777777" w:rsidR="000C3180" w:rsidRPr="007B2273" w:rsidRDefault="000C3180" w:rsidP="007B2273">
      <w:pPr>
        <w:spacing w:after="0" w:line="276" w:lineRule="auto"/>
        <w:jc w:val="both"/>
        <w:rPr>
          <w:rFonts w:ascii="Lucida Sans Unicode" w:hAnsi="Lucida Sans Unicode" w:cs="Lucida Sans Unicode"/>
          <w:sz w:val="21"/>
          <w:szCs w:val="21"/>
        </w:rPr>
      </w:pPr>
    </w:p>
    <w:p w14:paraId="499416CD" w14:textId="52234046" w:rsidR="0013395B" w:rsidRPr="007B2273" w:rsidRDefault="0033705C" w:rsidP="007B2273">
      <w:pPr>
        <w:pStyle w:val="Estilo"/>
        <w:spacing w:line="276" w:lineRule="auto"/>
        <w:rPr>
          <w:rFonts w:ascii="Lucida Sans Unicode" w:hAnsi="Lucida Sans Unicode" w:cs="Lucida Sans Unicode"/>
          <w:b/>
          <w:bCs/>
          <w:sz w:val="21"/>
          <w:szCs w:val="21"/>
        </w:rPr>
      </w:pPr>
      <w:r w:rsidRPr="007B2273">
        <w:rPr>
          <w:rFonts w:ascii="Lucida Sans Unicode" w:hAnsi="Lucida Sans Unicode" w:cs="Lucida Sans Unicode"/>
          <w:sz w:val="21"/>
          <w:szCs w:val="21"/>
        </w:rPr>
        <w:t>En ese contexto,</w:t>
      </w:r>
      <w:r w:rsidR="0013395B" w:rsidRPr="007B2273">
        <w:rPr>
          <w:rFonts w:ascii="Lucida Sans Unicode" w:hAnsi="Lucida Sans Unicode" w:cs="Lucida Sans Unicode"/>
          <w:sz w:val="21"/>
          <w:szCs w:val="21"/>
        </w:rPr>
        <w:t xml:space="preserve"> hasta aquí resulta sencillo establecer que</w:t>
      </w:r>
      <w:r w:rsidR="0013395B" w:rsidRPr="007B2273">
        <w:rPr>
          <w:rFonts w:ascii="Lucida Sans Unicode" w:hAnsi="Lucida Sans Unicode" w:cs="Lucida Sans Unicode"/>
          <w:b/>
          <w:bCs/>
          <w:sz w:val="21"/>
          <w:szCs w:val="21"/>
        </w:rPr>
        <w:t xml:space="preserve">, toda vez </w:t>
      </w:r>
      <w:proofErr w:type="gramStart"/>
      <w:r w:rsidR="0013395B" w:rsidRPr="007B2273">
        <w:rPr>
          <w:rFonts w:ascii="Lucida Sans Unicode" w:hAnsi="Lucida Sans Unicode" w:cs="Lucida Sans Unicode"/>
          <w:b/>
          <w:bCs/>
          <w:sz w:val="21"/>
          <w:szCs w:val="21"/>
        </w:rPr>
        <w:t>que  la</w:t>
      </w:r>
      <w:proofErr w:type="gramEnd"/>
      <w:r w:rsidR="0013395B" w:rsidRPr="007B2273">
        <w:rPr>
          <w:rFonts w:ascii="Lucida Sans Unicode" w:hAnsi="Lucida Sans Unicode" w:cs="Lucida Sans Unicode"/>
          <w:b/>
          <w:bCs/>
          <w:sz w:val="21"/>
          <w:szCs w:val="21"/>
        </w:rPr>
        <w:t xml:space="preserve"> legislación local dispone un porcentaje menor a “IGUAL O MENOR AL UN 1 PUNTO PORCENTUAL”, las reglas que deben ser aplicables para el caso en comento son las de nuestra entidad; es decir, para el caso de recuento total de votos será aplicable lo dispuesto en el artículo 637 del Código Electoral del Estado de Jalisco.</w:t>
      </w:r>
    </w:p>
    <w:p w14:paraId="7591F96E" w14:textId="77777777" w:rsidR="0013395B" w:rsidRPr="007B2273" w:rsidRDefault="0013395B" w:rsidP="007B2273">
      <w:pPr>
        <w:pStyle w:val="Estilo"/>
        <w:spacing w:line="276" w:lineRule="auto"/>
        <w:rPr>
          <w:rFonts w:ascii="Lucida Sans Unicode" w:hAnsi="Lucida Sans Unicode" w:cs="Lucida Sans Unicode"/>
          <w:b/>
          <w:bCs/>
          <w:sz w:val="21"/>
          <w:szCs w:val="21"/>
        </w:rPr>
      </w:pPr>
    </w:p>
    <w:p w14:paraId="1ECF9513" w14:textId="5A4B9894" w:rsidR="00412455" w:rsidRPr="007B2273" w:rsidRDefault="0013395B" w:rsidP="007B2273">
      <w:pPr>
        <w:pStyle w:val="Estilo"/>
        <w:spacing w:line="276" w:lineRule="auto"/>
        <w:rPr>
          <w:rFonts w:ascii="Lucida Sans Unicode" w:hAnsi="Lucida Sans Unicode" w:cs="Lucida Sans Unicode"/>
          <w:sz w:val="21"/>
          <w:szCs w:val="21"/>
        </w:rPr>
      </w:pPr>
      <w:r w:rsidRPr="007B2273">
        <w:rPr>
          <w:rFonts w:ascii="Lucida Sans Unicode" w:hAnsi="Lucida Sans Unicode" w:cs="Lucida Sans Unicode"/>
          <w:sz w:val="21"/>
          <w:szCs w:val="21"/>
        </w:rPr>
        <w:lastRenderedPageBreak/>
        <w:t xml:space="preserve">Contrario a ello, </w:t>
      </w:r>
      <w:r w:rsidR="0033705C" w:rsidRPr="007B2273">
        <w:rPr>
          <w:rFonts w:ascii="Lucida Sans Unicode" w:hAnsi="Lucida Sans Unicode" w:cs="Lucida Sans Unicode"/>
          <w:sz w:val="21"/>
          <w:szCs w:val="21"/>
        </w:rPr>
        <w:t>p</w:t>
      </w:r>
      <w:r w:rsidR="00373AEB" w:rsidRPr="007B2273">
        <w:rPr>
          <w:rFonts w:ascii="Lucida Sans Unicode" w:hAnsi="Lucida Sans Unicode" w:cs="Lucida Sans Unicode"/>
          <w:sz w:val="21"/>
          <w:szCs w:val="21"/>
        </w:rPr>
        <w:t xml:space="preserve">or lo que ve a los Lineamientos </w:t>
      </w:r>
      <w:r w:rsidR="005C647A" w:rsidRPr="007B2273">
        <w:rPr>
          <w:rFonts w:ascii="Lucida Sans Unicode" w:hAnsi="Lucida Sans Unicode" w:cs="Lucida Sans Unicode"/>
          <w:sz w:val="21"/>
          <w:szCs w:val="21"/>
        </w:rPr>
        <w:t>aprobados</w:t>
      </w:r>
      <w:r w:rsidRPr="007B2273">
        <w:rPr>
          <w:rFonts w:ascii="Lucida Sans Unicode" w:hAnsi="Lucida Sans Unicode" w:cs="Lucida Sans Unicode"/>
          <w:sz w:val="21"/>
          <w:szCs w:val="21"/>
        </w:rPr>
        <w:t xml:space="preserve"> por mayoría de votos de quienes integramos el Consejo General, en los cuales se </w:t>
      </w:r>
      <w:r w:rsidR="00391097" w:rsidRPr="007B2273">
        <w:rPr>
          <w:rFonts w:ascii="Lucida Sans Unicode" w:hAnsi="Lucida Sans Unicode" w:cs="Lucida Sans Unicode"/>
          <w:sz w:val="21"/>
          <w:szCs w:val="21"/>
        </w:rPr>
        <w:t>regu</w:t>
      </w:r>
      <w:r w:rsidR="009E699E" w:rsidRPr="007B2273">
        <w:rPr>
          <w:rFonts w:ascii="Lucida Sans Unicode" w:hAnsi="Lucida Sans Unicode" w:cs="Lucida Sans Unicode"/>
          <w:sz w:val="21"/>
          <w:szCs w:val="21"/>
        </w:rPr>
        <w:t>la el desarrollo de las sesiones de cómputo del Instituto Electoral y de Participación Ciudadana del Estado de Jalisc</w:t>
      </w:r>
      <w:r w:rsidR="00740CC4" w:rsidRPr="007B2273">
        <w:rPr>
          <w:rFonts w:ascii="Lucida Sans Unicode" w:hAnsi="Lucida Sans Unicode" w:cs="Lucida Sans Unicode"/>
          <w:sz w:val="21"/>
          <w:szCs w:val="21"/>
        </w:rPr>
        <w:t xml:space="preserve">o, </w:t>
      </w:r>
      <w:r w:rsidRPr="007B2273">
        <w:rPr>
          <w:rFonts w:ascii="Lucida Sans Unicode" w:hAnsi="Lucida Sans Unicode" w:cs="Lucida Sans Unicode"/>
          <w:sz w:val="21"/>
          <w:szCs w:val="21"/>
        </w:rPr>
        <w:t xml:space="preserve">en lo que interesa; </w:t>
      </w:r>
      <w:r w:rsidR="00740CC4" w:rsidRPr="007B2273">
        <w:rPr>
          <w:rFonts w:ascii="Lucida Sans Unicode" w:hAnsi="Lucida Sans Unicode" w:cs="Lucida Sans Unicode"/>
          <w:sz w:val="21"/>
          <w:szCs w:val="21"/>
        </w:rPr>
        <w:t>se señala</w:t>
      </w:r>
      <w:r w:rsidRPr="007B2273">
        <w:rPr>
          <w:rFonts w:ascii="Lucida Sans Unicode" w:hAnsi="Lucida Sans Unicode" w:cs="Lucida Sans Unicode"/>
          <w:sz w:val="21"/>
          <w:szCs w:val="21"/>
        </w:rPr>
        <w:t xml:space="preserve"> de forma sistemática</w:t>
      </w:r>
      <w:r w:rsidR="00740CC4" w:rsidRPr="007B2273">
        <w:rPr>
          <w:rFonts w:ascii="Lucida Sans Unicode" w:hAnsi="Lucida Sans Unicode" w:cs="Lucida Sans Unicode"/>
          <w:sz w:val="21"/>
          <w:szCs w:val="21"/>
        </w:rPr>
        <w:t xml:space="preserve"> en l</w:t>
      </w:r>
      <w:r w:rsidRPr="007B2273">
        <w:rPr>
          <w:rFonts w:ascii="Lucida Sans Unicode" w:hAnsi="Lucida Sans Unicode" w:cs="Lucida Sans Unicode"/>
          <w:sz w:val="21"/>
          <w:szCs w:val="21"/>
        </w:rPr>
        <w:t>os</w:t>
      </w:r>
      <w:r w:rsidR="00740CC4" w:rsidRPr="007B2273">
        <w:rPr>
          <w:rFonts w:ascii="Lucida Sans Unicode" w:hAnsi="Lucida Sans Unicode" w:cs="Lucida Sans Unicode"/>
          <w:sz w:val="21"/>
          <w:szCs w:val="21"/>
        </w:rPr>
        <w:t xml:space="preserve"> artículo</w:t>
      </w:r>
      <w:r w:rsidRPr="007B2273">
        <w:rPr>
          <w:rFonts w:ascii="Lucida Sans Unicode" w:hAnsi="Lucida Sans Unicode" w:cs="Lucida Sans Unicode"/>
          <w:sz w:val="21"/>
          <w:szCs w:val="21"/>
        </w:rPr>
        <w:t>s 40,</w:t>
      </w:r>
      <w:r w:rsidR="00740CC4" w:rsidRPr="007B2273">
        <w:rPr>
          <w:rFonts w:ascii="Lucida Sans Unicode" w:hAnsi="Lucida Sans Unicode" w:cs="Lucida Sans Unicode"/>
          <w:sz w:val="21"/>
          <w:szCs w:val="21"/>
        </w:rPr>
        <w:t xml:space="preserve"> 4</w:t>
      </w:r>
      <w:r w:rsidR="00DC74EC" w:rsidRPr="007B2273">
        <w:rPr>
          <w:rFonts w:ascii="Lucida Sans Unicode" w:hAnsi="Lucida Sans Unicode" w:cs="Lucida Sans Unicode"/>
          <w:sz w:val="21"/>
          <w:szCs w:val="21"/>
        </w:rPr>
        <w:t>1</w:t>
      </w:r>
      <w:r w:rsidRPr="007B2273">
        <w:rPr>
          <w:rFonts w:ascii="Lucida Sans Unicode" w:hAnsi="Lucida Sans Unicode" w:cs="Lucida Sans Unicode"/>
          <w:sz w:val="21"/>
          <w:szCs w:val="21"/>
        </w:rPr>
        <w:t xml:space="preserve"> y 42,</w:t>
      </w:r>
      <w:r w:rsidR="00E10753" w:rsidRPr="007B2273">
        <w:rPr>
          <w:rFonts w:ascii="Lucida Sans Unicode" w:hAnsi="Lucida Sans Unicode" w:cs="Lucida Sans Unicode"/>
          <w:sz w:val="21"/>
          <w:szCs w:val="21"/>
        </w:rPr>
        <w:t xml:space="preserve"> </w:t>
      </w:r>
      <w:r w:rsidRPr="007B2273">
        <w:rPr>
          <w:rFonts w:ascii="Lucida Sans Unicode" w:hAnsi="Lucida Sans Unicode" w:cs="Lucida Sans Unicode"/>
          <w:sz w:val="21"/>
          <w:szCs w:val="21"/>
        </w:rPr>
        <w:t xml:space="preserve">el </w:t>
      </w:r>
      <w:r w:rsidR="007B2273" w:rsidRPr="007B2273">
        <w:rPr>
          <w:rFonts w:ascii="Lucida Sans Unicode" w:hAnsi="Lucida Sans Unicode" w:cs="Lucida Sans Unicode"/>
          <w:sz w:val="21"/>
          <w:szCs w:val="21"/>
        </w:rPr>
        <w:t>procedimiento, competencia</w:t>
      </w:r>
      <w:r w:rsidRPr="007B2273">
        <w:rPr>
          <w:rFonts w:ascii="Lucida Sans Unicode" w:hAnsi="Lucida Sans Unicode" w:cs="Lucida Sans Unicode"/>
          <w:sz w:val="21"/>
          <w:szCs w:val="21"/>
        </w:rPr>
        <w:t xml:space="preserve"> y desarrollo del ejercicio de recuento total de votos a cargo</w:t>
      </w:r>
      <w:r w:rsidR="00E10753" w:rsidRPr="007B2273">
        <w:rPr>
          <w:rFonts w:ascii="Lucida Sans Unicode" w:hAnsi="Lucida Sans Unicode" w:cs="Lucida Sans Unicode"/>
          <w:sz w:val="21"/>
          <w:szCs w:val="21"/>
        </w:rPr>
        <w:t xml:space="preserve"> de los </w:t>
      </w:r>
      <w:r w:rsidRPr="007B2273">
        <w:rPr>
          <w:rFonts w:ascii="Lucida Sans Unicode" w:hAnsi="Lucida Sans Unicode" w:cs="Lucida Sans Unicode"/>
          <w:sz w:val="21"/>
          <w:szCs w:val="21"/>
        </w:rPr>
        <w:t xml:space="preserve">propios </w:t>
      </w:r>
      <w:r w:rsidR="00E10753" w:rsidRPr="007B2273">
        <w:rPr>
          <w:rFonts w:ascii="Lucida Sans Unicode" w:hAnsi="Lucida Sans Unicode" w:cs="Lucida Sans Unicode"/>
          <w:sz w:val="21"/>
          <w:szCs w:val="21"/>
        </w:rPr>
        <w:t>consejos municipales</w:t>
      </w:r>
      <w:r w:rsidRPr="007B2273">
        <w:rPr>
          <w:rFonts w:ascii="Lucida Sans Unicode" w:hAnsi="Lucida Sans Unicode" w:cs="Lucida Sans Unicode"/>
          <w:sz w:val="21"/>
          <w:szCs w:val="21"/>
        </w:rPr>
        <w:t>.</w:t>
      </w:r>
    </w:p>
    <w:p w14:paraId="0C1DCB72" w14:textId="77777777" w:rsidR="00F215C7" w:rsidRPr="007B2273" w:rsidRDefault="00F215C7" w:rsidP="007B2273">
      <w:pPr>
        <w:spacing w:after="0" w:line="276" w:lineRule="auto"/>
        <w:jc w:val="both"/>
        <w:rPr>
          <w:rFonts w:ascii="Lucida Sans Unicode" w:hAnsi="Lucida Sans Unicode" w:cs="Lucida Sans Unicode"/>
          <w:sz w:val="21"/>
          <w:szCs w:val="21"/>
        </w:rPr>
      </w:pPr>
    </w:p>
    <w:p w14:paraId="0AA359C2" w14:textId="1416F1DB" w:rsidR="00F215C7" w:rsidRPr="007B2273" w:rsidRDefault="0013395B"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En efecto, pese a que existe disposición normativa expresa, así como determinación para que se aplique dicho ordenamiento legal local;</w:t>
      </w:r>
      <w:r w:rsidR="00CC15E7" w:rsidRPr="007B2273">
        <w:rPr>
          <w:rFonts w:ascii="Lucida Sans Unicode" w:hAnsi="Lucida Sans Unicode" w:cs="Lucida Sans Unicode"/>
          <w:sz w:val="21"/>
          <w:szCs w:val="21"/>
        </w:rPr>
        <w:t xml:space="preserve"> </w:t>
      </w:r>
      <w:r w:rsidRPr="007B2273">
        <w:rPr>
          <w:rFonts w:ascii="Lucida Sans Unicode" w:hAnsi="Lucida Sans Unicode" w:cs="Lucida Sans Unicode"/>
          <w:sz w:val="21"/>
          <w:szCs w:val="21"/>
        </w:rPr>
        <w:t xml:space="preserve">en </w:t>
      </w:r>
      <w:r w:rsidR="00F215C7" w:rsidRPr="007B2273">
        <w:rPr>
          <w:rFonts w:ascii="Lucida Sans Unicode" w:hAnsi="Lucida Sans Unicode" w:cs="Lucida Sans Unicode"/>
          <w:sz w:val="21"/>
          <w:szCs w:val="21"/>
        </w:rPr>
        <w:t xml:space="preserve">el caso de actualización de </w:t>
      </w:r>
      <w:r w:rsidRPr="007B2273">
        <w:rPr>
          <w:rFonts w:ascii="Lucida Sans Unicode" w:hAnsi="Lucida Sans Unicode" w:cs="Lucida Sans Unicode"/>
          <w:sz w:val="21"/>
          <w:szCs w:val="21"/>
        </w:rPr>
        <w:t xml:space="preserve">un </w:t>
      </w:r>
      <w:r w:rsidR="00F215C7" w:rsidRPr="007B2273">
        <w:rPr>
          <w:rFonts w:ascii="Lucida Sans Unicode" w:hAnsi="Lucida Sans Unicode" w:cs="Lucida Sans Unicode"/>
          <w:sz w:val="21"/>
          <w:szCs w:val="21"/>
        </w:rPr>
        <w:t>recuento total de la elección de munícipes</w:t>
      </w:r>
      <w:r w:rsidRPr="007B2273">
        <w:rPr>
          <w:rFonts w:ascii="Lucida Sans Unicode" w:hAnsi="Lucida Sans Unicode" w:cs="Lucida Sans Unicode"/>
          <w:sz w:val="21"/>
          <w:szCs w:val="21"/>
        </w:rPr>
        <w:t xml:space="preserve"> se</w:t>
      </w:r>
      <w:r w:rsidR="00F215C7" w:rsidRPr="007B2273">
        <w:rPr>
          <w:rFonts w:ascii="Lucida Sans Unicode" w:hAnsi="Lucida Sans Unicode" w:cs="Lucida Sans Unicode"/>
          <w:sz w:val="21"/>
          <w:szCs w:val="21"/>
        </w:rPr>
        <w:t xml:space="preserve"> dispone </w:t>
      </w:r>
      <w:r w:rsidRPr="007B2273">
        <w:rPr>
          <w:rFonts w:ascii="Lucida Sans Unicode" w:hAnsi="Lucida Sans Unicode" w:cs="Lucida Sans Unicode"/>
          <w:sz w:val="21"/>
          <w:szCs w:val="21"/>
        </w:rPr>
        <w:t xml:space="preserve">reglamentariamente a través de los citados Lineamientos, </w:t>
      </w:r>
      <w:r w:rsidR="00F215C7" w:rsidRPr="007B2273">
        <w:rPr>
          <w:rFonts w:ascii="Lucida Sans Unicode" w:hAnsi="Lucida Sans Unicode" w:cs="Lucida Sans Unicode"/>
          <w:sz w:val="21"/>
          <w:szCs w:val="21"/>
        </w:rPr>
        <w:t xml:space="preserve">que la autoridad responsable </w:t>
      </w:r>
      <w:r w:rsidR="006F5639" w:rsidRPr="007B2273">
        <w:rPr>
          <w:rFonts w:ascii="Lucida Sans Unicode" w:hAnsi="Lucida Sans Unicode" w:cs="Lucida Sans Unicode"/>
          <w:sz w:val="21"/>
          <w:szCs w:val="21"/>
        </w:rPr>
        <w:t xml:space="preserve">para efectuarlo </w:t>
      </w:r>
      <w:r w:rsidRPr="007B2273">
        <w:rPr>
          <w:rFonts w:ascii="Lucida Sans Unicode" w:hAnsi="Lucida Sans Unicode" w:cs="Lucida Sans Unicode"/>
          <w:sz w:val="21"/>
          <w:szCs w:val="21"/>
        </w:rPr>
        <w:t>sea</w:t>
      </w:r>
      <w:r w:rsidR="00F215C7" w:rsidRPr="007B2273">
        <w:rPr>
          <w:rFonts w:ascii="Lucida Sans Unicode" w:hAnsi="Lucida Sans Unicode" w:cs="Lucida Sans Unicode"/>
          <w:sz w:val="21"/>
          <w:szCs w:val="21"/>
        </w:rPr>
        <w:t xml:space="preserve"> el </w:t>
      </w:r>
      <w:r w:rsidRPr="007B2273">
        <w:rPr>
          <w:rFonts w:ascii="Lucida Sans Unicode" w:hAnsi="Lucida Sans Unicode" w:cs="Lucida Sans Unicode"/>
          <w:sz w:val="21"/>
          <w:szCs w:val="21"/>
        </w:rPr>
        <w:t xml:space="preserve">mismo </w:t>
      </w:r>
      <w:r w:rsidR="00F215C7" w:rsidRPr="007B2273">
        <w:rPr>
          <w:rFonts w:ascii="Lucida Sans Unicode" w:hAnsi="Lucida Sans Unicode" w:cs="Lucida Sans Unicode"/>
          <w:sz w:val="21"/>
          <w:szCs w:val="21"/>
        </w:rPr>
        <w:t xml:space="preserve">Consejo </w:t>
      </w:r>
      <w:r w:rsidRPr="007B2273">
        <w:rPr>
          <w:rFonts w:ascii="Lucida Sans Unicode" w:hAnsi="Lucida Sans Unicode" w:cs="Lucida Sans Unicode"/>
          <w:sz w:val="21"/>
          <w:szCs w:val="21"/>
        </w:rPr>
        <w:t>Municipal que recibió la votación</w:t>
      </w:r>
      <w:r w:rsidR="00F215C7" w:rsidRPr="007B2273">
        <w:rPr>
          <w:rFonts w:ascii="Lucida Sans Unicode" w:hAnsi="Lucida Sans Unicode" w:cs="Lucida Sans Unicode"/>
          <w:sz w:val="21"/>
          <w:szCs w:val="21"/>
        </w:rPr>
        <w:t xml:space="preserve">; y no el consejo </w:t>
      </w:r>
      <w:r w:rsidRPr="007B2273">
        <w:rPr>
          <w:rFonts w:ascii="Lucida Sans Unicode" w:hAnsi="Lucida Sans Unicode" w:cs="Lucida Sans Unicode"/>
          <w:sz w:val="21"/>
          <w:szCs w:val="21"/>
        </w:rPr>
        <w:t>Distrital, visto como una segunda instancia y al que le corresponda la demarcación de aquél m</w:t>
      </w:r>
      <w:r w:rsidR="00F215C7" w:rsidRPr="007B2273">
        <w:rPr>
          <w:rFonts w:ascii="Lucida Sans Unicode" w:hAnsi="Lucida Sans Unicode" w:cs="Lucida Sans Unicode"/>
          <w:sz w:val="21"/>
          <w:szCs w:val="21"/>
        </w:rPr>
        <w:t>unicipal</w:t>
      </w:r>
      <w:r w:rsidR="006F5639" w:rsidRPr="007B2273">
        <w:rPr>
          <w:rFonts w:ascii="Lucida Sans Unicode" w:hAnsi="Lucida Sans Unicode" w:cs="Lucida Sans Unicode"/>
          <w:sz w:val="21"/>
          <w:szCs w:val="21"/>
        </w:rPr>
        <w:t>.</w:t>
      </w:r>
    </w:p>
    <w:p w14:paraId="2E130033" w14:textId="77777777" w:rsidR="00526E30" w:rsidRPr="007B2273" w:rsidRDefault="00526E30" w:rsidP="007B2273">
      <w:pPr>
        <w:spacing w:after="0" w:line="276" w:lineRule="auto"/>
        <w:jc w:val="both"/>
        <w:rPr>
          <w:rFonts w:ascii="Lucida Sans Unicode" w:hAnsi="Lucida Sans Unicode" w:cs="Lucida Sans Unicode"/>
          <w:sz w:val="21"/>
          <w:szCs w:val="21"/>
        </w:rPr>
      </w:pPr>
    </w:p>
    <w:p w14:paraId="0CFFAB01" w14:textId="2D6594F3" w:rsidR="0013395B" w:rsidRDefault="00465E33"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En este sentido, </w:t>
      </w:r>
      <w:r w:rsidR="0013395B" w:rsidRPr="007B2273">
        <w:rPr>
          <w:rFonts w:ascii="Lucida Sans Unicode" w:hAnsi="Lucida Sans Unicode" w:cs="Lucida Sans Unicode"/>
          <w:sz w:val="21"/>
          <w:szCs w:val="21"/>
        </w:rPr>
        <w:t xml:space="preserve">lo que destaca y en esencia es completamente opuesto a mi criterio, es que, sin facultades o atribuciones para tal efecto, este Consejo General </w:t>
      </w:r>
      <w:r w:rsidR="00794FDA" w:rsidRPr="007B2273">
        <w:rPr>
          <w:rFonts w:ascii="Lucida Sans Unicode" w:hAnsi="Lucida Sans Unicode" w:cs="Lucida Sans Unicode"/>
          <w:sz w:val="21"/>
          <w:szCs w:val="21"/>
        </w:rPr>
        <w:t>modifica una porción normativa local</w:t>
      </w:r>
      <w:r w:rsidR="00451260" w:rsidRPr="007B2273">
        <w:rPr>
          <w:rFonts w:ascii="Lucida Sans Unicode" w:hAnsi="Lucida Sans Unicode" w:cs="Lucida Sans Unicode"/>
          <w:sz w:val="21"/>
          <w:szCs w:val="21"/>
        </w:rPr>
        <w:t xml:space="preserve"> </w:t>
      </w:r>
      <w:r w:rsidR="00794FDA" w:rsidRPr="007B2273">
        <w:rPr>
          <w:rFonts w:ascii="Lucida Sans Unicode" w:hAnsi="Lucida Sans Unicode" w:cs="Lucida Sans Unicode"/>
          <w:sz w:val="21"/>
          <w:szCs w:val="21"/>
        </w:rPr>
        <w:t>median</w:t>
      </w:r>
      <w:r w:rsidR="005C647A" w:rsidRPr="007B2273">
        <w:rPr>
          <w:rFonts w:ascii="Lucida Sans Unicode" w:hAnsi="Lucida Sans Unicode" w:cs="Lucida Sans Unicode"/>
          <w:sz w:val="21"/>
          <w:szCs w:val="21"/>
        </w:rPr>
        <w:t>t</w:t>
      </w:r>
      <w:r w:rsidR="00794FDA" w:rsidRPr="007B2273">
        <w:rPr>
          <w:rFonts w:ascii="Lucida Sans Unicode" w:hAnsi="Lucida Sans Unicode" w:cs="Lucida Sans Unicode"/>
          <w:sz w:val="21"/>
          <w:szCs w:val="21"/>
        </w:rPr>
        <w:t>e un</w:t>
      </w:r>
      <w:r w:rsidR="0013395B" w:rsidRPr="007B2273">
        <w:rPr>
          <w:rFonts w:ascii="Lucida Sans Unicode" w:hAnsi="Lucida Sans Unicode" w:cs="Lucida Sans Unicode"/>
          <w:sz w:val="21"/>
          <w:szCs w:val="21"/>
        </w:rPr>
        <w:t>a disposición reglamentaria denominada “</w:t>
      </w:r>
      <w:r w:rsidR="000E695F" w:rsidRPr="007B2273">
        <w:rPr>
          <w:rFonts w:ascii="Lucida Sans Unicode" w:hAnsi="Lucida Sans Unicode" w:cs="Lucida Sans Unicode"/>
          <w:sz w:val="21"/>
          <w:szCs w:val="21"/>
        </w:rPr>
        <w:t>lineamientos</w:t>
      </w:r>
      <w:r w:rsidR="0013395B" w:rsidRPr="007B2273">
        <w:rPr>
          <w:rFonts w:ascii="Lucida Sans Unicode" w:hAnsi="Lucida Sans Unicode" w:cs="Lucida Sans Unicode"/>
          <w:sz w:val="21"/>
          <w:szCs w:val="21"/>
        </w:rPr>
        <w:t xml:space="preserve">”, los cuales son expedidos, desde mi opinión, en la percepción equivocada consistente en que las facultades reglamentarias con las que se dota a </w:t>
      </w:r>
      <w:r w:rsidR="0033068B" w:rsidRPr="007B2273">
        <w:rPr>
          <w:rFonts w:ascii="Lucida Sans Unicode" w:hAnsi="Lucida Sans Unicode" w:cs="Lucida Sans Unicode"/>
          <w:sz w:val="21"/>
          <w:szCs w:val="21"/>
        </w:rPr>
        <w:t>este Instituto Electoral y de Participación Ciudadana</w:t>
      </w:r>
      <w:r w:rsidR="0013395B" w:rsidRPr="007B2273">
        <w:rPr>
          <w:rFonts w:ascii="Lucida Sans Unicode" w:hAnsi="Lucida Sans Unicode" w:cs="Lucida Sans Unicode"/>
          <w:sz w:val="21"/>
          <w:szCs w:val="21"/>
        </w:rPr>
        <w:t xml:space="preserve"> alcanzan o son suficientes para que, bajo una supuesta interpretación del sistema electoral local, pueda alterarse una norma legal</w:t>
      </w:r>
      <w:r w:rsidR="0033068B" w:rsidRPr="007B2273">
        <w:rPr>
          <w:rFonts w:ascii="Lucida Sans Unicode" w:hAnsi="Lucida Sans Unicode" w:cs="Lucida Sans Unicode"/>
          <w:sz w:val="21"/>
          <w:szCs w:val="21"/>
        </w:rPr>
        <w:t>; e</w:t>
      </w:r>
      <w:r w:rsidR="0013395B" w:rsidRPr="007B2273">
        <w:rPr>
          <w:rFonts w:ascii="Lucida Sans Unicode" w:hAnsi="Lucida Sans Unicode" w:cs="Lucida Sans Unicode"/>
          <w:sz w:val="21"/>
          <w:szCs w:val="21"/>
        </w:rPr>
        <w:t xml:space="preserve">n </w:t>
      </w:r>
      <w:r w:rsidR="0033068B" w:rsidRPr="007B2273">
        <w:rPr>
          <w:rFonts w:ascii="Lucida Sans Unicode" w:hAnsi="Lucida Sans Unicode" w:cs="Lucida Sans Unicode"/>
          <w:sz w:val="21"/>
          <w:szCs w:val="21"/>
        </w:rPr>
        <w:t xml:space="preserve">palabras sencillas, </w:t>
      </w:r>
      <w:r w:rsidR="0013395B" w:rsidRPr="007B2273">
        <w:rPr>
          <w:rFonts w:ascii="Lucida Sans Unicode" w:hAnsi="Lucida Sans Unicode" w:cs="Lucida Sans Unicode"/>
          <w:sz w:val="21"/>
          <w:szCs w:val="21"/>
        </w:rPr>
        <w:t xml:space="preserve">al dotar de competencia a los órganos municipales electorales para efectuar el recuento total de votos, </w:t>
      </w:r>
      <w:r w:rsidR="008C53F8" w:rsidRPr="007B2273">
        <w:rPr>
          <w:rFonts w:ascii="Lucida Sans Unicode" w:hAnsi="Lucida Sans Unicode" w:cs="Lucida Sans Unicode"/>
          <w:sz w:val="21"/>
          <w:szCs w:val="21"/>
        </w:rPr>
        <w:t xml:space="preserve">se </w:t>
      </w:r>
      <w:r w:rsidR="0013395B" w:rsidRPr="007B2273">
        <w:rPr>
          <w:rFonts w:ascii="Lucida Sans Unicode" w:hAnsi="Lucida Sans Unicode" w:cs="Lucida Sans Unicode"/>
          <w:sz w:val="21"/>
          <w:szCs w:val="21"/>
        </w:rPr>
        <w:t>altera una ordenamiento legal por la vía de</w:t>
      </w:r>
      <w:r w:rsidR="008C53F8" w:rsidRPr="007B2273">
        <w:rPr>
          <w:rFonts w:ascii="Lucida Sans Unicode" w:hAnsi="Lucida Sans Unicode" w:cs="Lucida Sans Unicode"/>
          <w:sz w:val="21"/>
          <w:szCs w:val="21"/>
        </w:rPr>
        <w:t xml:space="preserve"> un reglamento </w:t>
      </w:r>
      <w:r w:rsidR="0013395B" w:rsidRPr="007B2273">
        <w:rPr>
          <w:rFonts w:ascii="Lucida Sans Unicode" w:hAnsi="Lucida Sans Unicode" w:cs="Lucida Sans Unicode"/>
          <w:sz w:val="21"/>
          <w:szCs w:val="21"/>
        </w:rPr>
        <w:t xml:space="preserve">aprobado </w:t>
      </w:r>
      <w:r w:rsidR="008C53F8" w:rsidRPr="007B2273">
        <w:rPr>
          <w:rFonts w:ascii="Lucida Sans Unicode" w:hAnsi="Lucida Sans Unicode" w:cs="Lucida Sans Unicode"/>
          <w:sz w:val="21"/>
          <w:szCs w:val="21"/>
        </w:rPr>
        <w:t>por este Consejo General</w:t>
      </w:r>
      <w:r w:rsidR="0013395B" w:rsidRPr="007B2273">
        <w:rPr>
          <w:rFonts w:ascii="Lucida Sans Unicode" w:hAnsi="Lucida Sans Unicode" w:cs="Lucida Sans Unicode"/>
          <w:sz w:val="21"/>
          <w:szCs w:val="21"/>
        </w:rPr>
        <w:t xml:space="preserve"> sin que exista facultades para efectuar dicha modificación</w:t>
      </w:r>
      <w:r w:rsidR="008C53F8" w:rsidRPr="007B2273">
        <w:rPr>
          <w:rFonts w:ascii="Lucida Sans Unicode" w:hAnsi="Lucida Sans Unicode" w:cs="Lucida Sans Unicode"/>
          <w:sz w:val="21"/>
          <w:szCs w:val="21"/>
        </w:rPr>
        <w:t>.</w:t>
      </w:r>
    </w:p>
    <w:p w14:paraId="563A7070" w14:textId="77777777" w:rsidR="007B2273" w:rsidRPr="007B2273" w:rsidRDefault="007B2273" w:rsidP="007B2273">
      <w:pPr>
        <w:spacing w:after="0" w:line="276" w:lineRule="auto"/>
        <w:jc w:val="both"/>
        <w:rPr>
          <w:rFonts w:ascii="Lucida Sans Unicode" w:hAnsi="Lucida Sans Unicode" w:cs="Lucida Sans Unicode"/>
          <w:sz w:val="21"/>
          <w:szCs w:val="21"/>
        </w:rPr>
      </w:pPr>
    </w:p>
    <w:p w14:paraId="19F5B2E7" w14:textId="65B2E3F3" w:rsidR="00327AE1" w:rsidRPr="007B2273" w:rsidRDefault="003B76A9"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En este tenor, adquiere relevancia </w:t>
      </w:r>
      <w:r w:rsidR="00922FB0" w:rsidRPr="007B2273">
        <w:rPr>
          <w:rFonts w:ascii="Lucida Sans Unicode" w:hAnsi="Lucida Sans Unicode" w:cs="Lucida Sans Unicode"/>
          <w:sz w:val="21"/>
          <w:szCs w:val="21"/>
        </w:rPr>
        <w:t>señalar</w:t>
      </w:r>
      <w:r w:rsidRPr="007B2273">
        <w:rPr>
          <w:rFonts w:ascii="Lucida Sans Unicode" w:hAnsi="Lucida Sans Unicode" w:cs="Lucida Sans Unicode"/>
          <w:sz w:val="21"/>
          <w:szCs w:val="21"/>
        </w:rPr>
        <w:t xml:space="preserve"> que</w:t>
      </w:r>
      <w:r w:rsidR="00EB1D04" w:rsidRPr="007B2273">
        <w:rPr>
          <w:rFonts w:ascii="Lucida Sans Unicode" w:hAnsi="Lucida Sans Unicode" w:cs="Lucida Sans Unicode"/>
          <w:sz w:val="21"/>
          <w:szCs w:val="21"/>
        </w:rPr>
        <w:t xml:space="preserve"> el acto de modificación de una ley es una facultad de la que carece este órgano administrativo electoral; y que tal pretensión únicamente puede ser alcanzada por otros entes como lo son: </w:t>
      </w:r>
    </w:p>
    <w:p w14:paraId="1A206612" w14:textId="77777777" w:rsidR="005C647A" w:rsidRPr="007B2273" w:rsidRDefault="005C647A" w:rsidP="007B2273">
      <w:pPr>
        <w:spacing w:after="0" w:line="276" w:lineRule="auto"/>
        <w:jc w:val="both"/>
        <w:rPr>
          <w:rFonts w:ascii="Lucida Sans Unicode" w:hAnsi="Lucida Sans Unicode" w:cs="Lucida Sans Unicode"/>
          <w:sz w:val="21"/>
          <w:szCs w:val="21"/>
        </w:rPr>
      </w:pPr>
    </w:p>
    <w:p w14:paraId="6EE2CF6E" w14:textId="5CFE83B9" w:rsidR="008C53F8" w:rsidRPr="007B2273" w:rsidRDefault="00EB1D04" w:rsidP="007B2273">
      <w:pPr>
        <w:pStyle w:val="Prrafodelista"/>
        <w:numPr>
          <w:ilvl w:val="0"/>
          <w:numId w:val="2"/>
        </w:num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lastRenderedPageBreak/>
        <w:t>El Congreso de la entidad quien tiene a su cargo la facultad y obligación de llevar a cabo las reformas que considere pertinentes y que, en el caso particular, aunque le fue presentada una solicitud al respecto</w:t>
      </w:r>
      <w:r w:rsidR="00327AE1" w:rsidRPr="007B2273">
        <w:rPr>
          <w:rFonts w:ascii="Lucida Sans Unicode" w:hAnsi="Lucida Sans Unicode" w:cs="Lucida Sans Unicode"/>
          <w:sz w:val="21"/>
          <w:szCs w:val="21"/>
        </w:rPr>
        <w:t>,</w:t>
      </w:r>
      <w:r w:rsidRPr="007B2273">
        <w:rPr>
          <w:rFonts w:ascii="Lucida Sans Unicode" w:hAnsi="Lucida Sans Unicode" w:cs="Lucida Sans Unicode"/>
          <w:sz w:val="21"/>
          <w:szCs w:val="21"/>
        </w:rPr>
        <w:t xml:space="preserve"> esto no sucedió</w:t>
      </w:r>
      <w:r w:rsidR="00327AE1" w:rsidRPr="007B2273">
        <w:rPr>
          <w:rFonts w:ascii="Lucida Sans Unicode" w:hAnsi="Lucida Sans Unicode" w:cs="Lucida Sans Unicode"/>
          <w:sz w:val="21"/>
          <w:szCs w:val="21"/>
        </w:rPr>
        <w:t>, razón por la que es aplicable</w:t>
      </w:r>
      <w:r w:rsidR="00056B07" w:rsidRPr="007B2273">
        <w:rPr>
          <w:rFonts w:ascii="Lucida Sans Unicode" w:hAnsi="Lucida Sans Unicode" w:cs="Lucida Sans Unicode"/>
          <w:sz w:val="21"/>
          <w:szCs w:val="21"/>
        </w:rPr>
        <w:t xml:space="preserve"> sin modificación alguna</w:t>
      </w:r>
      <w:r w:rsidR="00922FB0" w:rsidRPr="007B2273">
        <w:rPr>
          <w:rFonts w:ascii="Lucida Sans Unicode" w:hAnsi="Lucida Sans Unicode" w:cs="Lucida Sans Unicode"/>
          <w:sz w:val="21"/>
          <w:szCs w:val="21"/>
        </w:rPr>
        <w:t>,</w:t>
      </w:r>
      <w:r w:rsidR="00056B07" w:rsidRPr="007B2273">
        <w:rPr>
          <w:rFonts w:ascii="Lucida Sans Unicode" w:hAnsi="Lucida Sans Unicode" w:cs="Lucida Sans Unicode"/>
          <w:sz w:val="21"/>
          <w:szCs w:val="21"/>
        </w:rPr>
        <w:t xml:space="preserve"> al tema que nos ocupa</w:t>
      </w:r>
      <w:r w:rsidR="00922FB0" w:rsidRPr="007B2273">
        <w:rPr>
          <w:rFonts w:ascii="Lucida Sans Unicode" w:hAnsi="Lucida Sans Unicode" w:cs="Lucida Sans Unicode"/>
          <w:sz w:val="21"/>
          <w:szCs w:val="21"/>
        </w:rPr>
        <w:t>,</w:t>
      </w:r>
      <w:r w:rsidR="00056B07" w:rsidRPr="007B2273">
        <w:rPr>
          <w:rFonts w:ascii="Lucida Sans Unicode" w:hAnsi="Lucida Sans Unicode" w:cs="Lucida Sans Unicode"/>
          <w:sz w:val="21"/>
          <w:szCs w:val="21"/>
        </w:rPr>
        <w:t xml:space="preserve"> el artículo 637 del Código Electoral del Estado de Jalisco.</w:t>
      </w:r>
    </w:p>
    <w:p w14:paraId="40D27746" w14:textId="77777777" w:rsidR="005C647A" w:rsidRPr="007B2273" w:rsidRDefault="005C647A" w:rsidP="007B2273">
      <w:pPr>
        <w:pStyle w:val="Prrafodelista"/>
        <w:spacing w:after="0" w:line="276" w:lineRule="auto"/>
        <w:jc w:val="both"/>
        <w:rPr>
          <w:rFonts w:ascii="Lucida Sans Unicode" w:hAnsi="Lucida Sans Unicode" w:cs="Lucida Sans Unicode"/>
          <w:sz w:val="21"/>
          <w:szCs w:val="21"/>
        </w:rPr>
      </w:pPr>
    </w:p>
    <w:p w14:paraId="41430B6C" w14:textId="018F97A9" w:rsidR="00267EE7" w:rsidRPr="007B2273" w:rsidRDefault="00056B07" w:rsidP="007B2273">
      <w:pPr>
        <w:pStyle w:val="Prrafodelista"/>
        <w:numPr>
          <w:ilvl w:val="0"/>
          <w:numId w:val="2"/>
        </w:num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Una autoridad jurisdiccional quien</w:t>
      </w:r>
      <w:r w:rsidR="00CC15E7" w:rsidRPr="007B2273">
        <w:rPr>
          <w:rFonts w:ascii="Lucida Sans Unicode" w:hAnsi="Lucida Sans Unicode" w:cs="Lucida Sans Unicode"/>
          <w:sz w:val="21"/>
          <w:szCs w:val="21"/>
        </w:rPr>
        <w:t>,</w:t>
      </w:r>
      <w:r w:rsidRPr="007B2273">
        <w:rPr>
          <w:rFonts w:ascii="Lucida Sans Unicode" w:hAnsi="Lucida Sans Unicode" w:cs="Lucida Sans Unicode"/>
          <w:sz w:val="21"/>
          <w:szCs w:val="21"/>
        </w:rPr>
        <w:t xml:space="preserve"> a partir de la interposición de un medio de impugnación oportuno y atinente, </w:t>
      </w:r>
      <w:r w:rsidR="007C01B3" w:rsidRPr="007B2273">
        <w:rPr>
          <w:rFonts w:ascii="Lucida Sans Unicode" w:hAnsi="Lucida Sans Unicode" w:cs="Lucida Sans Unicode"/>
          <w:sz w:val="21"/>
          <w:szCs w:val="21"/>
        </w:rPr>
        <w:t>pueda; ya sea contra la aprobación de los lineamientos; o quizá</w:t>
      </w:r>
      <w:r w:rsidR="00922FB0" w:rsidRPr="007B2273">
        <w:rPr>
          <w:rFonts w:ascii="Lucida Sans Unicode" w:hAnsi="Lucida Sans Unicode" w:cs="Lucida Sans Unicode"/>
          <w:sz w:val="21"/>
          <w:szCs w:val="21"/>
        </w:rPr>
        <w:t>,</w:t>
      </w:r>
      <w:r w:rsidR="007C01B3" w:rsidRPr="007B2273">
        <w:rPr>
          <w:rFonts w:ascii="Lucida Sans Unicode" w:hAnsi="Lucida Sans Unicode" w:cs="Lucida Sans Unicode"/>
          <w:sz w:val="21"/>
          <w:szCs w:val="21"/>
        </w:rPr>
        <w:t xml:space="preserve"> en su caso, en la aplicación</w:t>
      </w:r>
      <w:r w:rsidR="00797C04" w:rsidRPr="007B2273">
        <w:rPr>
          <w:rFonts w:ascii="Lucida Sans Unicode" w:hAnsi="Lucida Sans Unicode" w:cs="Lucida Sans Unicode"/>
          <w:sz w:val="21"/>
          <w:szCs w:val="21"/>
        </w:rPr>
        <w:t xml:space="preserve"> de </w:t>
      </w:r>
      <w:r w:rsidR="00922FB0" w:rsidRPr="007B2273">
        <w:rPr>
          <w:rFonts w:ascii="Lucida Sans Unicode" w:hAnsi="Lucida Sans Unicode" w:cs="Lucida Sans Unicode"/>
          <w:sz w:val="21"/>
          <w:szCs w:val="21"/>
        </w:rPr>
        <w:t>é</w:t>
      </w:r>
      <w:r w:rsidR="00A03DA6" w:rsidRPr="007B2273">
        <w:rPr>
          <w:rFonts w:ascii="Lucida Sans Unicode" w:hAnsi="Lucida Sans Unicode" w:cs="Lucida Sans Unicode"/>
          <w:sz w:val="21"/>
          <w:szCs w:val="21"/>
        </w:rPr>
        <w:t>stos</w:t>
      </w:r>
      <w:r w:rsidR="007C01B3" w:rsidRPr="007B2273">
        <w:rPr>
          <w:rFonts w:ascii="Lucida Sans Unicode" w:hAnsi="Lucida Sans Unicode" w:cs="Lucida Sans Unicode"/>
          <w:sz w:val="21"/>
          <w:szCs w:val="21"/>
        </w:rPr>
        <w:t>,</w:t>
      </w:r>
      <w:r w:rsidR="00797C04" w:rsidRPr="007B2273">
        <w:rPr>
          <w:rFonts w:ascii="Lucida Sans Unicode" w:hAnsi="Lucida Sans Unicode" w:cs="Lucida Sans Unicode"/>
          <w:sz w:val="21"/>
          <w:szCs w:val="21"/>
        </w:rPr>
        <w:t xml:space="preserve"> revisar la legalidad</w:t>
      </w:r>
      <w:r w:rsidR="00922FB0" w:rsidRPr="007B2273">
        <w:rPr>
          <w:rFonts w:ascii="Lucida Sans Unicode" w:hAnsi="Lucida Sans Unicode" w:cs="Lucida Sans Unicode"/>
          <w:sz w:val="21"/>
          <w:szCs w:val="21"/>
        </w:rPr>
        <w:t>;</w:t>
      </w:r>
      <w:r w:rsidR="00797C04" w:rsidRPr="007B2273">
        <w:rPr>
          <w:rFonts w:ascii="Lucida Sans Unicode" w:hAnsi="Lucida Sans Unicode" w:cs="Lucida Sans Unicode"/>
          <w:sz w:val="21"/>
          <w:szCs w:val="21"/>
        </w:rPr>
        <w:t xml:space="preserve"> e incluso </w:t>
      </w:r>
      <w:r w:rsidR="00922FB0" w:rsidRPr="007B2273">
        <w:rPr>
          <w:rFonts w:ascii="Lucida Sans Unicode" w:hAnsi="Lucida Sans Unicode" w:cs="Lucida Sans Unicode"/>
          <w:sz w:val="21"/>
          <w:szCs w:val="21"/>
        </w:rPr>
        <w:t xml:space="preserve">analizar la </w:t>
      </w:r>
      <w:r w:rsidR="00797C04" w:rsidRPr="007B2273">
        <w:rPr>
          <w:rFonts w:ascii="Lucida Sans Unicode" w:hAnsi="Lucida Sans Unicode" w:cs="Lucida Sans Unicode"/>
          <w:sz w:val="21"/>
          <w:szCs w:val="21"/>
        </w:rPr>
        <w:t xml:space="preserve">constitucionalidad </w:t>
      </w:r>
      <w:r w:rsidR="0007132D" w:rsidRPr="007B2273">
        <w:rPr>
          <w:rFonts w:ascii="Lucida Sans Unicode" w:hAnsi="Lucida Sans Unicode" w:cs="Lucida Sans Unicode"/>
          <w:sz w:val="21"/>
          <w:szCs w:val="21"/>
        </w:rPr>
        <w:t>de los actos y</w:t>
      </w:r>
      <w:r w:rsidR="00922FB0" w:rsidRPr="007B2273">
        <w:rPr>
          <w:rFonts w:ascii="Lucida Sans Unicode" w:hAnsi="Lucida Sans Unicode" w:cs="Lucida Sans Unicode"/>
          <w:sz w:val="21"/>
          <w:szCs w:val="21"/>
        </w:rPr>
        <w:t xml:space="preserve"> como consecuencia,</w:t>
      </w:r>
      <w:r w:rsidR="0007132D" w:rsidRPr="007B2273">
        <w:rPr>
          <w:rFonts w:ascii="Lucida Sans Unicode" w:hAnsi="Lucida Sans Unicode" w:cs="Lucida Sans Unicode"/>
          <w:sz w:val="21"/>
          <w:szCs w:val="21"/>
        </w:rPr>
        <w:t xml:space="preserve"> </w:t>
      </w:r>
      <w:r w:rsidR="00CC15E7" w:rsidRPr="007B2273">
        <w:rPr>
          <w:rFonts w:ascii="Lucida Sans Unicode" w:hAnsi="Lucida Sans Unicode" w:cs="Lucida Sans Unicode"/>
          <w:sz w:val="21"/>
          <w:szCs w:val="21"/>
        </w:rPr>
        <w:t>ordenar la aplicación de la disposición de manera diferenciada</w:t>
      </w:r>
      <w:r w:rsidR="00922FB0" w:rsidRPr="007B2273">
        <w:rPr>
          <w:rFonts w:ascii="Lucida Sans Unicode" w:hAnsi="Lucida Sans Unicode" w:cs="Lucida Sans Unicode"/>
          <w:sz w:val="21"/>
          <w:szCs w:val="21"/>
        </w:rPr>
        <w:t xml:space="preserve"> o expulsarla de la norma por ser contraria a la norma suprema.</w:t>
      </w:r>
    </w:p>
    <w:p w14:paraId="678C5148" w14:textId="77777777" w:rsidR="00CC15E7" w:rsidRPr="007B2273" w:rsidRDefault="00CC15E7" w:rsidP="007B2273">
      <w:pPr>
        <w:pStyle w:val="Prrafodelista"/>
        <w:spacing w:after="0" w:line="276" w:lineRule="auto"/>
        <w:rPr>
          <w:rFonts w:ascii="Lucida Sans Unicode" w:hAnsi="Lucida Sans Unicode" w:cs="Lucida Sans Unicode"/>
          <w:sz w:val="21"/>
          <w:szCs w:val="21"/>
        </w:rPr>
      </w:pPr>
    </w:p>
    <w:p w14:paraId="0C473B2F" w14:textId="201FA168" w:rsidR="00B42B28" w:rsidRPr="007B2273" w:rsidRDefault="00267EE7"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Por tanto, disiento que en el artículo </w:t>
      </w:r>
      <w:r w:rsidR="00922FB0" w:rsidRPr="007B2273">
        <w:rPr>
          <w:rFonts w:ascii="Lucida Sans Unicode" w:hAnsi="Lucida Sans Unicode" w:cs="Lucida Sans Unicode"/>
          <w:sz w:val="21"/>
          <w:szCs w:val="21"/>
        </w:rPr>
        <w:t>referidos contenidos</w:t>
      </w:r>
      <w:r w:rsidRPr="007B2273">
        <w:rPr>
          <w:rFonts w:ascii="Lucida Sans Unicode" w:hAnsi="Lucida Sans Unicode" w:cs="Lucida Sans Unicode"/>
          <w:sz w:val="21"/>
          <w:szCs w:val="21"/>
        </w:rPr>
        <w:t xml:space="preserve"> </w:t>
      </w:r>
      <w:r w:rsidR="00922FB0" w:rsidRPr="007B2273">
        <w:rPr>
          <w:rFonts w:ascii="Lucida Sans Unicode" w:hAnsi="Lucida Sans Unicode" w:cs="Lucida Sans Unicode"/>
          <w:sz w:val="21"/>
          <w:szCs w:val="21"/>
        </w:rPr>
        <w:t xml:space="preserve">en </w:t>
      </w:r>
      <w:r w:rsidRPr="007B2273">
        <w:rPr>
          <w:rFonts w:ascii="Lucida Sans Unicode" w:hAnsi="Lucida Sans Unicode" w:cs="Lucida Sans Unicode"/>
          <w:sz w:val="21"/>
          <w:szCs w:val="21"/>
        </w:rPr>
        <w:t>los Lineamientos en cita pueda considerase la modificación de la competencia p</w:t>
      </w:r>
      <w:r w:rsidR="00B42B28" w:rsidRPr="007B2273">
        <w:rPr>
          <w:rFonts w:ascii="Lucida Sans Unicode" w:hAnsi="Lucida Sans Unicode" w:cs="Lucida Sans Unicode"/>
          <w:sz w:val="21"/>
          <w:szCs w:val="21"/>
        </w:rPr>
        <w:t>ara llevar a cabo el recuento total de la votación municipal.</w:t>
      </w:r>
    </w:p>
    <w:p w14:paraId="1406D85F" w14:textId="77777777" w:rsidR="00B42B28" w:rsidRPr="007B2273" w:rsidRDefault="00B42B28" w:rsidP="007B2273">
      <w:pPr>
        <w:spacing w:after="0" w:line="276" w:lineRule="auto"/>
        <w:jc w:val="both"/>
        <w:rPr>
          <w:rFonts w:ascii="Lucida Sans Unicode" w:hAnsi="Lucida Sans Unicode" w:cs="Lucida Sans Unicode"/>
          <w:sz w:val="21"/>
          <w:szCs w:val="21"/>
        </w:rPr>
      </w:pPr>
    </w:p>
    <w:p w14:paraId="7DF47CCA" w14:textId="5AF45F1E" w:rsidR="00CA03A0" w:rsidRPr="007B2273" w:rsidRDefault="00B42B28"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De igual forma, debo señalar que, </w:t>
      </w:r>
      <w:r w:rsidR="00F02FD5" w:rsidRPr="007B2273">
        <w:rPr>
          <w:rFonts w:ascii="Lucida Sans Unicode" w:hAnsi="Lucida Sans Unicode" w:cs="Lucida Sans Unicode"/>
          <w:sz w:val="21"/>
          <w:szCs w:val="21"/>
        </w:rPr>
        <w:t xml:space="preserve">en </w:t>
      </w:r>
      <w:r w:rsidRPr="007B2273">
        <w:rPr>
          <w:rFonts w:ascii="Lucida Sans Unicode" w:hAnsi="Lucida Sans Unicode" w:cs="Lucida Sans Unicode"/>
          <w:sz w:val="21"/>
          <w:szCs w:val="21"/>
        </w:rPr>
        <w:t xml:space="preserve">el </w:t>
      </w:r>
      <w:r w:rsidR="00F02FD5" w:rsidRPr="007B2273">
        <w:rPr>
          <w:rFonts w:ascii="Lucida Sans Unicode" w:hAnsi="Lucida Sans Unicode" w:cs="Lucida Sans Unicode"/>
          <w:sz w:val="21"/>
          <w:szCs w:val="21"/>
        </w:rPr>
        <w:t xml:space="preserve">considerando X del </w:t>
      </w:r>
      <w:r w:rsidRPr="007B2273">
        <w:rPr>
          <w:rFonts w:ascii="Lucida Sans Unicode" w:hAnsi="Lucida Sans Unicode" w:cs="Lucida Sans Unicode"/>
          <w:sz w:val="21"/>
          <w:szCs w:val="21"/>
        </w:rPr>
        <w:t>acuerdo que apru</w:t>
      </w:r>
      <w:r w:rsidR="00D708D6" w:rsidRPr="007B2273">
        <w:rPr>
          <w:rFonts w:ascii="Lucida Sans Unicode" w:hAnsi="Lucida Sans Unicode" w:cs="Lucida Sans Unicode"/>
          <w:sz w:val="21"/>
          <w:szCs w:val="21"/>
        </w:rPr>
        <w:t>e</w:t>
      </w:r>
      <w:r w:rsidRPr="007B2273">
        <w:rPr>
          <w:rFonts w:ascii="Lucida Sans Unicode" w:hAnsi="Lucida Sans Unicode" w:cs="Lucida Sans Unicode"/>
          <w:sz w:val="21"/>
          <w:szCs w:val="21"/>
        </w:rPr>
        <w:t>ba dichos lineamientos</w:t>
      </w:r>
      <w:r w:rsidR="00F02FD5" w:rsidRPr="007B2273">
        <w:rPr>
          <w:rFonts w:ascii="Lucida Sans Unicode" w:hAnsi="Lucida Sans Unicode" w:cs="Lucida Sans Unicode"/>
          <w:sz w:val="21"/>
          <w:szCs w:val="21"/>
        </w:rPr>
        <w:t xml:space="preserve"> se desprende </w:t>
      </w:r>
      <w:r w:rsidR="00120281" w:rsidRPr="007B2273">
        <w:rPr>
          <w:rFonts w:ascii="Lucida Sans Unicode" w:hAnsi="Lucida Sans Unicode" w:cs="Lucida Sans Unicode"/>
          <w:sz w:val="21"/>
          <w:szCs w:val="21"/>
        </w:rPr>
        <w:t xml:space="preserve">un </w:t>
      </w:r>
      <w:r w:rsidR="00BB431D" w:rsidRPr="007B2273">
        <w:rPr>
          <w:rFonts w:ascii="Lucida Sans Unicode" w:hAnsi="Lucida Sans Unicode" w:cs="Lucida Sans Unicode"/>
          <w:sz w:val="21"/>
          <w:szCs w:val="21"/>
        </w:rPr>
        <w:t>razonamiento o argumento para soportar</w:t>
      </w:r>
      <w:r w:rsidR="00797198" w:rsidRPr="007B2273">
        <w:rPr>
          <w:rFonts w:ascii="Lucida Sans Unicode" w:hAnsi="Lucida Sans Unicode" w:cs="Lucida Sans Unicode"/>
          <w:sz w:val="21"/>
          <w:szCs w:val="21"/>
        </w:rPr>
        <w:t xml:space="preserve"> la determinación </w:t>
      </w:r>
      <w:r w:rsidR="00F02FD5" w:rsidRPr="007B2273">
        <w:rPr>
          <w:rFonts w:ascii="Lucida Sans Unicode" w:hAnsi="Lucida Sans Unicode" w:cs="Lucida Sans Unicode"/>
          <w:sz w:val="21"/>
          <w:szCs w:val="21"/>
        </w:rPr>
        <w:t xml:space="preserve">reglamentaria </w:t>
      </w:r>
      <w:r w:rsidR="00797198" w:rsidRPr="007B2273">
        <w:rPr>
          <w:rFonts w:ascii="Lucida Sans Unicode" w:hAnsi="Lucida Sans Unicode" w:cs="Lucida Sans Unicode"/>
          <w:sz w:val="21"/>
          <w:szCs w:val="21"/>
        </w:rPr>
        <w:t xml:space="preserve">de modificar la competencia de los consejos distritales que se establece en el Código Electoral de la entidad; </w:t>
      </w:r>
      <w:r w:rsidR="00C61BC3" w:rsidRPr="007B2273">
        <w:rPr>
          <w:rFonts w:ascii="Lucida Sans Unicode" w:hAnsi="Lucida Sans Unicode" w:cs="Lucida Sans Unicode"/>
          <w:sz w:val="21"/>
          <w:szCs w:val="21"/>
        </w:rPr>
        <w:t xml:space="preserve">sin embargo, insisto, </w:t>
      </w:r>
      <w:r w:rsidR="00120281" w:rsidRPr="007B2273">
        <w:rPr>
          <w:rFonts w:ascii="Lucida Sans Unicode" w:hAnsi="Lucida Sans Unicode" w:cs="Lucida Sans Unicode"/>
          <w:sz w:val="21"/>
          <w:szCs w:val="21"/>
        </w:rPr>
        <w:t xml:space="preserve">desde mi </w:t>
      </w:r>
      <w:r w:rsidR="00C61BC3" w:rsidRPr="007B2273">
        <w:rPr>
          <w:rFonts w:ascii="Lucida Sans Unicode" w:hAnsi="Lucida Sans Unicode" w:cs="Lucida Sans Unicode"/>
          <w:sz w:val="21"/>
          <w:szCs w:val="21"/>
        </w:rPr>
        <w:t>opinión</w:t>
      </w:r>
      <w:r w:rsidR="00120281" w:rsidRPr="007B2273">
        <w:rPr>
          <w:rFonts w:ascii="Lucida Sans Unicode" w:hAnsi="Lucida Sans Unicode" w:cs="Lucida Sans Unicode"/>
          <w:sz w:val="21"/>
          <w:szCs w:val="21"/>
        </w:rPr>
        <w:t xml:space="preserve">, ninguna de las razones que se </w:t>
      </w:r>
      <w:r w:rsidR="00D417C5" w:rsidRPr="007B2273">
        <w:rPr>
          <w:rFonts w:ascii="Lucida Sans Unicode" w:hAnsi="Lucida Sans Unicode" w:cs="Lucida Sans Unicode"/>
          <w:sz w:val="21"/>
          <w:szCs w:val="21"/>
        </w:rPr>
        <w:t xml:space="preserve">describen </w:t>
      </w:r>
      <w:r w:rsidR="005166DE" w:rsidRPr="007B2273">
        <w:rPr>
          <w:rFonts w:ascii="Lucida Sans Unicode" w:hAnsi="Lucida Sans Unicode" w:cs="Lucida Sans Unicode"/>
          <w:sz w:val="21"/>
          <w:szCs w:val="21"/>
        </w:rPr>
        <w:t>– quizá con motivo plenamente justificado-</w:t>
      </w:r>
      <w:r w:rsidR="00D417C5" w:rsidRPr="007B2273">
        <w:rPr>
          <w:rFonts w:ascii="Lucida Sans Unicode" w:hAnsi="Lucida Sans Unicode" w:cs="Lucida Sans Unicode"/>
          <w:sz w:val="21"/>
          <w:szCs w:val="21"/>
        </w:rPr>
        <w:t xml:space="preserve"> o</w:t>
      </w:r>
      <w:r w:rsidR="00CA03A0" w:rsidRPr="007B2273">
        <w:rPr>
          <w:rFonts w:ascii="Lucida Sans Unicode" w:hAnsi="Lucida Sans Unicode" w:cs="Lucida Sans Unicode"/>
          <w:sz w:val="21"/>
          <w:szCs w:val="21"/>
        </w:rPr>
        <w:t>torga</w:t>
      </w:r>
      <w:r w:rsidR="005166DE" w:rsidRPr="007B2273">
        <w:rPr>
          <w:rFonts w:ascii="Lucida Sans Unicode" w:hAnsi="Lucida Sans Unicode" w:cs="Lucida Sans Unicode"/>
          <w:sz w:val="21"/>
          <w:szCs w:val="21"/>
        </w:rPr>
        <w:t xml:space="preserve"> o adquiere</w:t>
      </w:r>
      <w:r w:rsidR="00CA03A0" w:rsidRPr="007B2273">
        <w:rPr>
          <w:rFonts w:ascii="Lucida Sans Unicode" w:hAnsi="Lucida Sans Unicode" w:cs="Lucida Sans Unicode"/>
          <w:sz w:val="21"/>
          <w:szCs w:val="21"/>
        </w:rPr>
        <w:t xml:space="preserve"> </w:t>
      </w:r>
      <w:r w:rsidR="005166DE" w:rsidRPr="007B2273">
        <w:rPr>
          <w:rFonts w:ascii="Lucida Sans Unicode" w:hAnsi="Lucida Sans Unicode" w:cs="Lucida Sans Unicode"/>
          <w:sz w:val="21"/>
          <w:szCs w:val="21"/>
        </w:rPr>
        <w:t>facultades o atribuciones e</w:t>
      </w:r>
      <w:r w:rsidR="00CA03A0" w:rsidRPr="007B2273">
        <w:rPr>
          <w:rFonts w:ascii="Lucida Sans Unicode" w:hAnsi="Lucida Sans Unicode" w:cs="Lucida Sans Unicode"/>
          <w:sz w:val="21"/>
          <w:szCs w:val="21"/>
        </w:rPr>
        <w:t>l Consejo General para tal efecto.</w:t>
      </w:r>
    </w:p>
    <w:p w14:paraId="11129933" w14:textId="77777777" w:rsidR="00CA03A0" w:rsidRPr="007B2273" w:rsidRDefault="00CA03A0" w:rsidP="007B2273">
      <w:pPr>
        <w:spacing w:after="0" w:line="276" w:lineRule="auto"/>
        <w:jc w:val="both"/>
        <w:rPr>
          <w:rFonts w:ascii="Lucida Sans Unicode" w:hAnsi="Lucida Sans Unicode" w:cs="Lucida Sans Unicode"/>
          <w:sz w:val="21"/>
          <w:szCs w:val="21"/>
        </w:rPr>
      </w:pPr>
    </w:p>
    <w:p w14:paraId="40D947FC" w14:textId="4E11B343" w:rsidR="00CA03A0" w:rsidRPr="007B2273" w:rsidRDefault="00CA03A0"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Contrario a ello,</w:t>
      </w:r>
      <w:r w:rsidR="00BD3B34" w:rsidRPr="007B2273">
        <w:rPr>
          <w:rFonts w:ascii="Lucida Sans Unicode" w:hAnsi="Lucida Sans Unicode" w:cs="Lucida Sans Unicode"/>
          <w:sz w:val="21"/>
          <w:szCs w:val="21"/>
        </w:rPr>
        <w:t xml:space="preserve"> </w:t>
      </w:r>
      <w:r w:rsidR="005166DE" w:rsidRPr="007B2273">
        <w:rPr>
          <w:rFonts w:ascii="Lucida Sans Unicode" w:hAnsi="Lucida Sans Unicode" w:cs="Lucida Sans Unicode"/>
          <w:sz w:val="21"/>
          <w:szCs w:val="21"/>
        </w:rPr>
        <w:t xml:space="preserve">si existen </w:t>
      </w:r>
      <w:r w:rsidR="00BD3B34" w:rsidRPr="007B2273">
        <w:rPr>
          <w:rFonts w:ascii="Lucida Sans Unicode" w:hAnsi="Lucida Sans Unicode" w:cs="Lucida Sans Unicode"/>
          <w:sz w:val="21"/>
          <w:szCs w:val="21"/>
        </w:rPr>
        <w:t xml:space="preserve">facultades y obligaciones </w:t>
      </w:r>
      <w:r w:rsidR="005166DE" w:rsidRPr="007B2273">
        <w:rPr>
          <w:rFonts w:ascii="Lucida Sans Unicode" w:hAnsi="Lucida Sans Unicode" w:cs="Lucida Sans Unicode"/>
          <w:sz w:val="21"/>
          <w:szCs w:val="21"/>
        </w:rPr>
        <w:t xml:space="preserve">expresas para </w:t>
      </w:r>
      <w:r w:rsidR="00BD3B34" w:rsidRPr="007B2273">
        <w:rPr>
          <w:rFonts w:ascii="Lucida Sans Unicode" w:hAnsi="Lucida Sans Unicode" w:cs="Lucida Sans Unicode"/>
          <w:sz w:val="21"/>
          <w:szCs w:val="21"/>
        </w:rPr>
        <w:t xml:space="preserve">dotar de todos los insumos, recursos e instrumentos necesarios </w:t>
      </w:r>
      <w:r w:rsidR="005166DE" w:rsidRPr="007B2273">
        <w:rPr>
          <w:rFonts w:ascii="Lucida Sans Unicode" w:hAnsi="Lucida Sans Unicode" w:cs="Lucida Sans Unicode"/>
          <w:sz w:val="21"/>
          <w:szCs w:val="21"/>
        </w:rPr>
        <w:t xml:space="preserve">a los órganos desconcentrados </w:t>
      </w:r>
      <w:r w:rsidR="00BD3B34" w:rsidRPr="007B2273">
        <w:rPr>
          <w:rFonts w:ascii="Lucida Sans Unicode" w:hAnsi="Lucida Sans Unicode" w:cs="Lucida Sans Unicode"/>
          <w:sz w:val="21"/>
          <w:szCs w:val="21"/>
        </w:rPr>
        <w:t xml:space="preserve">para </w:t>
      </w:r>
      <w:r w:rsidR="005166DE" w:rsidRPr="007B2273">
        <w:rPr>
          <w:rFonts w:ascii="Lucida Sans Unicode" w:hAnsi="Lucida Sans Unicode" w:cs="Lucida Sans Unicode"/>
          <w:sz w:val="21"/>
          <w:szCs w:val="21"/>
        </w:rPr>
        <w:t xml:space="preserve">que este máximo órgano de dirección garantice y se </w:t>
      </w:r>
      <w:r w:rsidR="00BD3B34" w:rsidRPr="007B2273">
        <w:rPr>
          <w:rFonts w:ascii="Lucida Sans Unicode" w:hAnsi="Lucida Sans Unicode" w:cs="Lucida Sans Unicode"/>
          <w:sz w:val="21"/>
          <w:szCs w:val="21"/>
        </w:rPr>
        <w:t>asegur</w:t>
      </w:r>
      <w:r w:rsidR="005166DE" w:rsidRPr="007B2273">
        <w:rPr>
          <w:rFonts w:ascii="Lucida Sans Unicode" w:hAnsi="Lucida Sans Unicode" w:cs="Lucida Sans Unicode"/>
          <w:sz w:val="21"/>
          <w:szCs w:val="21"/>
        </w:rPr>
        <w:t xml:space="preserve">e </w:t>
      </w:r>
      <w:r w:rsidR="00BD3B34" w:rsidRPr="007B2273">
        <w:rPr>
          <w:rFonts w:ascii="Lucida Sans Unicode" w:hAnsi="Lucida Sans Unicode" w:cs="Lucida Sans Unicode"/>
          <w:sz w:val="21"/>
          <w:szCs w:val="21"/>
        </w:rPr>
        <w:t xml:space="preserve">que las sesiones de cómputo y </w:t>
      </w:r>
      <w:r w:rsidR="005166DE" w:rsidRPr="007B2273">
        <w:rPr>
          <w:rFonts w:ascii="Lucida Sans Unicode" w:hAnsi="Lucida Sans Unicode" w:cs="Lucida Sans Unicode"/>
          <w:sz w:val="21"/>
          <w:szCs w:val="21"/>
        </w:rPr>
        <w:t xml:space="preserve">el ejercicio de </w:t>
      </w:r>
      <w:r w:rsidR="00BD3B34" w:rsidRPr="007B2273">
        <w:rPr>
          <w:rFonts w:ascii="Lucida Sans Unicode" w:hAnsi="Lucida Sans Unicode" w:cs="Lucida Sans Unicode"/>
          <w:sz w:val="21"/>
          <w:szCs w:val="21"/>
        </w:rPr>
        <w:t>recuento de votos se lleven a cabo con estricto apego a los principios rectores</w:t>
      </w:r>
      <w:r w:rsidR="00A456DF" w:rsidRPr="007B2273">
        <w:rPr>
          <w:rFonts w:ascii="Lucida Sans Unicode" w:hAnsi="Lucida Sans Unicode" w:cs="Lucida Sans Unicode"/>
          <w:sz w:val="21"/>
          <w:szCs w:val="21"/>
        </w:rPr>
        <w:t xml:space="preserve"> de la materia electoral</w:t>
      </w:r>
      <w:r w:rsidR="00BD3B34" w:rsidRPr="007B2273">
        <w:rPr>
          <w:rFonts w:ascii="Lucida Sans Unicode" w:hAnsi="Lucida Sans Unicode" w:cs="Lucida Sans Unicode"/>
          <w:sz w:val="21"/>
          <w:szCs w:val="21"/>
        </w:rPr>
        <w:t xml:space="preserve">; </w:t>
      </w:r>
      <w:r w:rsidR="00E71DA2" w:rsidRPr="007B2273">
        <w:rPr>
          <w:rFonts w:ascii="Lucida Sans Unicode" w:hAnsi="Lucida Sans Unicode" w:cs="Lucida Sans Unicode"/>
          <w:sz w:val="21"/>
          <w:szCs w:val="21"/>
        </w:rPr>
        <w:t xml:space="preserve">y </w:t>
      </w:r>
      <w:r w:rsidR="00BD3B34" w:rsidRPr="007B2273">
        <w:rPr>
          <w:rFonts w:ascii="Lucida Sans Unicode" w:hAnsi="Lucida Sans Unicode" w:cs="Lucida Sans Unicode"/>
          <w:sz w:val="21"/>
          <w:szCs w:val="21"/>
        </w:rPr>
        <w:t>que de ser necesar</w:t>
      </w:r>
      <w:r w:rsidR="00E71DA2" w:rsidRPr="007B2273">
        <w:rPr>
          <w:rFonts w:ascii="Lucida Sans Unicode" w:hAnsi="Lucida Sans Unicode" w:cs="Lucida Sans Unicode"/>
          <w:sz w:val="21"/>
          <w:szCs w:val="21"/>
        </w:rPr>
        <w:t>ia,</w:t>
      </w:r>
      <w:r w:rsidR="00BD3B34" w:rsidRPr="007B2273">
        <w:rPr>
          <w:rFonts w:ascii="Lucida Sans Unicode" w:hAnsi="Lucida Sans Unicode" w:cs="Lucida Sans Unicode"/>
          <w:sz w:val="21"/>
          <w:szCs w:val="21"/>
        </w:rPr>
        <w:t xml:space="preserve"> cualquier</w:t>
      </w:r>
      <w:r w:rsidR="005166DE" w:rsidRPr="007B2273">
        <w:rPr>
          <w:rFonts w:ascii="Lucida Sans Unicode" w:hAnsi="Lucida Sans Unicode" w:cs="Lucida Sans Unicode"/>
          <w:sz w:val="21"/>
          <w:szCs w:val="21"/>
        </w:rPr>
        <w:t xml:space="preserve"> otro</w:t>
      </w:r>
      <w:r w:rsidR="00BD3B34" w:rsidRPr="007B2273">
        <w:rPr>
          <w:rFonts w:ascii="Lucida Sans Unicode" w:hAnsi="Lucida Sans Unicode" w:cs="Lucida Sans Unicode"/>
          <w:sz w:val="21"/>
          <w:szCs w:val="21"/>
        </w:rPr>
        <w:t xml:space="preserve"> tipo de </w:t>
      </w:r>
      <w:r w:rsidR="00BD3B34" w:rsidRPr="007B2273">
        <w:rPr>
          <w:rFonts w:ascii="Lucida Sans Unicode" w:hAnsi="Lucida Sans Unicode" w:cs="Lucida Sans Unicode"/>
          <w:sz w:val="21"/>
          <w:szCs w:val="21"/>
        </w:rPr>
        <w:lastRenderedPageBreak/>
        <w:t>imple</w:t>
      </w:r>
      <w:r w:rsidR="00E71DA2" w:rsidRPr="007B2273">
        <w:rPr>
          <w:rFonts w:ascii="Lucida Sans Unicode" w:hAnsi="Lucida Sans Unicode" w:cs="Lucida Sans Unicode"/>
          <w:sz w:val="21"/>
          <w:szCs w:val="21"/>
        </w:rPr>
        <w:t>me</w:t>
      </w:r>
      <w:r w:rsidR="00BD3B34" w:rsidRPr="007B2273">
        <w:rPr>
          <w:rFonts w:ascii="Lucida Sans Unicode" w:hAnsi="Lucida Sans Unicode" w:cs="Lucida Sans Unicode"/>
          <w:sz w:val="21"/>
          <w:szCs w:val="21"/>
        </w:rPr>
        <w:t>ntación extraordinaria para lograrlo,</w:t>
      </w:r>
      <w:r w:rsidR="00F73D80" w:rsidRPr="007B2273">
        <w:rPr>
          <w:rFonts w:ascii="Lucida Sans Unicode" w:hAnsi="Lucida Sans Unicode" w:cs="Lucida Sans Unicode"/>
          <w:sz w:val="21"/>
          <w:szCs w:val="21"/>
        </w:rPr>
        <w:t xml:space="preserve"> </w:t>
      </w:r>
      <w:r w:rsidR="005166DE" w:rsidRPr="007B2273">
        <w:rPr>
          <w:rFonts w:ascii="Lucida Sans Unicode" w:hAnsi="Lucida Sans Unicode" w:cs="Lucida Sans Unicode"/>
          <w:sz w:val="21"/>
          <w:szCs w:val="21"/>
        </w:rPr>
        <w:t xml:space="preserve">deba hacerse uso cualquier elemento o factor que se requiera </w:t>
      </w:r>
      <w:r w:rsidR="00F73D80" w:rsidRPr="007B2273">
        <w:rPr>
          <w:rFonts w:ascii="Lucida Sans Unicode" w:hAnsi="Lucida Sans Unicode" w:cs="Lucida Sans Unicode"/>
          <w:sz w:val="21"/>
          <w:szCs w:val="21"/>
        </w:rPr>
        <w:t xml:space="preserve">para cumplir </w:t>
      </w:r>
      <w:r w:rsidR="005166DE" w:rsidRPr="007B2273">
        <w:rPr>
          <w:rFonts w:ascii="Lucida Sans Unicode" w:hAnsi="Lucida Sans Unicode" w:cs="Lucida Sans Unicode"/>
          <w:sz w:val="21"/>
          <w:szCs w:val="21"/>
        </w:rPr>
        <w:t xml:space="preserve">a cabalidad </w:t>
      </w:r>
      <w:r w:rsidR="00F73D80" w:rsidRPr="007B2273">
        <w:rPr>
          <w:rFonts w:ascii="Lucida Sans Unicode" w:hAnsi="Lucida Sans Unicode" w:cs="Lucida Sans Unicode"/>
          <w:sz w:val="21"/>
          <w:szCs w:val="21"/>
        </w:rPr>
        <w:t>con el objetivo.</w:t>
      </w:r>
    </w:p>
    <w:p w14:paraId="28901065" w14:textId="77777777" w:rsidR="00763A61" w:rsidRPr="007B2273" w:rsidRDefault="00763A61" w:rsidP="007B2273">
      <w:pPr>
        <w:spacing w:after="0" w:line="276" w:lineRule="auto"/>
        <w:jc w:val="both"/>
        <w:rPr>
          <w:rFonts w:ascii="Lucida Sans Unicode" w:hAnsi="Lucida Sans Unicode" w:cs="Lucida Sans Unicode"/>
          <w:sz w:val="21"/>
          <w:szCs w:val="21"/>
        </w:rPr>
      </w:pPr>
    </w:p>
    <w:p w14:paraId="5FFB7D1E" w14:textId="5D0B0B1E" w:rsidR="00763A61" w:rsidRPr="007B2273" w:rsidRDefault="00763A61" w:rsidP="007B2273">
      <w:pPr>
        <w:spacing w:after="0" w:line="276" w:lineRule="auto"/>
        <w:jc w:val="both"/>
        <w:rPr>
          <w:rFonts w:ascii="Lucida Sans Unicode" w:hAnsi="Lucida Sans Unicode" w:cs="Lucida Sans Unicode"/>
          <w:sz w:val="21"/>
          <w:szCs w:val="21"/>
        </w:rPr>
      </w:pPr>
      <w:r w:rsidRPr="007B2273">
        <w:rPr>
          <w:rFonts w:ascii="Lucida Sans Unicode" w:hAnsi="Lucida Sans Unicode" w:cs="Lucida Sans Unicode"/>
          <w:sz w:val="21"/>
          <w:szCs w:val="21"/>
        </w:rPr>
        <w:t xml:space="preserve">De ahí que, en lugar de modificar la norma a través de un lineamiento para ajustar la competencia con el objeto de que los órganos desconcentrados municipales electorales puedan llevar a cabo el recuento de la elección en la misma sede, en </w:t>
      </w:r>
      <w:r w:rsidR="00A456DF" w:rsidRPr="007B2273">
        <w:rPr>
          <w:rFonts w:ascii="Lucida Sans Unicode" w:hAnsi="Lucida Sans Unicode" w:cs="Lucida Sans Unicode"/>
          <w:sz w:val="21"/>
          <w:szCs w:val="21"/>
        </w:rPr>
        <w:t>sustitución</w:t>
      </w:r>
      <w:r w:rsidRPr="007B2273">
        <w:rPr>
          <w:rFonts w:ascii="Lucida Sans Unicode" w:hAnsi="Lucida Sans Unicode" w:cs="Lucida Sans Unicode"/>
          <w:sz w:val="21"/>
          <w:szCs w:val="21"/>
        </w:rPr>
        <w:t xml:space="preserve"> de los distritales, tal como lo prevé el Código comicial de</w:t>
      </w:r>
      <w:r w:rsidR="00A456DF" w:rsidRPr="007B2273">
        <w:rPr>
          <w:rFonts w:ascii="Lucida Sans Unicode" w:hAnsi="Lucida Sans Unicode" w:cs="Lucida Sans Unicode"/>
          <w:sz w:val="21"/>
          <w:szCs w:val="21"/>
        </w:rPr>
        <w:t xml:space="preserve"> la </w:t>
      </w:r>
      <w:r w:rsidRPr="007B2273">
        <w:rPr>
          <w:rFonts w:ascii="Lucida Sans Unicode" w:hAnsi="Lucida Sans Unicode" w:cs="Lucida Sans Unicode"/>
          <w:sz w:val="21"/>
          <w:szCs w:val="21"/>
        </w:rPr>
        <w:t xml:space="preserve">entidad; la propuesta </w:t>
      </w:r>
      <w:r w:rsidR="005166DE" w:rsidRPr="007B2273">
        <w:rPr>
          <w:rFonts w:ascii="Lucida Sans Unicode" w:hAnsi="Lucida Sans Unicode" w:cs="Lucida Sans Unicode"/>
          <w:sz w:val="21"/>
          <w:szCs w:val="21"/>
        </w:rPr>
        <w:t xml:space="preserve">debió ser </w:t>
      </w:r>
      <w:r w:rsidRPr="007B2273">
        <w:rPr>
          <w:rFonts w:ascii="Lucida Sans Unicode" w:hAnsi="Lucida Sans Unicode" w:cs="Lucida Sans Unicode"/>
          <w:sz w:val="21"/>
          <w:szCs w:val="21"/>
        </w:rPr>
        <w:t>afinar</w:t>
      </w:r>
      <w:r w:rsidR="005166DE" w:rsidRPr="007B2273">
        <w:rPr>
          <w:rFonts w:ascii="Lucida Sans Unicode" w:hAnsi="Lucida Sans Unicode" w:cs="Lucida Sans Unicode"/>
          <w:sz w:val="21"/>
          <w:szCs w:val="21"/>
        </w:rPr>
        <w:t>, dotar, implementar, ajustar, proveer y considerar</w:t>
      </w:r>
      <w:r w:rsidRPr="007B2273">
        <w:rPr>
          <w:rFonts w:ascii="Lucida Sans Unicode" w:hAnsi="Lucida Sans Unicode" w:cs="Lucida Sans Unicode"/>
          <w:sz w:val="21"/>
          <w:szCs w:val="21"/>
        </w:rPr>
        <w:t xml:space="preserve"> cualquier detalle</w:t>
      </w:r>
      <w:r w:rsidR="005166DE" w:rsidRPr="007B2273">
        <w:rPr>
          <w:rFonts w:ascii="Lucida Sans Unicode" w:hAnsi="Lucida Sans Unicode" w:cs="Lucida Sans Unicode"/>
          <w:sz w:val="21"/>
          <w:szCs w:val="21"/>
        </w:rPr>
        <w:t>, elemento, instrumento o recurso</w:t>
      </w:r>
      <w:r w:rsidRPr="007B2273">
        <w:rPr>
          <w:rFonts w:ascii="Lucida Sans Unicode" w:hAnsi="Lucida Sans Unicode" w:cs="Lucida Sans Unicode"/>
          <w:sz w:val="21"/>
          <w:szCs w:val="21"/>
        </w:rPr>
        <w:t xml:space="preserve"> </w:t>
      </w:r>
      <w:r w:rsidR="005166DE" w:rsidRPr="007B2273">
        <w:rPr>
          <w:rFonts w:ascii="Lucida Sans Unicode" w:hAnsi="Lucida Sans Unicode" w:cs="Lucida Sans Unicode"/>
          <w:sz w:val="21"/>
          <w:szCs w:val="21"/>
        </w:rPr>
        <w:t>que permita llevar a cabo la</w:t>
      </w:r>
      <w:r w:rsidRPr="007B2273">
        <w:rPr>
          <w:rFonts w:ascii="Lucida Sans Unicode" w:hAnsi="Lucida Sans Unicode" w:cs="Lucida Sans Unicode"/>
          <w:sz w:val="21"/>
          <w:szCs w:val="21"/>
        </w:rPr>
        <w:t xml:space="preserve"> operatividad y logística </w:t>
      </w:r>
      <w:r w:rsidR="005166DE" w:rsidRPr="007B2273">
        <w:rPr>
          <w:rFonts w:ascii="Lucida Sans Unicode" w:hAnsi="Lucida Sans Unicode" w:cs="Lucida Sans Unicode"/>
          <w:sz w:val="21"/>
          <w:szCs w:val="21"/>
        </w:rPr>
        <w:t xml:space="preserve">de los recuentos municipales que </w:t>
      </w:r>
      <w:r w:rsidRPr="007B2273">
        <w:rPr>
          <w:rFonts w:ascii="Lucida Sans Unicode" w:hAnsi="Lucida Sans Unicode" w:cs="Lucida Sans Unicode"/>
          <w:sz w:val="21"/>
          <w:szCs w:val="21"/>
        </w:rPr>
        <w:t xml:space="preserve">pudiera surgir ante la actualización del peor de los escenarios, pues es ahí, </w:t>
      </w:r>
      <w:r w:rsidR="005166DE" w:rsidRPr="007B2273">
        <w:rPr>
          <w:rFonts w:ascii="Lucida Sans Unicode" w:hAnsi="Lucida Sans Unicode" w:cs="Lucida Sans Unicode"/>
          <w:sz w:val="21"/>
          <w:szCs w:val="21"/>
        </w:rPr>
        <w:t xml:space="preserve">particular y exclusivamente </w:t>
      </w:r>
      <w:r w:rsidRPr="007B2273">
        <w:rPr>
          <w:rFonts w:ascii="Lucida Sans Unicode" w:hAnsi="Lucida Sans Unicode" w:cs="Lucida Sans Unicode"/>
          <w:sz w:val="21"/>
          <w:szCs w:val="21"/>
        </w:rPr>
        <w:t>este ámbito de atribuciones para lo que expresamente estamos facultados y obligados a ejecutar.</w:t>
      </w:r>
    </w:p>
    <w:p w14:paraId="5800E0F1" w14:textId="48F0D95D" w:rsidR="005C647A" w:rsidRPr="007B2273" w:rsidRDefault="005C647A" w:rsidP="007B2273">
      <w:pPr>
        <w:spacing w:after="0" w:line="276" w:lineRule="auto"/>
        <w:jc w:val="both"/>
        <w:rPr>
          <w:rFonts w:ascii="Lucida Sans Unicode" w:hAnsi="Lucida Sans Unicode" w:cs="Lucida Sans Unicode"/>
          <w:sz w:val="21"/>
          <w:szCs w:val="21"/>
        </w:rPr>
      </w:pPr>
    </w:p>
    <w:p w14:paraId="5ACF9BED" w14:textId="77777777" w:rsidR="00DB4C85" w:rsidRPr="007B2273" w:rsidRDefault="00DB4C85" w:rsidP="007B2273">
      <w:pPr>
        <w:spacing w:after="0" w:line="276" w:lineRule="auto"/>
        <w:jc w:val="both"/>
        <w:rPr>
          <w:rFonts w:ascii="Lucida Sans Unicode" w:hAnsi="Lucida Sans Unicode" w:cs="Lucida Sans Unicode"/>
          <w:sz w:val="21"/>
          <w:szCs w:val="21"/>
        </w:rPr>
      </w:pPr>
    </w:p>
    <w:p w14:paraId="0FFE632D" w14:textId="174D0D6E" w:rsidR="005C647A" w:rsidRDefault="005C647A" w:rsidP="007B2273">
      <w:pPr>
        <w:spacing w:after="0" w:line="276" w:lineRule="auto"/>
        <w:ind w:right="-234"/>
        <w:jc w:val="center"/>
        <w:rPr>
          <w:rFonts w:ascii="Lucida Sans Unicode" w:hAnsi="Lucida Sans Unicode" w:cs="Lucida Sans Unicode"/>
          <w:b/>
          <w:bCs/>
          <w:sz w:val="21"/>
          <w:szCs w:val="21"/>
        </w:rPr>
      </w:pPr>
      <w:r w:rsidRPr="007B2273">
        <w:rPr>
          <w:rFonts w:ascii="Lucida Sans Unicode" w:hAnsi="Lucida Sans Unicode" w:cs="Lucida Sans Unicode"/>
          <w:b/>
          <w:bCs/>
          <w:sz w:val="21"/>
          <w:szCs w:val="21"/>
        </w:rPr>
        <w:t xml:space="preserve">Guadalajara, Jalisco; a </w:t>
      </w:r>
      <w:r w:rsidR="00DB4C85" w:rsidRPr="007B2273">
        <w:rPr>
          <w:rFonts w:ascii="Lucida Sans Unicode" w:hAnsi="Lucida Sans Unicode" w:cs="Lucida Sans Unicode"/>
          <w:b/>
          <w:bCs/>
          <w:sz w:val="21"/>
          <w:szCs w:val="21"/>
        </w:rPr>
        <w:t>22</w:t>
      </w:r>
      <w:r w:rsidRPr="007B2273">
        <w:rPr>
          <w:rFonts w:ascii="Lucida Sans Unicode" w:hAnsi="Lucida Sans Unicode" w:cs="Lucida Sans Unicode"/>
          <w:b/>
          <w:bCs/>
          <w:sz w:val="21"/>
          <w:szCs w:val="21"/>
        </w:rPr>
        <w:t xml:space="preserve"> de febrero de 2024</w:t>
      </w:r>
    </w:p>
    <w:p w14:paraId="51FA9F17" w14:textId="77777777" w:rsidR="001D41D0" w:rsidRDefault="001D41D0" w:rsidP="001D41D0">
      <w:pPr>
        <w:spacing w:after="0" w:line="276" w:lineRule="auto"/>
        <w:ind w:right="-234"/>
        <w:jc w:val="center"/>
        <w:rPr>
          <w:rFonts w:ascii="Lucida Sans Unicode" w:hAnsi="Lucida Sans Unicode" w:cs="Lucida Sans Unicode"/>
          <w:sz w:val="21"/>
          <w:szCs w:val="21"/>
        </w:rPr>
      </w:pPr>
    </w:p>
    <w:p w14:paraId="34AEBCA9" w14:textId="449CE499" w:rsidR="001D41D0" w:rsidRPr="007B2273" w:rsidRDefault="001D41D0" w:rsidP="001D41D0">
      <w:pPr>
        <w:spacing w:after="0" w:line="276" w:lineRule="auto"/>
        <w:ind w:right="-234"/>
        <w:jc w:val="center"/>
        <w:rPr>
          <w:rFonts w:ascii="Lucida Sans Unicode" w:hAnsi="Lucida Sans Unicode" w:cs="Lucida Sans Unicode"/>
          <w:sz w:val="21"/>
          <w:szCs w:val="21"/>
        </w:rPr>
      </w:pPr>
      <w:r w:rsidRPr="001D41D0">
        <w:rPr>
          <w:rFonts w:ascii="Lucida Sans Unicode" w:hAnsi="Lucida Sans Unicode" w:cs="Lucida Sans Unicode"/>
          <w:sz w:val="21"/>
          <w:szCs w:val="21"/>
        </w:rPr>
        <w:t>(FIRMA ELECTRÓNICA)</w:t>
      </w:r>
    </w:p>
    <w:p w14:paraId="71F61A98" w14:textId="77777777" w:rsidR="005C647A" w:rsidRPr="007B2273" w:rsidRDefault="005C647A" w:rsidP="007B2273">
      <w:pPr>
        <w:spacing w:after="0" w:line="276" w:lineRule="auto"/>
        <w:ind w:right="-234"/>
        <w:jc w:val="center"/>
        <w:rPr>
          <w:rFonts w:ascii="Lucida Sans Unicode" w:hAnsi="Lucida Sans Unicode" w:cs="Lucida Sans Unicode"/>
          <w:b/>
          <w:bCs/>
          <w:sz w:val="21"/>
          <w:szCs w:val="21"/>
        </w:rPr>
      </w:pPr>
      <w:r w:rsidRPr="007B2273">
        <w:rPr>
          <w:rFonts w:ascii="Lucida Sans Unicode" w:hAnsi="Lucida Sans Unicode" w:cs="Lucida Sans Unicode"/>
          <w:b/>
          <w:bCs/>
          <w:sz w:val="21"/>
          <w:szCs w:val="21"/>
        </w:rPr>
        <w:t>Silvia Guadalupe Bustos Vásquez</w:t>
      </w:r>
    </w:p>
    <w:p w14:paraId="4124F8CF" w14:textId="694F111F" w:rsidR="00740CC4" w:rsidRPr="007B2273" w:rsidRDefault="005C647A" w:rsidP="007B2273">
      <w:pPr>
        <w:spacing w:after="0" w:line="276" w:lineRule="auto"/>
        <w:ind w:right="-234"/>
        <w:jc w:val="center"/>
        <w:rPr>
          <w:rFonts w:ascii="Lucida Sans Unicode" w:hAnsi="Lucida Sans Unicode" w:cs="Lucida Sans Unicode"/>
          <w:sz w:val="21"/>
          <w:szCs w:val="21"/>
        </w:rPr>
      </w:pPr>
      <w:r w:rsidRPr="007B2273">
        <w:rPr>
          <w:rFonts w:ascii="Lucida Sans Unicode" w:hAnsi="Lucida Sans Unicode" w:cs="Lucida Sans Unicode"/>
          <w:b/>
          <w:bCs/>
          <w:sz w:val="21"/>
          <w:szCs w:val="21"/>
        </w:rPr>
        <w:t>Consejera electoral</w:t>
      </w:r>
    </w:p>
    <w:sectPr w:rsidR="00740CC4" w:rsidRPr="007B227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44F0" w14:textId="77777777" w:rsidR="00DE4B11" w:rsidRDefault="00DE4B11" w:rsidP="002F1B6B">
      <w:pPr>
        <w:spacing w:after="0" w:line="240" w:lineRule="auto"/>
      </w:pPr>
      <w:r>
        <w:separator/>
      </w:r>
    </w:p>
  </w:endnote>
  <w:endnote w:type="continuationSeparator" w:id="0">
    <w:p w14:paraId="1ABC6716" w14:textId="77777777" w:rsidR="00DE4B11" w:rsidRDefault="00DE4B11" w:rsidP="002F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29664"/>
      <w:docPartObj>
        <w:docPartGallery w:val="Page Numbers (Bottom of Page)"/>
        <w:docPartUnique/>
      </w:docPartObj>
    </w:sdtPr>
    <w:sdtEndPr/>
    <w:sdtContent>
      <w:p w14:paraId="0F9380A6" w14:textId="77777777" w:rsidR="005C647A" w:rsidRPr="008261FA" w:rsidRDefault="005C647A" w:rsidP="005C647A">
        <w:pPr>
          <w:tabs>
            <w:tab w:val="center" w:pos="4419"/>
          </w:tabs>
          <w:suppressAutoHyphens/>
          <w:spacing w:after="0" w:line="240" w:lineRule="auto"/>
          <w:ind w:right="-518"/>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28BB1DAC" w14:textId="77777777" w:rsidR="005C647A" w:rsidRPr="008261FA" w:rsidRDefault="005C647A" w:rsidP="005C647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Pr>
            <w:rFonts w:ascii="Lucida Sans Unicode" w:eastAsia="Calibri" w:hAnsi="Lucida Sans Unicode" w:cs="Lucida Sans Unicode"/>
            <w:bCs/>
            <w:sz w:val="15"/>
            <w:szCs w:val="15"/>
          </w:rPr>
          <w:t xml:space="preserve">   </w:t>
        </w:r>
        <w:r w:rsidRPr="008261FA">
          <w:rPr>
            <w:rFonts w:ascii="Lucida Sans Unicode" w:eastAsia="Calibri" w:hAnsi="Lucida Sans Unicode" w:cs="Lucida Sans Unicode"/>
            <w:bCs/>
            <w:sz w:val="15"/>
            <w:szCs w:val="15"/>
          </w:rPr>
          <w:t xml:space="preserve">Página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PAGE </w:instrText>
        </w:r>
        <w:r w:rsidRPr="008261FA">
          <w:rPr>
            <w:rFonts w:ascii="Lucida Sans Unicode" w:eastAsia="Calibri" w:hAnsi="Lucida Sans Unicode" w:cs="Lucida Sans Unicode"/>
            <w:bCs/>
            <w:sz w:val="15"/>
            <w:szCs w:val="15"/>
          </w:rPr>
          <w:fldChar w:fldCharType="separate"/>
        </w:r>
        <w:r>
          <w:rPr>
            <w:rFonts w:ascii="Lucida Sans Unicode" w:eastAsia="Calibri" w:hAnsi="Lucida Sans Unicode" w:cs="Lucida Sans Unicode"/>
            <w:bCs/>
            <w:sz w:val="15"/>
            <w:szCs w:val="15"/>
          </w:rPr>
          <w:t>1</w:t>
        </w:r>
        <w:r w:rsidRPr="008261FA">
          <w:rPr>
            <w:rFonts w:ascii="Lucida Sans Unicode" w:eastAsia="Calibri" w:hAnsi="Lucida Sans Unicode" w:cs="Lucida Sans Unicode"/>
            <w:bCs/>
            <w:sz w:val="15"/>
            <w:szCs w:val="15"/>
          </w:rPr>
          <w:fldChar w:fldCharType="end"/>
        </w:r>
        <w:r w:rsidRPr="008261FA">
          <w:rPr>
            <w:rFonts w:ascii="Lucida Sans Unicode" w:eastAsia="Calibri" w:hAnsi="Lucida Sans Unicode" w:cs="Lucida Sans Unicode"/>
            <w:bCs/>
            <w:sz w:val="15"/>
            <w:szCs w:val="15"/>
          </w:rPr>
          <w:t xml:space="preserve"> de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NUMPAGES </w:instrText>
        </w:r>
        <w:r w:rsidRPr="008261FA">
          <w:rPr>
            <w:rFonts w:ascii="Lucida Sans Unicode" w:eastAsia="Calibri" w:hAnsi="Lucida Sans Unicode" w:cs="Lucida Sans Unicode"/>
            <w:bCs/>
            <w:sz w:val="15"/>
            <w:szCs w:val="15"/>
          </w:rPr>
          <w:fldChar w:fldCharType="separate"/>
        </w:r>
        <w:r>
          <w:rPr>
            <w:rFonts w:ascii="Lucida Sans Unicode" w:eastAsia="Calibri" w:hAnsi="Lucida Sans Unicode" w:cs="Lucida Sans Unicode"/>
            <w:bCs/>
            <w:sz w:val="15"/>
            <w:szCs w:val="15"/>
          </w:rPr>
          <w:t>6</w:t>
        </w:r>
        <w:r w:rsidRPr="008261FA">
          <w:rPr>
            <w:rFonts w:ascii="Lucida Sans Unicode" w:eastAsia="Calibri" w:hAnsi="Lucida Sans Unicode" w:cs="Lucida Sans Unicode"/>
            <w:bCs/>
            <w:sz w:val="15"/>
            <w:szCs w:val="15"/>
          </w:rPr>
          <w:fldChar w:fldCharType="end"/>
        </w:r>
      </w:p>
      <w:p w14:paraId="2D6E2042" w14:textId="77777777" w:rsidR="005C647A" w:rsidRDefault="005C647A" w:rsidP="005C647A">
        <w:pPr>
          <w:pStyle w:val="Piedepgina"/>
        </w:pPr>
      </w:p>
      <w:p w14:paraId="08AB00CA" w14:textId="630259F4" w:rsidR="002F1B6B" w:rsidRDefault="001D41D0" w:rsidP="005C647A">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D35A" w14:textId="77777777" w:rsidR="00DE4B11" w:rsidRDefault="00DE4B11" w:rsidP="002F1B6B">
      <w:pPr>
        <w:spacing w:after="0" w:line="240" w:lineRule="auto"/>
      </w:pPr>
      <w:r>
        <w:separator/>
      </w:r>
    </w:p>
  </w:footnote>
  <w:footnote w:type="continuationSeparator" w:id="0">
    <w:p w14:paraId="76AA2129" w14:textId="77777777" w:rsidR="00DE4B11" w:rsidRDefault="00DE4B11" w:rsidP="002F1B6B">
      <w:pPr>
        <w:spacing w:after="0" w:line="240" w:lineRule="auto"/>
      </w:pPr>
      <w:r>
        <w:continuationSeparator/>
      </w:r>
    </w:p>
  </w:footnote>
  <w:footnote w:id="1">
    <w:p w14:paraId="58867312" w14:textId="24D4E96B" w:rsidR="0095421F" w:rsidRPr="00AC190D" w:rsidRDefault="0095421F">
      <w:pPr>
        <w:pStyle w:val="Textonotapie"/>
        <w:rPr>
          <w:rFonts w:ascii="Century Gothic" w:hAnsi="Century Gothic"/>
        </w:rPr>
      </w:pPr>
      <w:r w:rsidRPr="00AC190D">
        <w:rPr>
          <w:rStyle w:val="Refdenotaalpie"/>
          <w:rFonts w:ascii="Century Gothic" w:hAnsi="Century Gothic"/>
        </w:rPr>
        <w:footnoteRef/>
      </w:r>
      <w:r w:rsidRPr="00AC190D">
        <w:rPr>
          <w:rFonts w:ascii="Century Gothic" w:hAnsi="Century Gothic"/>
        </w:rPr>
        <w:t xml:space="preserve"> Lo descrito entre paréntesis es propio.</w:t>
      </w:r>
    </w:p>
  </w:footnote>
  <w:footnote w:id="2">
    <w:p w14:paraId="5F29E6C4" w14:textId="42709174" w:rsidR="000C3180" w:rsidRPr="000C3180" w:rsidRDefault="000C3180" w:rsidP="000C3180">
      <w:pPr>
        <w:pStyle w:val="Textonotapie"/>
        <w:jc w:val="both"/>
        <w:rPr>
          <w:rFonts w:ascii="Century Gothic" w:hAnsi="Century Gothic"/>
        </w:rPr>
      </w:pPr>
      <w:r w:rsidRPr="000C3180">
        <w:rPr>
          <w:rStyle w:val="Refdenotaalpie"/>
          <w:rFonts w:ascii="Century Gothic" w:hAnsi="Century Gothic"/>
        </w:rPr>
        <w:footnoteRef/>
      </w:r>
      <w:r w:rsidRPr="000C3180">
        <w:rPr>
          <w:rFonts w:ascii="Century Gothic" w:hAnsi="Century Gothic"/>
        </w:rPr>
        <w:t xml:space="preserve"> Al respecto, cabe señalar que si bien no es motivo del presente disenso; debe existir claridad en que, de conformidad al Reglamento de Elecciones, anexo 17, en la parte conducente, se establece que, también puede solicitarse el incidente de recuento de paquetes electorales locales puede solicitarse al inicio de la sesión correspondiente, siempre y cuando de actas se desprenda que existe la diferencia porcentual señalada entre el virtual primer y segundo lugar de la contienda. Esto cobra importancia porque con lo anterior, desde mi criterio, válidamente se potencializan las posibilidades de los partidos políticos para solicitar el recuento, se </w:t>
      </w:r>
      <w:proofErr w:type="spellStart"/>
      <w:r w:rsidRPr="000C3180">
        <w:rPr>
          <w:rFonts w:ascii="Century Gothic" w:hAnsi="Century Gothic"/>
        </w:rPr>
        <w:t>eficienta</w:t>
      </w:r>
      <w:proofErr w:type="spellEnd"/>
      <w:r w:rsidRPr="000C3180">
        <w:rPr>
          <w:rFonts w:ascii="Century Gothic" w:hAnsi="Century Gothic"/>
        </w:rPr>
        <w:t xml:space="preserve"> el tiempo para desarrollar lo previsto con lo que se abre la oportunidad de terminar dicha tarea operativa en tiempo y forma.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298D" w14:textId="77777777" w:rsidR="005C647A" w:rsidRDefault="005C647A">
    <w:pPr>
      <w:pStyle w:val="Encabezado"/>
    </w:pPr>
  </w:p>
  <w:p w14:paraId="191A9886" w14:textId="77777777" w:rsidR="005C647A" w:rsidRDefault="005C647A">
    <w:pPr>
      <w:pStyle w:val="Encabezado"/>
    </w:pPr>
  </w:p>
  <w:p w14:paraId="12E49A4B" w14:textId="77777777" w:rsidR="005C647A" w:rsidRDefault="005C647A">
    <w:pPr>
      <w:pStyle w:val="Encabezado"/>
    </w:pPr>
  </w:p>
  <w:p w14:paraId="03C60C92" w14:textId="5DBFB85B" w:rsidR="005C647A" w:rsidRDefault="005C647A">
    <w:pPr>
      <w:pStyle w:val="Encabezado"/>
    </w:pPr>
  </w:p>
  <w:p w14:paraId="1F1051C1" w14:textId="77777777" w:rsidR="005C647A" w:rsidRDefault="005C647A">
    <w:pPr>
      <w:pStyle w:val="Encabezado"/>
    </w:pPr>
  </w:p>
  <w:p w14:paraId="015477A5" w14:textId="5FDCE892" w:rsidR="0093615D" w:rsidRDefault="0093615D">
    <w:pPr>
      <w:pStyle w:val="Encabezado"/>
    </w:pPr>
    <w:r>
      <w:rPr>
        <w:noProof/>
      </w:rPr>
      <w:drawing>
        <wp:anchor distT="0" distB="0" distL="0" distR="0" simplePos="0" relativeHeight="251659264" behindDoc="1" locked="0" layoutInCell="1" allowOverlap="1" wp14:anchorId="443CC0BE" wp14:editId="69BB15EF">
          <wp:simplePos x="0" y="0"/>
          <wp:positionH relativeFrom="page">
            <wp:posOffset>1080135</wp:posOffset>
          </wp:positionH>
          <wp:positionV relativeFrom="page">
            <wp:posOffset>448945</wp:posOffset>
          </wp:positionV>
          <wp:extent cx="1520832" cy="762288"/>
          <wp:effectExtent l="0" t="0" r="0" b="0"/>
          <wp:wrapNone/>
          <wp:docPr id="12" name="image1.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Imagen que contiene Texto&#10;&#10;Descripción generada automáticamente"/>
                  <pic:cNvPicPr/>
                </pic:nvPicPr>
                <pic:blipFill>
                  <a:blip r:embed="rId1" cstate="print"/>
                  <a:stretch>
                    <a:fillRect/>
                  </a:stretch>
                </pic:blipFill>
                <pic:spPr>
                  <a:xfrm>
                    <a:off x="0" y="0"/>
                    <a:ext cx="1520832" cy="762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0F8"/>
    <w:multiLevelType w:val="hybridMultilevel"/>
    <w:tmpl w:val="745A0270"/>
    <w:lvl w:ilvl="0" w:tplc="39028AC6">
      <w:numFmt w:val="bullet"/>
      <w:lvlText w:val=""/>
      <w:lvlJc w:val="left"/>
      <w:pPr>
        <w:ind w:left="720" w:hanging="360"/>
      </w:pPr>
      <w:rPr>
        <w:rFonts w:ascii="Symbol" w:eastAsiaTheme="minorHAns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F756B0"/>
    <w:multiLevelType w:val="hybridMultilevel"/>
    <w:tmpl w:val="617C68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6B3BB1"/>
    <w:multiLevelType w:val="hybridMultilevel"/>
    <w:tmpl w:val="67DC01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8E5A5F"/>
    <w:multiLevelType w:val="hybridMultilevel"/>
    <w:tmpl w:val="4B2AE0D8"/>
    <w:lvl w:ilvl="0" w:tplc="2F44A48E">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8985229">
    <w:abstractNumId w:val="3"/>
  </w:num>
  <w:num w:numId="2" w16cid:durableId="857084620">
    <w:abstractNumId w:val="1"/>
  </w:num>
  <w:num w:numId="3" w16cid:durableId="920257606">
    <w:abstractNumId w:val="0"/>
  </w:num>
  <w:num w:numId="4" w16cid:durableId="1715882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4E"/>
    <w:rsid w:val="00056B07"/>
    <w:rsid w:val="0007132D"/>
    <w:rsid w:val="00094AD9"/>
    <w:rsid w:val="000C3180"/>
    <w:rsid w:val="000E695F"/>
    <w:rsid w:val="00120281"/>
    <w:rsid w:val="00131891"/>
    <w:rsid w:val="0013395B"/>
    <w:rsid w:val="001B10EA"/>
    <w:rsid w:val="001C08BA"/>
    <w:rsid w:val="001C4491"/>
    <w:rsid w:val="001D41D0"/>
    <w:rsid w:val="001E0638"/>
    <w:rsid w:val="00237160"/>
    <w:rsid w:val="002508F5"/>
    <w:rsid w:val="00267EE7"/>
    <w:rsid w:val="002F1B6B"/>
    <w:rsid w:val="00323783"/>
    <w:rsid w:val="00327AE1"/>
    <w:rsid w:val="0033068B"/>
    <w:rsid w:val="0033705C"/>
    <w:rsid w:val="00373AEB"/>
    <w:rsid w:val="00391097"/>
    <w:rsid w:val="003B76A9"/>
    <w:rsid w:val="00412455"/>
    <w:rsid w:val="00450A95"/>
    <w:rsid w:val="00451260"/>
    <w:rsid w:val="00465E33"/>
    <w:rsid w:val="004E348C"/>
    <w:rsid w:val="004E6F28"/>
    <w:rsid w:val="0051214B"/>
    <w:rsid w:val="005166DE"/>
    <w:rsid w:val="00526E30"/>
    <w:rsid w:val="005360C4"/>
    <w:rsid w:val="0055163B"/>
    <w:rsid w:val="005C647A"/>
    <w:rsid w:val="00612FDB"/>
    <w:rsid w:val="006F5639"/>
    <w:rsid w:val="00740CC4"/>
    <w:rsid w:val="00763A61"/>
    <w:rsid w:val="00781AF3"/>
    <w:rsid w:val="00794FDA"/>
    <w:rsid w:val="00797198"/>
    <w:rsid w:val="00797C04"/>
    <w:rsid w:val="007B2273"/>
    <w:rsid w:val="007C01B3"/>
    <w:rsid w:val="007C1D45"/>
    <w:rsid w:val="00803A29"/>
    <w:rsid w:val="00807738"/>
    <w:rsid w:val="008440D5"/>
    <w:rsid w:val="008557B5"/>
    <w:rsid w:val="00887AE3"/>
    <w:rsid w:val="008C53F8"/>
    <w:rsid w:val="008E7C74"/>
    <w:rsid w:val="00922FB0"/>
    <w:rsid w:val="0093615D"/>
    <w:rsid w:val="0095421F"/>
    <w:rsid w:val="009A064E"/>
    <w:rsid w:val="009E699E"/>
    <w:rsid w:val="00A03543"/>
    <w:rsid w:val="00A03DA6"/>
    <w:rsid w:val="00A456DF"/>
    <w:rsid w:val="00A47796"/>
    <w:rsid w:val="00A842EF"/>
    <w:rsid w:val="00AB5F59"/>
    <w:rsid w:val="00AC190D"/>
    <w:rsid w:val="00AC7132"/>
    <w:rsid w:val="00AD0CE0"/>
    <w:rsid w:val="00B325B8"/>
    <w:rsid w:val="00B42B28"/>
    <w:rsid w:val="00B71A6E"/>
    <w:rsid w:val="00B94190"/>
    <w:rsid w:val="00BB431D"/>
    <w:rsid w:val="00BD3B34"/>
    <w:rsid w:val="00C4549B"/>
    <w:rsid w:val="00C61BC3"/>
    <w:rsid w:val="00C96F25"/>
    <w:rsid w:val="00CA03A0"/>
    <w:rsid w:val="00CC15E7"/>
    <w:rsid w:val="00D417C5"/>
    <w:rsid w:val="00D708D6"/>
    <w:rsid w:val="00DB4637"/>
    <w:rsid w:val="00DB4C85"/>
    <w:rsid w:val="00DC0B3B"/>
    <w:rsid w:val="00DC74EC"/>
    <w:rsid w:val="00DE4B11"/>
    <w:rsid w:val="00DF2A0E"/>
    <w:rsid w:val="00E10753"/>
    <w:rsid w:val="00E71DA2"/>
    <w:rsid w:val="00EB1D04"/>
    <w:rsid w:val="00EC420C"/>
    <w:rsid w:val="00F02FD5"/>
    <w:rsid w:val="00F215C7"/>
    <w:rsid w:val="00F73D80"/>
    <w:rsid w:val="00FA7728"/>
    <w:rsid w:val="00FE7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FDAB"/>
  <w15:chartTrackingRefBased/>
  <w15:docId w15:val="{DC2E897F-FC19-41D9-BB13-DB064F0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ar">
    <w:name w:val="Estilo Car"/>
    <w:basedOn w:val="Fuentedeprrafopredeter"/>
    <w:link w:val="Estilo"/>
    <w:locked/>
    <w:rsid w:val="009A064E"/>
    <w:rPr>
      <w:rFonts w:ascii="Arial" w:hAnsi="Arial" w:cs="Arial"/>
      <w:sz w:val="24"/>
    </w:rPr>
  </w:style>
  <w:style w:type="paragraph" w:customStyle="1" w:styleId="Estilo">
    <w:name w:val="Estilo"/>
    <w:basedOn w:val="Sinespaciado"/>
    <w:link w:val="EstiloCar"/>
    <w:qFormat/>
    <w:rsid w:val="009A064E"/>
    <w:pPr>
      <w:jc w:val="both"/>
    </w:pPr>
    <w:rPr>
      <w:rFonts w:ascii="Arial" w:hAnsi="Arial" w:cs="Arial"/>
      <w:sz w:val="24"/>
    </w:rPr>
  </w:style>
  <w:style w:type="paragraph" w:styleId="Sinespaciado">
    <w:name w:val="No Spacing"/>
    <w:link w:val="SinespaciadoCar"/>
    <w:uiPriority w:val="1"/>
    <w:qFormat/>
    <w:rsid w:val="009A064E"/>
    <w:pPr>
      <w:spacing w:after="0" w:line="240" w:lineRule="auto"/>
    </w:pPr>
  </w:style>
  <w:style w:type="paragraph" w:styleId="Prrafodelista">
    <w:name w:val="List Paragraph"/>
    <w:basedOn w:val="Normal"/>
    <w:uiPriority w:val="34"/>
    <w:qFormat/>
    <w:rsid w:val="00056B07"/>
    <w:pPr>
      <w:ind w:left="720"/>
      <w:contextualSpacing/>
    </w:pPr>
  </w:style>
  <w:style w:type="paragraph" w:styleId="Encabezado">
    <w:name w:val="header"/>
    <w:basedOn w:val="Normal"/>
    <w:link w:val="EncabezadoCar"/>
    <w:uiPriority w:val="99"/>
    <w:unhideWhenUsed/>
    <w:rsid w:val="002F1B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B6B"/>
  </w:style>
  <w:style w:type="paragraph" w:styleId="Piedepgina">
    <w:name w:val="footer"/>
    <w:basedOn w:val="Normal"/>
    <w:link w:val="PiedepginaCar"/>
    <w:uiPriority w:val="99"/>
    <w:unhideWhenUsed/>
    <w:rsid w:val="002F1B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B6B"/>
  </w:style>
  <w:style w:type="character" w:customStyle="1" w:styleId="SinespaciadoCar">
    <w:name w:val="Sin espaciado Car"/>
    <w:link w:val="Sinespaciado"/>
    <w:uiPriority w:val="1"/>
    <w:locked/>
    <w:rsid w:val="005360C4"/>
  </w:style>
  <w:style w:type="paragraph" w:styleId="Textonotapie">
    <w:name w:val="footnote text"/>
    <w:basedOn w:val="Normal"/>
    <w:link w:val="TextonotapieCar"/>
    <w:uiPriority w:val="99"/>
    <w:semiHidden/>
    <w:unhideWhenUsed/>
    <w:rsid w:val="009542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421F"/>
    <w:rPr>
      <w:sz w:val="20"/>
      <w:szCs w:val="20"/>
    </w:rPr>
  </w:style>
  <w:style w:type="character" w:styleId="Refdenotaalpie">
    <w:name w:val="footnote reference"/>
    <w:basedOn w:val="Fuentedeprrafopredeter"/>
    <w:uiPriority w:val="99"/>
    <w:semiHidden/>
    <w:unhideWhenUsed/>
    <w:rsid w:val="0095421F"/>
    <w:rPr>
      <w:vertAlign w:val="superscript"/>
    </w:rPr>
  </w:style>
  <w:style w:type="paragraph" w:styleId="Textonotaalfinal">
    <w:name w:val="endnote text"/>
    <w:basedOn w:val="Normal"/>
    <w:link w:val="TextonotaalfinalCar"/>
    <w:uiPriority w:val="99"/>
    <w:semiHidden/>
    <w:unhideWhenUsed/>
    <w:rsid w:val="000C31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3180"/>
    <w:rPr>
      <w:sz w:val="20"/>
      <w:szCs w:val="20"/>
    </w:rPr>
  </w:style>
  <w:style w:type="character" w:styleId="Refdenotaalfinal">
    <w:name w:val="endnote reference"/>
    <w:basedOn w:val="Fuentedeprrafopredeter"/>
    <w:uiPriority w:val="99"/>
    <w:semiHidden/>
    <w:unhideWhenUsed/>
    <w:rsid w:val="000C3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0749">
      <w:bodyDiv w:val="1"/>
      <w:marLeft w:val="0"/>
      <w:marRight w:val="0"/>
      <w:marTop w:val="0"/>
      <w:marBottom w:val="0"/>
      <w:divBdr>
        <w:top w:val="none" w:sz="0" w:space="0" w:color="auto"/>
        <w:left w:val="none" w:sz="0" w:space="0" w:color="auto"/>
        <w:bottom w:val="none" w:sz="0" w:space="0" w:color="auto"/>
        <w:right w:val="none" w:sz="0" w:space="0" w:color="auto"/>
      </w:divBdr>
    </w:div>
    <w:div w:id="393505691">
      <w:bodyDiv w:val="1"/>
      <w:marLeft w:val="0"/>
      <w:marRight w:val="0"/>
      <w:marTop w:val="0"/>
      <w:marBottom w:val="0"/>
      <w:divBdr>
        <w:top w:val="none" w:sz="0" w:space="0" w:color="auto"/>
        <w:left w:val="none" w:sz="0" w:space="0" w:color="auto"/>
        <w:bottom w:val="none" w:sz="0" w:space="0" w:color="auto"/>
        <w:right w:val="none" w:sz="0" w:space="0" w:color="auto"/>
      </w:divBdr>
    </w:div>
    <w:div w:id="735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1997d3bedec855c346e4d1496321c9a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30c8003cfa1cf592f7ef5dee3f28e2a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7CBC44D9-E776-4E84-8885-3C7A02873989}">
  <ds:schemaRefs>
    <ds:schemaRef ds:uri="http://schemas.openxmlformats.org/officeDocument/2006/bibliography"/>
  </ds:schemaRefs>
</ds:datastoreItem>
</file>

<file path=customXml/itemProps2.xml><?xml version="1.0" encoding="utf-8"?>
<ds:datastoreItem xmlns:ds="http://schemas.openxmlformats.org/officeDocument/2006/customXml" ds:itemID="{102FE0F7-9161-434B-BC26-E3A2F85120B5}">
  <ds:schemaRefs>
    <ds:schemaRef ds:uri="http://schemas.microsoft.com/sharepoint/v3/contenttype/forms"/>
  </ds:schemaRefs>
</ds:datastoreItem>
</file>

<file path=customXml/itemProps3.xml><?xml version="1.0" encoding="utf-8"?>
<ds:datastoreItem xmlns:ds="http://schemas.openxmlformats.org/officeDocument/2006/customXml" ds:itemID="{14BA1FE6-C791-4FB4-AEF9-FB806454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6F8FD-8F8B-4B28-BB90-B31AE2D6C47F}">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Guadalupe Bustos Vasquez</dc:creator>
  <cp:keywords/>
  <dc:description/>
  <cp:lastModifiedBy>Aidee Quezada</cp:lastModifiedBy>
  <cp:revision>2</cp:revision>
  <dcterms:created xsi:type="dcterms:W3CDTF">2024-02-22T23:40:00Z</dcterms:created>
  <dcterms:modified xsi:type="dcterms:W3CDTF">2024-02-22T23:40:00Z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