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3F6" w14:textId="6FED0346" w:rsidR="00C8047F" w:rsidRPr="00857F95" w:rsidRDefault="003212F3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2DE63732">
        <w:rPr>
          <w:rFonts w:ascii="Lucida Sans Unicode" w:hAnsi="Lucida Sans Unicode" w:cs="Lucida Sans Unicode"/>
          <w:b/>
          <w:bCs/>
          <w:sz w:val="20"/>
          <w:szCs w:val="20"/>
        </w:rPr>
        <w:t>TERCER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D440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A87677" w:rsidRPr="2DE63732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153A4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INSTITUTO ELECTORAL Y DE PARTICI</w:t>
      </w:r>
      <w:r w:rsidR="009D2CA9" w:rsidRPr="2DE63732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2DE63732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</w:t>
      </w:r>
      <w:r w:rsidR="0038516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PERSONAS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ELECTORALES 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857F95" w:rsidRDefault="00841478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7B65A8" w:rsidRDefault="00730E63" w:rsidP="00730E63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7B65A8" w:rsidRDefault="00730E63" w:rsidP="00730E63">
      <w:pPr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5DE08DA5" w:rsidR="00E37553" w:rsidRPr="007B65A8" w:rsidRDefault="00E248D9" w:rsidP="007B65A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</w:rPr>
        <w:t>olítico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-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e</w:t>
      </w:r>
      <w:r w:rsidRPr="1D8592C0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á</w:t>
      </w:r>
      <w:r w:rsidRPr="1D8592C0">
        <w:rPr>
          <w:rFonts w:ascii="Lucida Sans Unicode" w:hAnsi="Lucida Sans Unicode" w:cs="Lucida Sans Unicode"/>
          <w:sz w:val="20"/>
          <w:szCs w:val="20"/>
        </w:rPr>
        <w:t>mite, capacitación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aprobación y expedición de acreditaciones de </w:t>
      </w:r>
      <w:r w:rsidR="00490741" w:rsidRPr="1D8592C0">
        <w:rPr>
          <w:rFonts w:ascii="Lucida Sans Unicode" w:hAnsi="Lucida Sans Unicode" w:cs="Lucida Sans Unicode"/>
          <w:sz w:val="20"/>
          <w:szCs w:val="20"/>
        </w:rPr>
        <w:t>la ciudadanía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 xml:space="preserve"> mexicana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observadoras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7B65A8" w:rsidRDefault="00E37553" w:rsidP="00E37553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7963867D" w:rsidR="005319D6" w:rsidRPr="00AA0B13" w:rsidRDefault="008A04DE" w:rsidP="008A04DE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5A2A09" w:rsidRPr="007B65A8">
        <w:rPr>
          <w:rFonts w:ascii="Lucida Sans Unicode" w:hAnsi="Lucida Sans Unicode" w:cs="Lucida Sans Unicode"/>
          <w:sz w:val="20"/>
          <w:szCs w:val="20"/>
        </w:rPr>
        <w:t xml:space="preserve">veinte 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851C4" w:rsidRPr="007B65A8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0D86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 xml:space="preserve">l Instituto </w:t>
      </w:r>
      <w:r w:rsidR="00EF3F70" w:rsidRPr="007B65A8">
        <w:rPr>
          <w:rFonts w:ascii="Lucida Sans Unicode" w:hAnsi="Lucida Sans Unicode" w:cs="Lucida Sans Unicode"/>
          <w:sz w:val="20"/>
          <w:szCs w:val="20"/>
        </w:rPr>
        <w:t xml:space="preserve">Nacional Electoral aprobó el acuerdo </w:t>
      </w:r>
      <w:r w:rsidR="00642ED8" w:rsidRPr="007B65A8">
        <w:rPr>
          <w:rFonts w:ascii="Lucida Sans Unicode" w:hAnsi="Lucida Sans Unicode" w:cs="Lucida Sans Unicode"/>
          <w:sz w:val="20"/>
          <w:szCs w:val="20"/>
        </w:rPr>
        <w:t xml:space="preserve">identificado con la clave </w:t>
      </w:r>
      <w:r w:rsidR="00642ED8" w:rsidRPr="00AA0B13">
        <w:rPr>
          <w:rFonts w:ascii="Lucida Sans Unicode" w:hAnsi="Lucida Sans Unicode" w:cs="Lucida Sans Unicode"/>
          <w:sz w:val="20"/>
          <w:szCs w:val="20"/>
        </w:rPr>
        <w:t xml:space="preserve">alfanumérica 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23</w:t>
      </w:r>
      <w:r w:rsidR="003D68E0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="001E5F5A" w:rsidRPr="00AA0B13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7B65A8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7B65A8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F02FD4" w:rsidRPr="007B65A8">
        <w:rPr>
          <w:rFonts w:ascii="Lucida Sans Unicode" w:hAnsi="Lucida Sans Unicode" w:cs="Lucida Sans Unicode"/>
          <w:sz w:val="20"/>
          <w:szCs w:val="20"/>
        </w:rPr>
        <w:t>Electoral Concurrente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7B65A8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BD1248" w:rsidRPr="007B65A8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 xml:space="preserve"> y se apr</w:t>
      </w:r>
      <w:r w:rsidR="5569EF48" w:rsidRPr="007B65A8">
        <w:rPr>
          <w:rFonts w:ascii="Lucida Sans Unicode" w:hAnsi="Lucida Sans Unicode" w:cs="Lucida Sans Unicode"/>
          <w:sz w:val="20"/>
          <w:szCs w:val="20"/>
        </w:rPr>
        <w:t>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ba</w:t>
      </w:r>
      <w:r w:rsidR="29508A51" w:rsidRPr="007B65A8">
        <w:rPr>
          <w:rFonts w:ascii="Lucida Sans Unicode" w:hAnsi="Lucida Sans Unicode" w:cs="Lucida Sans Unicode"/>
          <w:sz w:val="20"/>
          <w:szCs w:val="20"/>
        </w:rPr>
        <w:t>ro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n diversos anexos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7B65A8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7B65A8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7B65A8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7B65A8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7B65A8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7B65A8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7B65A8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7B65A8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7B65A8">
        <w:rPr>
          <w:rFonts w:ascii="Lucida Sans Unicode" w:hAnsi="Lucida Sans Unicode" w:cs="Lucida Sans Unicode"/>
          <w:sz w:val="20"/>
          <w:szCs w:val="20"/>
        </w:rPr>
        <w:t xml:space="preserve">su </w:t>
      </w:r>
      <w:r w:rsidR="00BD21AB" w:rsidRPr="00AA0B13">
        <w:rPr>
          <w:rFonts w:ascii="Lucida Sans Unicode" w:hAnsi="Lucida Sans Unicode" w:cs="Lucida Sans Unicode"/>
          <w:sz w:val="20"/>
          <w:szCs w:val="20"/>
        </w:rPr>
        <w:t>competencia</w:t>
      </w:r>
      <w:r w:rsidR="003D68E0" w:rsidRPr="00AA0B13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7B65A8" w:rsidRDefault="00BD21AB" w:rsidP="00BD21AB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61F2579" w14:textId="25236B87" w:rsidR="00BA17E3" w:rsidRDefault="00CC0530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BD1248" w:rsidRPr="00BA17E3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A INTERESADA EN ACREDITARSE COMO OBSERVADORA ELECTORAL, PARA EL PROCESO ELECTORAL</w:t>
      </w:r>
      <w:r w:rsidR="008A04DE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BA17E3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 xml:space="preserve">treinta y uno 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>de agosto de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161" w:rsidRPr="00BA17E3">
        <w:rPr>
          <w:rFonts w:ascii="Lucida Sans Unicode" w:hAnsi="Lucida Sans Unicode" w:cs="Lucida Sans Unicode"/>
          <w:sz w:val="20"/>
          <w:szCs w:val="20"/>
        </w:rPr>
        <w:t>dos mil veintitrés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, el Consejo General del Instituto 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emit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lastRenderedPageBreak/>
        <w:t xml:space="preserve">identificado con la clave alfanumérica 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>IEPC-ACG-050/2023</w:t>
      </w:r>
      <w:r w:rsidR="007240C1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  <w:r w:rsidR="001E5F5A" w:rsidRPr="00BA17E3">
        <w:rPr>
          <w:rFonts w:ascii="Lucida Sans Unicode" w:hAnsi="Lucida Sans Unicode" w:cs="Lucida Sans Unicode"/>
          <w:sz w:val="20"/>
          <w:szCs w:val="20"/>
        </w:rPr>
        <w:t>,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>b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la convocatoria </w:t>
      </w:r>
      <w:r w:rsidR="55EE216A" w:rsidRPr="00BA17E3">
        <w:rPr>
          <w:rFonts w:ascii="Lucida Sans Unicode" w:hAnsi="Lucida Sans Unicode" w:cs="Lucida Sans Unicode"/>
          <w:sz w:val="20"/>
          <w:szCs w:val="20"/>
        </w:rPr>
        <w:t xml:space="preserve">dirigida 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a la ciudadanía 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BA17E3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0D1F2A" w14:textId="77777777" w:rsidR="005A2A09" w:rsidRPr="00D87D8A" w:rsidRDefault="005A2A09" w:rsidP="005A2A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74A0CA" w14:textId="3ED03CCB" w:rsidR="008A04DE" w:rsidRDefault="00241D9D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SISTEMA INFORMÁTICO DE OBSERVADORAS Y OBSERVADORES ELECTORALES, ACCIONES DE DIFUSIÓN Y SOLICITUDES DE REGISTRO DE CIUDADANÍA.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El quince de septiembre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>y cuatro de octubre de</w:t>
      </w:r>
      <w:r w:rsidR="00385161">
        <w:rPr>
          <w:rFonts w:ascii="Lucida Sans Unicode" w:hAnsi="Lucida Sans Unicode" w:cs="Lucida Sans Unicode"/>
          <w:sz w:val="20"/>
          <w:szCs w:val="20"/>
        </w:rPr>
        <w:t xml:space="preserve"> dos mil veintitrés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, se recib</w:t>
      </w:r>
      <w:r w:rsidR="002419A5">
        <w:rPr>
          <w:rFonts w:ascii="Lucida Sans Unicode" w:hAnsi="Lucida Sans Unicode" w:cs="Lucida Sans Unicode"/>
          <w:sz w:val="20"/>
          <w:szCs w:val="20"/>
        </w:rPr>
        <w:t>ió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2419A5">
        <w:rPr>
          <w:rFonts w:ascii="Lucida Sans Unicode" w:hAnsi="Lucida Sans Unicode" w:cs="Lucida Sans Unicode"/>
          <w:sz w:val="20"/>
          <w:szCs w:val="20"/>
        </w:rPr>
        <w:t>O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ficialía de </w:t>
      </w:r>
      <w:r w:rsidR="002419A5">
        <w:rPr>
          <w:rFonts w:ascii="Lucida Sans Unicode" w:hAnsi="Lucida Sans Unicode" w:cs="Lucida Sans Unicode"/>
          <w:sz w:val="20"/>
          <w:szCs w:val="20"/>
        </w:rPr>
        <w:t>P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artes de este </w:t>
      </w:r>
      <w:r w:rsidR="002419A5">
        <w:rPr>
          <w:rFonts w:ascii="Lucida Sans Unicode" w:hAnsi="Lucida Sans Unicode" w:cs="Lucida Sans Unicode"/>
          <w:sz w:val="20"/>
          <w:szCs w:val="20"/>
        </w:rPr>
        <w:t>I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nstituto la </w:t>
      </w:r>
      <w:r w:rsidR="002419A5">
        <w:rPr>
          <w:rFonts w:ascii="Lucida Sans Unicode" w:hAnsi="Lucida Sans Unicode" w:cs="Lucida Sans Unicode"/>
          <w:sz w:val="20"/>
          <w:szCs w:val="20"/>
        </w:rPr>
        <w:t>c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ircular INE/UTVOPL/154/2023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y el oficio INE/DEOE/0966/2023,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registrándose</w:t>
      </w:r>
      <w:r w:rsidR="003D68E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>los</w:t>
      </w:r>
      <w:r w:rsidR="003D68E0" w:rsidRPr="00BA7F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7FF8">
        <w:rPr>
          <w:rFonts w:ascii="Lucida Sans Unicode" w:hAnsi="Lucida Sans Unicode" w:cs="Lucida Sans Unicode"/>
          <w:sz w:val="20"/>
          <w:szCs w:val="20"/>
        </w:rPr>
        <w:t>f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olio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01334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y 01467</w:t>
      </w:r>
      <w:r w:rsidR="00BD1248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5D7ED5" w:rsidRPr="00857F95">
        <w:rPr>
          <w:rFonts w:ascii="Lucida Sans Unicode" w:hAnsi="Lucida Sans Unicode" w:cs="Lucida Sans Unicode"/>
          <w:sz w:val="20"/>
          <w:szCs w:val="20"/>
        </w:rPr>
        <w:t>los que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asignaron permisos </w:t>
      </w:r>
      <w:r w:rsidR="002419A5">
        <w:rPr>
          <w:rFonts w:ascii="Lucida Sans Unicode" w:hAnsi="Lucida Sans Unicode" w:cs="Lucida Sans Unicode"/>
          <w:sz w:val="20"/>
          <w:szCs w:val="20"/>
        </w:rPr>
        <w:t xml:space="preserve">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a la Secretar</w:t>
      </w:r>
      <w:r w:rsidR="002419A5">
        <w:rPr>
          <w:rFonts w:ascii="Lucida Sans Unicode" w:hAnsi="Lucida Sans Unicode" w:cs="Lucida Sans Unicode"/>
          <w:sz w:val="20"/>
          <w:szCs w:val="20"/>
        </w:rPr>
        <w:t>í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a Ejecutiva y a la Dirección de Organización Electoral </w:t>
      </w:r>
      <w:r w:rsidR="00263576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al </w:t>
      </w:r>
      <w:r w:rsidR="00A72C74" w:rsidRPr="00857F95">
        <w:rPr>
          <w:rFonts w:ascii="Lucida Sans Unicode" w:hAnsi="Lucida Sans Unicode" w:cs="Lucida Sans Unicode"/>
          <w:i/>
          <w:iCs/>
          <w:sz w:val="20"/>
          <w:szCs w:val="20"/>
        </w:rPr>
        <w:t>Sistema de Observadores y Observadoras Electorales del PEC 2023-2024</w:t>
      </w:r>
      <w:r w:rsidR="005A2A09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en particular</w:t>
      </w:r>
      <w:r w:rsidR="00BD1248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>módulos y submódulos</w:t>
      </w:r>
      <w:r w:rsidR="003D68E0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 xml:space="preserve"> Acciones de difusión y Solicitudes/Registro de Ciudadanía y Observaciones al OPL</w:t>
      </w:r>
      <w:r w:rsidR="00263576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así como la liga 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para cargar las acciones de difusión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que realice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este Instituto y el seguimiento a las solicitudes de registro de la ciudadanía</w:t>
      </w:r>
      <w:r w:rsidR="001815B1" w:rsidRPr="00857F95">
        <w:rPr>
          <w:rFonts w:ascii="Lucida Sans Unicode" w:hAnsi="Lucida Sans Unicode" w:cs="Lucida Sans Unicode"/>
          <w:sz w:val="20"/>
          <w:szCs w:val="20"/>
        </w:rPr>
        <w:t xml:space="preserve"> en dicho sistema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14BD58" w14:textId="77777777" w:rsidR="00F83609" w:rsidRPr="00F83609" w:rsidRDefault="00F83609" w:rsidP="00F836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5E870C8" w14:textId="22465E58" w:rsidR="00F83609" w:rsidRPr="00BA17E3" w:rsidRDefault="00F83609" w:rsidP="00F83609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LINEAMIENTOS QUE ESTABLECEN MEDIDAS PREVENTIVAS PARA EVITAR LA INJERENCIA Y/O PARTICIPACIÓN DE PERSONAS SERVIDORAS PÚBLICAS QUE MANEJAN PROGRAMAS SOCIALES EN EL PROCESO ELECTORAL FEDERAL Y LOS PROCESOS ELECTORALES LOCALES 2023-2024, EN LA JORNADA ELECTORAL.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veinte de septiembre de </w:t>
      </w:r>
      <w:r w:rsidR="67500D6C" w:rsidRPr="6A0FD6D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veintitrés, el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Consejo General del INE </w:t>
      </w:r>
      <w:r w:rsidR="7C46C79B" w:rsidRPr="6A0FD6D0">
        <w:rPr>
          <w:rFonts w:ascii="Lucida Sans Unicode" w:hAnsi="Lucida Sans Unicode" w:cs="Lucida Sans Unicode"/>
          <w:sz w:val="20"/>
          <w:szCs w:val="20"/>
        </w:rPr>
        <w:t xml:space="preserve">aprobó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5B97E60A" w:rsidRPr="1D8592C0">
        <w:rPr>
          <w:rFonts w:ascii="Lucida Sans Unicode" w:hAnsi="Lucida Sans Unicode" w:cs="Lucida Sans Unicode"/>
          <w:sz w:val="20"/>
          <w:szCs w:val="20"/>
        </w:rPr>
        <w:t xml:space="preserve">identificado con clave alfanumérica </w:t>
      </w:r>
      <w:r w:rsidRPr="6A0FD6D0">
        <w:rPr>
          <w:rFonts w:ascii="Lucida Sans Unicode" w:hAnsi="Lucida Sans Unicode" w:cs="Lucida Sans Unicode"/>
          <w:sz w:val="20"/>
          <w:szCs w:val="20"/>
        </w:rPr>
        <w:t>INE/CG535/2023</w:t>
      </w:r>
      <w:r w:rsidRPr="6A0FD6D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4"/>
      </w:r>
      <w:r w:rsidRPr="6A0FD6D0">
        <w:rPr>
          <w:rFonts w:ascii="Lucida Sans Unicode" w:hAnsi="Lucida Sans Unicode" w:cs="Lucida Sans Unicode"/>
          <w:sz w:val="20"/>
          <w:szCs w:val="20"/>
        </w:rPr>
        <w:t>, por el que se emitieron los “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Lineamientos en cumplimiento a la sentencia dictada por la Sala Superior del Tribunal Electoral del Poder Judicial de la Federación en el expediente SUP-RAP-4/2023</w:t>
      </w:r>
      <w:r w:rsidR="72C055CE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y acumulados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Por lo que</w:t>
      </w:r>
      <w:r w:rsidR="33ADE9D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la solicitud que presente la ciudadanía para el registro como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6A0FD6D0">
        <w:rPr>
          <w:rFonts w:ascii="Lucida Sans Unicode" w:hAnsi="Lucida Sans Unicode" w:cs="Lucida Sans Unicode"/>
          <w:sz w:val="20"/>
          <w:szCs w:val="20"/>
        </w:rPr>
        <w:t>, dentro del apartado correspondiente al escrito de protesta</w:t>
      </w:r>
      <w:r w:rsidR="320B723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se incluirá la leyenda: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“…BAJO PROTESTA DE DECIR VERDAD, manifiesto no ser persona servidora pública vinculada con programas sociales en el gobierno municipal, estatal o federal, ni ser persona operadora de programas sociales y actividades institucionales, cualquiera que sea su denominación, ni persona servidora de la nación…”.</w:t>
      </w:r>
    </w:p>
    <w:p w14:paraId="5739046F" w14:textId="77777777" w:rsidR="000438F7" w:rsidRPr="00857F95" w:rsidRDefault="000438F7" w:rsidP="008A04D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857F95" w:rsidRDefault="00204F81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RAZONES Y MOTIVOS</w:t>
      </w:r>
    </w:p>
    <w:p w14:paraId="67F729C0" w14:textId="77777777" w:rsidR="000438F7" w:rsidRPr="00857F95" w:rsidRDefault="000438F7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35DA36A3" w:rsidR="0023265D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1. DEL DERECHO DE L</w:t>
      </w:r>
      <w:r w:rsidR="008A04DE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CIUDADAN</w:t>
      </w:r>
      <w:r w:rsidR="38A483A8" w:rsidRPr="1D8592C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>A MEXICANA</w:t>
      </w:r>
      <w:r w:rsidRPr="1D8592C0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Pr="1D8592C0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12832835" w:rsidRPr="1D8592C0">
        <w:rPr>
          <w:rFonts w:ascii="Lucida Sans Unicode" w:hAnsi="Lucida Sans Unicode" w:cs="Lucida Sans Unicode"/>
          <w:sz w:val="20"/>
          <w:szCs w:val="20"/>
        </w:rPr>
        <w:t>ciudadanía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mexicana participar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de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los actos de preparación y desarrollo del proceso electoral, así como de los que se lleven a cabo el día de la Jornada Electoral,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857F95" w:rsidRDefault="0023265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1FFA51E6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>2. DEL INSTITUTO NACIONAL ELECTORAL</w:t>
      </w:r>
      <w:r w:rsidRPr="6A0FD6D0">
        <w:rPr>
          <w:rFonts w:ascii="Lucida Sans Unicode" w:hAnsi="Lucida Sans Unicode" w:cs="Lucida Sans Unicode"/>
          <w:sz w:val="20"/>
          <w:szCs w:val="20"/>
        </w:rPr>
        <w:t>. En el artículo 8, numeral 2 de la Ley General, se establece que es derecho exclusivo de l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 ciudadanía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</w:t>
      </w:r>
      <w:r w:rsidRPr="6A0FD6D0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de los actos de preparación y desarrollo de los procesos electorales federales y locales, en la forma y términos que determine el Consejo General del Instituto Nacional Electoral. </w:t>
      </w:r>
    </w:p>
    <w:p w14:paraId="57AAA41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4BBEA4EB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sz w:val="20"/>
          <w:szCs w:val="20"/>
        </w:rPr>
        <w:t xml:space="preserve">En los artículos 68, numeral 1, inciso e); 79, numeral 1, inciso g) de la Ley General y 201 numeral 1 del Reglamento de Elecciones se establece la atribución </w:t>
      </w:r>
      <w:r w:rsidR="48449A5D" w:rsidRPr="1D8592C0">
        <w:rPr>
          <w:rFonts w:ascii="Lucida Sans Unicode" w:hAnsi="Lucida Sans Unicode" w:cs="Lucida Sans Unicode"/>
          <w:sz w:val="20"/>
          <w:szCs w:val="20"/>
        </w:rPr>
        <w:t xml:space="preserve">que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tienen los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consejos locales y distritales del Instituto Nacional Electoral, para la acreditación de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0B3968" w:rsidRPr="1D8592C0">
        <w:rPr>
          <w:rFonts w:ascii="Lucida Sans Unicode" w:hAnsi="Lucida Sans Unicode" w:cs="Lucida Sans Unicode"/>
          <w:sz w:val="20"/>
          <w:szCs w:val="20"/>
        </w:rPr>
        <w:t xml:space="preserve"> ciudadanía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</w:t>
      </w:r>
      <w:r w:rsidR="00B45B5B" w:rsidRPr="1D8592C0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1D8592C0">
        <w:rPr>
          <w:rFonts w:ascii="Lucida Sans Unicode" w:hAnsi="Lucida Sans Unicode" w:cs="Lucida Sans Unicode"/>
          <w:sz w:val="20"/>
          <w:szCs w:val="20"/>
        </w:rPr>
        <w:t>observador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electorales durante el Proceso Electoral. </w:t>
      </w:r>
    </w:p>
    <w:p w14:paraId="5C7A2CB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36F777BF" w:rsidR="00204F81" w:rsidRPr="00857F95" w:rsidRDefault="00204F81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>3. DE LA PRESENTACIÓN DE SOLICITUDES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3C783A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544CAE">
        <w:rPr>
          <w:rFonts w:ascii="Lucida Sans Unicode" w:hAnsi="Lucida Sans Unicode" w:cs="Lucida Sans Unicode"/>
          <w:sz w:val="20"/>
          <w:szCs w:val="20"/>
        </w:rPr>
        <w:t>J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>
        <w:rPr>
          <w:rFonts w:ascii="Lucida Sans Unicode" w:hAnsi="Lucida Sans Unicode" w:cs="Lucida Sans Unicode"/>
          <w:sz w:val="20"/>
          <w:szCs w:val="20"/>
        </w:rPr>
        <w:t>E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lectoral, dicha solicitud se presentará ante la </w:t>
      </w:r>
      <w:r w:rsidR="00544CAE">
        <w:rPr>
          <w:rFonts w:ascii="Lucida Sans Unicode" w:hAnsi="Lucida Sans Unicode" w:cs="Lucida Sans Unicode"/>
          <w:sz w:val="20"/>
          <w:szCs w:val="20"/>
        </w:rPr>
        <w:t>P</w:t>
      </w:r>
      <w:r w:rsidRPr="00857F95">
        <w:rPr>
          <w:rFonts w:ascii="Lucida Sans Unicode" w:hAnsi="Lucida Sans Unicode" w:cs="Lucida Sans Unicode"/>
          <w:sz w:val="20"/>
          <w:szCs w:val="20"/>
        </w:rPr>
        <w:t>residencia del consejo local o distrital del Instituto Nacional Electoral o ante este órgano electoral, donde se ubique el domicilio de la credencial de quien solicita o</w:t>
      </w:r>
      <w:r w:rsidR="00F02F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de la organización a la que pertenezca.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Además, mediante el </w:t>
      </w:r>
      <w:r w:rsidR="000438F7" w:rsidRPr="00BA7FF8">
        <w:rPr>
          <w:rFonts w:ascii="Lucida Sans Unicode" w:hAnsi="Lucida Sans Unicode" w:cs="Lucida Sans Unicode"/>
          <w:sz w:val="20"/>
          <w:szCs w:val="20"/>
        </w:rPr>
        <w:t>acuerdo INE/CG437/2023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se aprobó la ampliación del plazo para la recepción de solicitudes de la ciudadanía interesada en acreditarse como observadora electoral, por lo que las solicitudes podrán presentarse en forma personal o a través de la organización a la que pertenezcan a partir del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>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septiembre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veintitrés 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y hasta el </w:t>
      </w:r>
      <w:r w:rsidR="7CA25B00" w:rsidRPr="00857F95">
        <w:rPr>
          <w:rFonts w:ascii="Lucida Sans Unicode" w:hAnsi="Lucida Sans Unicode" w:cs="Lucida Sans Unicode"/>
          <w:sz w:val="20"/>
          <w:szCs w:val="20"/>
        </w:rPr>
        <w:t>siete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mayo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veinticuatro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>, siendo este plazo improrrogable.</w:t>
      </w:r>
      <w:r w:rsidR="000438F7" w:rsidRPr="00857F9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0481510" w14:textId="77777777" w:rsidR="005D7ED5" w:rsidRPr="00857F95" w:rsidRDefault="005D7ED5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784A094B" w:rsidR="00883366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4. DE LOS CURSOS DE CAPACITACIÓN</w:t>
      </w:r>
      <w:r w:rsidRPr="1D8592C0">
        <w:rPr>
          <w:rFonts w:ascii="Lucida Sans Unicode" w:hAnsi="Lucida Sans Unicode" w:cs="Lucida Sans Unicode"/>
          <w:sz w:val="20"/>
          <w:szCs w:val="20"/>
        </w:rPr>
        <w:t>. En el inciso d), fracción IV del artículo 217 de la Ley General y 193</w:t>
      </w:r>
      <w:r w:rsidR="430869AE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párrafo 1 del Reglamento de Elecciones, se establece que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ciudadanía que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lastRenderedPageBreak/>
        <w:t>solicit</w:t>
      </w:r>
      <w:r w:rsidR="55AF5575" w:rsidRPr="1D8592C0">
        <w:rPr>
          <w:rFonts w:ascii="Lucida Sans Unicode" w:hAnsi="Lucida Sans Unicode" w:cs="Lucida Sans Unicode"/>
          <w:sz w:val="20"/>
          <w:szCs w:val="20"/>
        </w:rPr>
        <w:t>ó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su acreditación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deben asistir a los cursos de capacitación que impartan las </w:t>
      </w:r>
      <w:r w:rsidR="6A7377BA" w:rsidRPr="1D8592C0">
        <w:rPr>
          <w:rFonts w:ascii="Lucida Sans Unicode" w:hAnsi="Lucida Sans Unicode" w:cs="Lucida Sans Unicode"/>
          <w:sz w:val="20"/>
          <w:szCs w:val="20"/>
        </w:rPr>
        <w:t xml:space="preserve">propias </w:t>
      </w:r>
      <w:r w:rsidRPr="1D8592C0">
        <w:rPr>
          <w:rFonts w:ascii="Lucida Sans Unicode" w:hAnsi="Lucida Sans Unicode" w:cs="Lucida Sans Unicode"/>
          <w:sz w:val="20"/>
          <w:szCs w:val="20"/>
        </w:rPr>
        <w:t>agrupaciones</w:t>
      </w:r>
      <w:r w:rsidR="56668B8D" w:rsidRPr="1D8592C0">
        <w:rPr>
          <w:rFonts w:ascii="Lucida Sans Unicode" w:hAnsi="Lucida Sans Unicode" w:cs="Lucida Sans Unicode"/>
          <w:sz w:val="20"/>
          <w:szCs w:val="20"/>
        </w:rPr>
        <w:t xml:space="preserve"> a las que pertenezcan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, este organismo electoral y el Instituto Nacional Electoral. </w:t>
      </w:r>
    </w:p>
    <w:p w14:paraId="32D4640B" w14:textId="77777777" w:rsidR="00883366" w:rsidRPr="00857F95" w:rsidRDefault="0088336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0681DC95" w:rsidR="003E3420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5. DEL INFORME DE SOLICITUDES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5A875F1A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6. DE LA </w:t>
      </w:r>
      <w:r w:rsidRPr="002D1DE7">
        <w:rPr>
          <w:rFonts w:ascii="Lucida Sans Unicode" w:hAnsi="Lucida Sans Unicode" w:cs="Lucida Sans Unicode"/>
          <w:b/>
          <w:bCs/>
          <w:sz w:val="20"/>
          <w:szCs w:val="20"/>
        </w:rPr>
        <w:t>DIFUSIÓN</w:t>
      </w: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LA CONVOCATORIA</w:t>
      </w:r>
      <w:r w:rsidR="000E168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</w:t>
      </w:r>
      <w:r w:rsidR="00F02FD4">
        <w:rPr>
          <w:rFonts w:ascii="Lucida Sans Unicode" w:hAnsi="Lucida Sans Unicode" w:cs="Lucida Sans Unicode"/>
          <w:sz w:val="20"/>
          <w:szCs w:val="20"/>
        </w:rPr>
        <w:t>d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 Jalisco mediante el </w:t>
      </w:r>
      <w:r w:rsidR="00544CAE">
        <w:rPr>
          <w:rFonts w:ascii="Lucida Sans Unicode" w:hAnsi="Lucida Sans Unicode" w:cs="Lucida Sans Unicode"/>
          <w:sz w:val="20"/>
          <w:szCs w:val="20"/>
        </w:rPr>
        <w:t>a</w:t>
      </w:r>
      <w:r w:rsidRPr="00857F95">
        <w:rPr>
          <w:rFonts w:ascii="Lucida Sans Unicode" w:hAnsi="Lucida Sans Unicode" w:cs="Lucida Sans Unicode"/>
          <w:sz w:val="20"/>
          <w:szCs w:val="20"/>
        </w:rPr>
        <w:t>cuerdo</w:t>
      </w:r>
      <w:r w:rsidR="00544CAE">
        <w:rPr>
          <w:rFonts w:ascii="Lucida Sans Unicode" w:hAnsi="Lucida Sans Unicode" w:cs="Lucida Sans Unicode"/>
          <w:sz w:val="20"/>
          <w:szCs w:val="20"/>
        </w:rPr>
        <w:t xml:space="preserve"> identificado con la clave alfanumérica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DE7">
        <w:rPr>
          <w:rFonts w:ascii="Lucida Sans Unicode" w:hAnsi="Lucida Sans Unicode" w:cs="Lucida Sans Unicode"/>
          <w:sz w:val="20"/>
          <w:szCs w:val="20"/>
        </w:rPr>
        <w:t>IEPC-ACG-050/202</w:t>
      </w:r>
      <w:r w:rsidR="00F02FD4">
        <w:rPr>
          <w:rFonts w:ascii="Lucida Sans Unicode" w:hAnsi="Lucida Sans Unicode" w:cs="Lucida Sans Unicode"/>
          <w:sz w:val="20"/>
          <w:szCs w:val="20"/>
        </w:rPr>
        <w:t>3,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en el considerando VIII</w:t>
      </w:r>
      <w:r w:rsidR="00422833">
        <w:rPr>
          <w:rFonts w:ascii="Lucida Sans Unicode" w:hAnsi="Lucida Sans Unicode" w:cs="Lucida Sans Unicode"/>
          <w:sz w:val="20"/>
          <w:szCs w:val="20"/>
        </w:rPr>
        <w:t>,</w:t>
      </w:r>
      <w:r w:rsidR="004945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instru</w:t>
      </w:r>
      <w:r w:rsidR="00422833">
        <w:rPr>
          <w:rFonts w:ascii="Lucida Sans Unicode" w:hAnsi="Lucida Sans Unicode" w:cs="Lucida Sans Unicode"/>
          <w:sz w:val="20"/>
          <w:szCs w:val="20"/>
        </w:rPr>
        <w:t>yó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 la Dirección de Comunicación Social y a la Dirección Ejecutiva de Participación Ciudadana y Educación Cívica, llevar a cabo las acciones necesarias, en sus respectivos ámbitos de competencia, para la publicación y difusión de la Convocatoria en los medios de comunicación a su alcance en la entidad, redes sociales del Instituto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;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857F95" w:rsidRDefault="009D2CA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70F8F" w14:textId="0AD42A73" w:rsidR="001815B1" w:rsidRPr="005658CC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Ahora bien, con la puesta en marcha del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Portal Público de Observadoras y Observadores Electorales, desde el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P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roceso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E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lectoral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Concurrente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2020-2021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, operado por el Instituto Nacional Electoral, la ciudadanía cuenta con la opción de realizar 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en línea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su solicitud para participar como observadora electoral y recibir la capacitación correspondiente en la modalidad presencial y/o virtual. Esta opción ha hecho más accesible el procedimiento de acreditación, toda vez que la ciudadanía ya no está obligada a trasladarse a las instalaciones de las juntas locales y distritales ejecutivas del I</w:t>
      </w:r>
      <w:r w:rsidR="37192D7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N</w:t>
      </w:r>
      <w:r w:rsidR="112AB3F7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acional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25A181E9" w:rsidRPr="6A0FD6D0">
        <w:rPr>
          <w:rFonts w:ascii="Lucida Sans Unicode" w:hAnsi="Lucida Sans Unicode" w:cs="Lucida Sans Unicode"/>
          <w:sz w:val="20"/>
          <w:szCs w:val="20"/>
          <w:lang w:val="es-MX"/>
        </w:rPr>
        <w:t>lectoral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o en su caso, a las instalaciones de los O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rganismos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úblicos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L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>ocales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para presentar su solicitud</w:t>
      </w:r>
      <w:r w:rsidR="00D87D8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 y de lo cual también este Instituto ha realizado la difusión correspondiente.</w:t>
      </w:r>
    </w:p>
    <w:p w14:paraId="76DB3891" w14:textId="77777777" w:rsidR="00927637" w:rsidRPr="005658CC" w:rsidRDefault="00927637" w:rsidP="00B23B55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5A3205C" w14:textId="70663147" w:rsidR="000E1689" w:rsidRDefault="00927637" w:rsidP="00927637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7. </w:t>
      </w:r>
      <w:r w:rsidR="00C43135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MODALIDADES PARA REALIZAR EL REGISTRO </w:t>
      </w:r>
      <w:r w:rsidR="000E168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DE OBSERVACIÓN ELECTORAL</w:t>
      </w:r>
    </w:p>
    <w:p w14:paraId="0EC62436" w14:textId="42B49490" w:rsidR="002D1DE7" w:rsidRDefault="002D1DE7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El I</w:t>
      </w:r>
      <w:r w:rsidR="0602167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6EF3685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lectoral y de </w:t>
      </w:r>
      <w:r w:rsidR="6DD872CD" w:rsidRPr="1D8592C0">
        <w:rPr>
          <w:rFonts w:ascii="Lucida Sans Unicode" w:hAnsi="Lucida Sans Unicode" w:cs="Lucida Sans Unicode"/>
          <w:sz w:val="20"/>
          <w:szCs w:val="20"/>
          <w:lang w:val="es-MX"/>
        </w:rPr>
        <w:t>Participación</w:t>
      </w:r>
      <w:r w:rsidR="38A3FB1D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ADEEEA6" w:rsidRPr="1D8592C0">
        <w:rPr>
          <w:rFonts w:ascii="Lucida Sans Unicode" w:hAnsi="Lucida Sans Unicode" w:cs="Lucida Sans Unicode"/>
          <w:sz w:val="20"/>
          <w:szCs w:val="20"/>
          <w:lang w:val="es-MX"/>
        </w:rPr>
        <w:t>iudadana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9453C">
        <w:rPr>
          <w:rFonts w:ascii="Lucida Sans Unicode" w:hAnsi="Lucida Sans Unicode" w:cs="Lucida Sans Unicode"/>
          <w:sz w:val="20"/>
          <w:szCs w:val="20"/>
          <w:lang w:val="es-MX"/>
        </w:rPr>
        <w:t xml:space="preserve">del Estado de Jalisco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está comprometido </w:t>
      </w:r>
      <w:r w:rsidR="005A156E" w:rsidRPr="1D8592C0">
        <w:rPr>
          <w:rFonts w:ascii="Lucida Sans Unicode" w:hAnsi="Lucida Sans Unicode" w:cs="Lucida Sans Unicode"/>
          <w:sz w:val="20"/>
          <w:szCs w:val="20"/>
          <w:lang w:val="es-MX"/>
        </w:rPr>
        <w:t>en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promover la figura de la persona observadora electoral e incrementar el número de personas que se registren, por lo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que,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a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partir del </w:t>
      </w:r>
      <w:r w:rsidR="444F83B3" w:rsidRPr="1D8592C0">
        <w:rPr>
          <w:rFonts w:ascii="Lucida Sans Unicode" w:hAnsi="Lucida Sans Unicode" w:cs="Lucida Sans Unicode"/>
          <w:sz w:val="20"/>
          <w:szCs w:val="20"/>
          <w:lang w:val="es-MX"/>
        </w:rPr>
        <w:t>quince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enero de este año,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nuestra página se ofrecen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>dos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modalidades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para registrarse siendo éstas las siguientes:</w:t>
      </w:r>
    </w:p>
    <w:p w14:paraId="088FCE9A" w14:textId="77777777" w:rsidR="000E1689" w:rsidRDefault="000E1689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7C42582" w14:textId="71E10A17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D12F7B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lastRenderedPageBreak/>
        <w:t>Por correo electrónico:</w:t>
      </w:r>
    </w:p>
    <w:p w14:paraId="19C9BACF" w14:textId="5C6498DE" w:rsidR="0055374E" w:rsidRDefault="00D12F7B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 descargarse la solicitud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que se encuentra publicada en la página de este Instituto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registrar todos y cada uno de los datos, escanear la 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>solicitud y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enviarla</w:t>
      </w:r>
      <w:r w:rsidR="00330436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con los documentos señalados en la convocatoria,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 correo electrónico </w:t>
      </w:r>
      <w:hyperlink r:id="rId8">
        <w:r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observadores.electorales@iepcjalisco.mx</w:t>
        </w:r>
      </w:hyperlink>
    </w:p>
    <w:p w14:paraId="28E4BBE4" w14:textId="77777777" w:rsidR="0055374E" w:rsidRPr="00D12F7B" w:rsidRDefault="0055374E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EDA9EC8" w14:textId="0E62AE8C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De manera presencial en la Oficialía de </w:t>
      </w:r>
      <w:r w:rsidR="301CE31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artes o </w:t>
      </w:r>
      <w:r w:rsidR="00230DF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en las sedes de los </w:t>
      </w:r>
      <w:r w:rsidR="2503B9C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onsejos </w:t>
      </w:r>
      <w:r w:rsidR="648B25B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istritales de este Instituto: </w:t>
      </w:r>
    </w:p>
    <w:p w14:paraId="3E8A0538" w14:textId="4B1CA496" w:rsidR="001815B1" w:rsidRDefault="00D12F7B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deberán registrar los datos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 la solicitud que les sea proporcionada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las sedes de este Instituto, </w:t>
      </w:r>
      <w:r w:rsidR="0047442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dos fotografías tamaño infantil (en caso de ser presencial) </w:t>
      </w:r>
      <w:r w:rsidR="00BA7FF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y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cumplir con los requisitos que establece la convocatoria, presentarla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 Oficialía de </w:t>
      </w:r>
      <w:r w:rsidR="525EE372" w:rsidRPr="1D8592C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artes de este Instituto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el domicilio Parque de las Estrellas #2764, Col. Jardines del Bosque Centro, Guadalajara, Jalisco o en </w:t>
      </w:r>
      <w:r w:rsidR="543375A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alguna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las sedes de nuestros </w:t>
      </w:r>
      <w:r w:rsidR="0C3DB3D4"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onsejos </w:t>
      </w:r>
      <w:r w:rsidR="433AF3BF" w:rsidRPr="1D8592C0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istritales</w:t>
      </w:r>
      <w:r w:rsidR="002D7548" w:rsidRPr="1D8592C0">
        <w:rPr>
          <w:rFonts w:ascii="Lucida Sans Unicode" w:hAnsi="Lucida Sans Unicode" w:cs="Lucida Sans Unicode"/>
          <w:sz w:val="20"/>
          <w:szCs w:val="20"/>
          <w:lang w:val="es-MX"/>
        </w:rPr>
        <w:t>, cuyas ubicaciones se encuentran en el siguiente repositorio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hyperlink r:id="rId9">
        <w:r w:rsidR="00A053A4"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https://www.google.com/maps/d/viewer?mid=1KwoPyNvd9gAZMu-mNuBgIoU6ALPFGw0&amp;usp=sharing</w:t>
        </w:r>
      </w:hyperlink>
    </w:p>
    <w:p w14:paraId="6E2395FA" w14:textId="77777777" w:rsidR="00A053A4" w:rsidRPr="00A053A4" w:rsidRDefault="00A053A4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4C03EBE" w14:textId="412B8B41" w:rsidR="003E3420" w:rsidRPr="005658CC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658CC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7E540130" w14:textId="77777777" w:rsidR="003E3420" w:rsidRPr="005658CC" w:rsidRDefault="003E3420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3F415" w14:textId="6916B963" w:rsidR="003E3420" w:rsidRPr="00E2170B" w:rsidRDefault="002B51A6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I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F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R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M</w:t>
      </w:r>
      <w:r w:rsidR="00422833"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A</w:t>
      </w:r>
    </w:p>
    <w:p w14:paraId="798C9558" w14:textId="77777777" w:rsidR="003E3420" w:rsidRPr="00E2170B" w:rsidRDefault="003E3420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</w:p>
    <w:p w14:paraId="381C3922" w14:textId="402FBC62" w:rsidR="003E3420" w:rsidRPr="00F83609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2170B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Primero</w:t>
      </w:r>
      <w:r w:rsidRPr="00E2170B">
        <w:rPr>
          <w:rFonts w:ascii="Lucida Sans Unicode" w:hAnsi="Lucida Sans Unicode" w:cs="Lucida Sans Unicode"/>
          <w:sz w:val="20"/>
          <w:szCs w:val="20"/>
          <w:lang w:val="it-IT"/>
        </w:rPr>
        <w:t xml:space="preserve">.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En cumplimiento al artículo 192, párrafo 1 del Reglamento de Elecciones, se informa que desde </w:t>
      </w:r>
      <w:r w:rsidR="009D2CA9" w:rsidRPr="6A0FD6D0">
        <w:rPr>
          <w:rFonts w:ascii="Lucida Sans Unicode" w:hAnsi="Lucida Sans Unicode" w:cs="Lucida Sans Unicode"/>
          <w:sz w:val="20"/>
          <w:szCs w:val="20"/>
        </w:rPr>
        <w:t>la publicación de la convocatoria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hasta </w:t>
      </w:r>
      <w:r w:rsidR="008A04DE" w:rsidRPr="6A0FD6D0">
        <w:rPr>
          <w:rFonts w:ascii="Lucida Sans Unicode" w:hAnsi="Lucida Sans Unicode" w:cs="Lucida Sans Unicode"/>
          <w:b/>
          <w:bCs/>
          <w:sz w:val="20"/>
          <w:szCs w:val="20"/>
        </w:rPr>
        <w:t>la fecha</w:t>
      </w:r>
      <w:r w:rsidR="00F83609"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55374E"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solo se han </w:t>
      </w: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>presentado ante este organismo electoral</w:t>
      </w:r>
      <w:r w:rsidR="001D0B39"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460F3F" w:rsidRPr="6A0FD6D0">
        <w:rPr>
          <w:rFonts w:ascii="Lucida Sans Unicode" w:hAnsi="Lucida Sans Unicode" w:cs="Lucida Sans Unicode"/>
          <w:b/>
          <w:bCs/>
          <w:sz w:val="20"/>
          <w:szCs w:val="20"/>
        </w:rPr>
        <w:t>dos solicitudes</w:t>
      </w:r>
      <w:r w:rsidR="00460F3F" w:rsidRPr="6A0FD6D0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 xml:space="preserve"> </w:t>
      </w:r>
      <w:r w:rsidR="0055374E" w:rsidRPr="6A0FD6D0">
        <w:rPr>
          <w:rFonts w:ascii="Lucida Sans Unicode" w:hAnsi="Lucida Sans Unicode" w:cs="Lucida Sans Unicode"/>
          <w:sz w:val="20"/>
          <w:szCs w:val="20"/>
        </w:rPr>
        <w:t>para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participar como </w:t>
      </w:r>
      <w:r w:rsidR="0055374E" w:rsidRPr="6A0FD6D0">
        <w:rPr>
          <w:rFonts w:ascii="Lucida Sans Unicode" w:hAnsi="Lucida Sans Unicode" w:cs="Lucida Sans Unicode"/>
          <w:sz w:val="20"/>
          <w:szCs w:val="20"/>
        </w:rPr>
        <w:t xml:space="preserve">persona </w:t>
      </w:r>
      <w:r w:rsidR="000438F7" w:rsidRPr="6A0FD6D0">
        <w:rPr>
          <w:rFonts w:ascii="Lucida Sans Unicode" w:hAnsi="Lucida Sans Unicode" w:cs="Lucida Sans Unicode"/>
          <w:sz w:val="20"/>
          <w:szCs w:val="20"/>
        </w:rPr>
        <w:t>observadora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422833" w:rsidRPr="6A0FD6D0">
        <w:rPr>
          <w:rFonts w:ascii="Lucida Sans Unicode" w:hAnsi="Lucida Sans Unicode" w:cs="Lucida Sans Unicode"/>
          <w:sz w:val="20"/>
          <w:szCs w:val="20"/>
        </w:rPr>
        <w:t>en</w:t>
      </w:r>
      <w:r w:rsidR="00EC3BB0" w:rsidRPr="6A0FD6D0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6A0FD6D0">
        <w:rPr>
          <w:rFonts w:ascii="Lucida Sans Unicode" w:hAnsi="Lucida Sans Unicode" w:cs="Lucida Sans Unicode"/>
          <w:sz w:val="20"/>
          <w:szCs w:val="20"/>
        </w:rPr>
        <w:t>P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544CAE" w:rsidRPr="6A0FD6D0">
        <w:rPr>
          <w:rFonts w:ascii="Lucida Sans Unicode" w:hAnsi="Lucida Sans Unicode" w:cs="Lucida Sans Unicode"/>
          <w:sz w:val="20"/>
          <w:szCs w:val="20"/>
        </w:rPr>
        <w:t>E</w:t>
      </w:r>
      <w:r w:rsidRPr="6A0FD6D0">
        <w:rPr>
          <w:rFonts w:ascii="Lucida Sans Unicode" w:hAnsi="Lucida Sans Unicode" w:cs="Lucida Sans Unicode"/>
          <w:sz w:val="20"/>
          <w:szCs w:val="20"/>
        </w:rPr>
        <w:t>lectoral</w:t>
      </w:r>
      <w:r w:rsidR="00EC3BB0"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6A0FD6D0">
        <w:rPr>
          <w:rFonts w:ascii="Lucida Sans Unicode" w:hAnsi="Lucida Sans Unicode" w:cs="Lucida Sans Unicode"/>
          <w:sz w:val="20"/>
          <w:szCs w:val="20"/>
        </w:rPr>
        <w:t>L</w:t>
      </w:r>
      <w:r w:rsidR="00EC3BB0" w:rsidRPr="6A0FD6D0">
        <w:rPr>
          <w:rFonts w:ascii="Lucida Sans Unicode" w:hAnsi="Lucida Sans Unicode" w:cs="Lucida Sans Unicode"/>
          <w:sz w:val="20"/>
          <w:szCs w:val="20"/>
        </w:rPr>
        <w:t>ocal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6A0FD6D0">
        <w:rPr>
          <w:rFonts w:ascii="Lucida Sans Unicode" w:hAnsi="Lucida Sans Unicode" w:cs="Lucida Sans Unicode"/>
          <w:sz w:val="20"/>
          <w:szCs w:val="20"/>
        </w:rPr>
        <w:t>C</w:t>
      </w:r>
      <w:r w:rsidRPr="6A0FD6D0">
        <w:rPr>
          <w:rFonts w:ascii="Lucida Sans Unicode" w:hAnsi="Lucida Sans Unicode" w:cs="Lucida Sans Unicode"/>
          <w:sz w:val="20"/>
          <w:szCs w:val="20"/>
        </w:rPr>
        <w:t>oncurrente 20</w:t>
      </w:r>
      <w:r w:rsidR="00CB59D7" w:rsidRPr="6A0FD6D0">
        <w:rPr>
          <w:rFonts w:ascii="Lucida Sans Unicode" w:hAnsi="Lucida Sans Unicode" w:cs="Lucida Sans Unicode"/>
          <w:sz w:val="20"/>
          <w:szCs w:val="20"/>
        </w:rPr>
        <w:t>23</w:t>
      </w:r>
      <w:r w:rsidRPr="6A0FD6D0">
        <w:rPr>
          <w:rFonts w:ascii="Lucida Sans Unicode" w:hAnsi="Lucida Sans Unicode" w:cs="Lucida Sans Unicode"/>
          <w:sz w:val="20"/>
          <w:szCs w:val="20"/>
        </w:rPr>
        <w:t>-20</w:t>
      </w:r>
      <w:r w:rsidR="00CB59D7" w:rsidRPr="6A0FD6D0">
        <w:rPr>
          <w:rFonts w:ascii="Lucida Sans Unicode" w:hAnsi="Lucida Sans Unicode" w:cs="Lucida Sans Unicode"/>
          <w:sz w:val="20"/>
          <w:szCs w:val="20"/>
        </w:rPr>
        <w:t>24</w:t>
      </w:r>
      <w:r w:rsidR="00460F3F" w:rsidRPr="6A0FD6D0">
        <w:rPr>
          <w:rFonts w:ascii="Lucida Sans Unicode" w:hAnsi="Lucida Sans Unicode" w:cs="Lucida Sans Unicode"/>
          <w:sz w:val="20"/>
          <w:szCs w:val="20"/>
        </w:rPr>
        <w:t>, las cuales se encuentran en proceso de verifica</w:t>
      </w:r>
      <w:r w:rsidR="00EF54B8">
        <w:rPr>
          <w:rFonts w:ascii="Lucida Sans Unicode" w:hAnsi="Lucida Sans Unicode" w:cs="Lucida Sans Unicode"/>
          <w:sz w:val="20"/>
          <w:szCs w:val="20"/>
        </w:rPr>
        <w:t>ción</w:t>
      </w:r>
      <w:r w:rsidR="00460F3F"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5BF1">
        <w:rPr>
          <w:rFonts w:ascii="Lucida Sans Unicode" w:hAnsi="Lucida Sans Unicode" w:cs="Lucida Sans Unicode"/>
          <w:sz w:val="20"/>
          <w:szCs w:val="20"/>
        </w:rPr>
        <w:t>d</w:t>
      </w:r>
      <w:r w:rsidR="00460F3F" w:rsidRPr="6A0FD6D0">
        <w:rPr>
          <w:rFonts w:ascii="Lucida Sans Unicode" w:hAnsi="Lucida Sans Unicode" w:cs="Lucida Sans Unicode"/>
          <w:sz w:val="20"/>
          <w:szCs w:val="20"/>
        </w:rPr>
        <w:t>el cumplimiento de requisitos</w:t>
      </w:r>
      <w:r w:rsidR="001D0B39" w:rsidRPr="6A0FD6D0">
        <w:rPr>
          <w:rFonts w:ascii="Lucida Sans Unicode" w:hAnsi="Lucida Sans Unicode" w:cs="Lucida Sans Unicode"/>
          <w:sz w:val="20"/>
          <w:szCs w:val="20"/>
        </w:rPr>
        <w:t xml:space="preserve"> legales</w:t>
      </w:r>
      <w:r w:rsidR="00474424" w:rsidRPr="6A0FD6D0">
        <w:rPr>
          <w:rFonts w:ascii="Lucida Sans Unicode" w:hAnsi="Lucida Sans Unicode" w:cs="Lucida Sans Unicode"/>
          <w:sz w:val="20"/>
          <w:szCs w:val="20"/>
        </w:rPr>
        <w:t>, tomar el curso y el envío del expediente</w:t>
      </w:r>
      <w:r w:rsidR="00460F3F" w:rsidRPr="6A0FD6D0">
        <w:rPr>
          <w:rFonts w:ascii="Lucida Sans Unicode" w:hAnsi="Lucida Sans Unicode" w:cs="Lucida Sans Unicode"/>
          <w:sz w:val="20"/>
          <w:szCs w:val="20"/>
        </w:rPr>
        <w:t xml:space="preserve"> al Instituto Nacional Electoral para su validación y posterior aprobación. </w:t>
      </w:r>
    </w:p>
    <w:p w14:paraId="1A6ED38B" w14:textId="77777777" w:rsidR="00424E23" w:rsidRPr="00F83609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4A456B" w14:textId="0DF8D2A8" w:rsidR="003E3420" w:rsidRPr="00372C4E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="00153A41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C7BC6" w:rsidRPr="1D8592C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BE711D" w:rsidRPr="1D8592C0">
        <w:rPr>
          <w:rFonts w:ascii="Lucida Sans Unicode" w:hAnsi="Lucida Sans Unicode" w:cs="Lucida Sans Unicode"/>
          <w:sz w:val="20"/>
          <w:szCs w:val="20"/>
        </w:rPr>
        <w:t xml:space="preserve">seguimiento </w:t>
      </w:r>
      <w:r w:rsidR="000C7BC6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F3551B" w:rsidRPr="1D8592C0">
        <w:rPr>
          <w:rFonts w:ascii="Lucida Sans Unicode" w:hAnsi="Lucida Sans Unicode" w:cs="Lucida Sans Unicode"/>
          <w:sz w:val="20"/>
          <w:szCs w:val="20"/>
        </w:rPr>
        <w:t>l</w:t>
      </w:r>
      <w:r w:rsidR="00BE711D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>Sistema de Observador</w:t>
      </w:r>
      <w:r w:rsidR="00474424" w:rsidRPr="1D8592C0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474424" w:rsidRPr="1D8592C0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>s Electorales del PEC 2023-2024</w:t>
      </w:r>
      <w:r w:rsidR="00153A41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operado por el INE, 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con corte al </w:t>
      </w:r>
      <w:r w:rsidR="00EA1CB7" w:rsidRPr="1D8592C0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372C4E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enero 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>de 202</w:t>
      </w:r>
      <w:r w:rsidR="00372C4E" w:rsidRPr="1D8592C0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BE711D" w:rsidRPr="1D8592C0">
        <w:rPr>
          <w:rFonts w:ascii="Lucida Sans Unicode" w:hAnsi="Lucida Sans Unicode" w:cs="Lucida Sans Unicode"/>
          <w:sz w:val="20"/>
          <w:szCs w:val="20"/>
        </w:rPr>
        <w:t>, se tiene un registro de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>100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 de </w:t>
      </w:r>
      <w:r w:rsidR="00CC5BF1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la 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D173D7" w:rsidRPr="1D8592C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>a  interesad</w:t>
      </w:r>
      <w:r w:rsidR="53EF18B0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>s en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participar como personas 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electorales, de l</w:t>
      </w:r>
      <w:r w:rsidR="00D173D7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>s cuales 9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>7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optaron por la vía de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>l portal público</w:t>
      </w:r>
      <w:r w:rsidR="00153A41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F1397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operado por </w:t>
      </w:r>
      <w:r w:rsidR="00B23B55" w:rsidRPr="1D8592C0">
        <w:rPr>
          <w:rFonts w:ascii="Lucida Sans Unicode" w:hAnsi="Lucida Sans Unicode" w:cs="Lucida Sans Unicode"/>
          <w:b/>
          <w:bCs/>
          <w:sz w:val="20"/>
          <w:szCs w:val="20"/>
        </w:rPr>
        <w:t>el Instituto</w:t>
      </w:r>
      <w:r w:rsidR="00153A41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Nacional Electoral</w:t>
      </w:r>
      <w:r w:rsidR="00BE711D" w:rsidRPr="1D8592C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1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fue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ingresada en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la 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Junta </w:t>
      </w:r>
      <w:r w:rsidR="0FA230CF" w:rsidRPr="1D8592C0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istrital </w:t>
      </w:r>
      <w:r w:rsidR="00474424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18 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del INE y </w:t>
      </w:r>
      <w:r w:rsidR="00D173D7" w:rsidRPr="1D8592C0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1D0B39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ante este organismo electoral,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23B55" w:rsidRPr="1D8592C0">
        <w:rPr>
          <w:rFonts w:ascii="Lucida Sans Unicode" w:hAnsi="Lucida Sans Unicode" w:cs="Lucida Sans Unicode"/>
          <w:sz w:val="20"/>
          <w:szCs w:val="20"/>
        </w:rPr>
        <w:t>mismas que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se encuentra</w:t>
      </w:r>
      <w:r w:rsidR="00B23B55" w:rsidRPr="1D8592C0">
        <w:rPr>
          <w:rFonts w:ascii="Lucida Sans Unicode" w:hAnsi="Lucida Sans Unicode" w:cs="Lucida Sans Unicode"/>
          <w:i/>
          <w:iCs/>
          <w:sz w:val="20"/>
          <w:szCs w:val="20"/>
        </w:rPr>
        <w:t>n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pendientes de ser validadas y aprobad</w:t>
      </w:r>
      <w:r w:rsidR="008C58EF" w:rsidRPr="1D8592C0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s por </w:t>
      </w:r>
      <w:r w:rsidR="001D0B39" w:rsidRPr="1D8592C0">
        <w:rPr>
          <w:rFonts w:ascii="Lucida Sans Unicode" w:hAnsi="Lucida Sans Unicode" w:cs="Lucida Sans Unicode"/>
          <w:i/>
          <w:iCs/>
          <w:sz w:val="20"/>
          <w:szCs w:val="20"/>
        </w:rPr>
        <w:t>el Instituto Nacional Electoral.</w:t>
      </w:r>
      <w:r w:rsidR="00BE711D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</w:p>
    <w:p w14:paraId="7F0D6587" w14:textId="77777777" w:rsidR="00BE711D" w:rsidRPr="00372C4E" w:rsidRDefault="00BE711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6E92F28C" w:rsidR="00153636" w:rsidRPr="00F83609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153636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C58EF" w:rsidRPr="1D8592C0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382423" w:rsidRPr="1D8592C0">
        <w:rPr>
          <w:rFonts w:ascii="Lucida Sans Unicode" w:hAnsi="Lucida Sans Unicode" w:cs="Lucida Sans Unicode"/>
          <w:sz w:val="20"/>
          <w:szCs w:val="20"/>
        </w:rPr>
        <w:t>I</w:t>
      </w:r>
      <w:r w:rsidR="008C58EF" w:rsidRPr="1D8592C0">
        <w:rPr>
          <w:rFonts w:ascii="Lucida Sans Unicode" w:hAnsi="Lucida Sans Unicode" w:cs="Lucida Sans Unicode"/>
          <w:sz w:val="20"/>
          <w:szCs w:val="20"/>
        </w:rPr>
        <w:t>nstituto ha</w:t>
      </w:r>
      <w:r w:rsidR="000F30BC" w:rsidRPr="1D8592C0">
        <w:rPr>
          <w:rFonts w:ascii="Lucida Sans Unicode" w:hAnsi="Lucida Sans Unicode" w:cs="Lucida Sans Unicode"/>
          <w:sz w:val="20"/>
          <w:szCs w:val="20"/>
        </w:rPr>
        <w:t xml:space="preserve"> realizado </w:t>
      </w:r>
      <w:r w:rsidR="00FF1397" w:rsidRPr="1D8592C0">
        <w:rPr>
          <w:rFonts w:ascii="Lucida Sans Unicode" w:hAnsi="Lucida Sans Unicode" w:cs="Lucida Sans Unicode"/>
          <w:sz w:val="20"/>
          <w:szCs w:val="20"/>
        </w:rPr>
        <w:t xml:space="preserve">diversas 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>acciones de difusión</w:t>
      </w:r>
      <w:r w:rsidR="0B467410" w:rsidRPr="1D8592C0">
        <w:rPr>
          <w:rFonts w:ascii="Lucida Sans Unicode" w:hAnsi="Lucida Sans Unicode" w:cs="Lucida Sans Unicode"/>
          <w:sz w:val="20"/>
          <w:szCs w:val="20"/>
        </w:rPr>
        <w:t>,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 xml:space="preserve"> tales como la publicación de la convocatoria en la </w:t>
      </w:r>
      <w:r w:rsidR="000150CE" w:rsidRPr="1D8592C0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 xml:space="preserve"> web oficial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150CE" w:rsidRPr="1D8592C0">
        <w:rPr>
          <w:rFonts w:ascii="Lucida Sans Unicode" w:hAnsi="Lucida Sans Unicode" w:cs="Lucida Sans Unicode"/>
          <w:sz w:val="20"/>
          <w:szCs w:val="20"/>
        </w:rPr>
        <w:t xml:space="preserve">redes sociales oficiales 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1D8592C0">
        <w:rPr>
          <w:rFonts w:ascii="Lucida Sans Unicode" w:hAnsi="Lucida Sans Unicode" w:cs="Lucida Sans Unicode"/>
          <w:sz w:val="20"/>
          <w:szCs w:val="20"/>
        </w:rPr>
        <w:t>oral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>, pega de carteles de la convocatoria en los alrededores de las sedes de nuestros consejos distritales</w:t>
      </w:r>
      <w:r w:rsidR="001B42AC" w:rsidRPr="1D8592C0">
        <w:rPr>
          <w:rFonts w:ascii="Lucida Sans Unicode" w:hAnsi="Lucida Sans Unicode" w:cs="Lucida Sans Unicode"/>
          <w:sz w:val="20"/>
          <w:szCs w:val="20"/>
        </w:rPr>
        <w:t xml:space="preserve">, y dichas acciones fueron reportadas </w:t>
      </w:r>
      <w:r w:rsidR="00BA7FF8" w:rsidRPr="1D8592C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A72C74" w:rsidRPr="1D8592C0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372C4E" w:rsidRPr="1D8592C0">
        <w:rPr>
          <w:rFonts w:ascii="Lucida Sans Unicode" w:hAnsi="Lucida Sans Unicode" w:cs="Lucida Sans Unicode"/>
          <w:i/>
          <w:iCs/>
          <w:sz w:val="20"/>
          <w:szCs w:val="20"/>
        </w:rPr>
        <w:t>“</w:t>
      </w:r>
      <w:r w:rsidR="001B42AC" w:rsidRPr="1D8592C0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istema de Observador</w:t>
      </w:r>
      <w:r w:rsidR="00F83609" w:rsidRPr="1D8592C0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F83609" w:rsidRPr="1D8592C0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s Electorales del PEC 2023-2024</w:t>
      </w:r>
      <w:r w:rsidR="001B42AC" w:rsidRPr="1D8592C0">
        <w:rPr>
          <w:rFonts w:ascii="Lucida Sans Unicode" w:hAnsi="Lucida Sans Unicode" w:cs="Lucida Sans Unicode"/>
          <w:i/>
          <w:iCs/>
          <w:sz w:val="20"/>
          <w:szCs w:val="20"/>
        </w:rPr>
        <w:t>”</w:t>
      </w:r>
      <w:r w:rsidR="03C7FED3" w:rsidRPr="1D8592C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</w:p>
    <w:p w14:paraId="14D3F4B2" w14:textId="77777777" w:rsidR="00153636" w:rsidRPr="00372C4E" w:rsidRDefault="00153636" w:rsidP="00204F81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2801A476" w:rsidR="00204F81" w:rsidRPr="005658CC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72C4E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B51A6" w:rsidRPr="00372C4E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C</w:t>
      </w:r>
      <w:r w:rsidR="005658CC" w:rsidRPr="00372C4E">
        <w:rPr>
          <w:rFonts w:ascii="Lucida Sans Unicode" w:hAnsi="Lucida Sans Unicode" w:cs="Lucida Sans Unicode"/>
          <w:sz w:val="20"/>
          <w:szCs w:val="20"/>
        </w:rPr>
        <w:t>o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 xml:space="preserve">muníquese 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>e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l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 xml:space="preserve"> informe al Instituto Nacional Electoral, a través de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>lectorales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,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>para los efectos legales correspondientes.</w:t>
      </w:r>
    </w:p>
    <w:p w14:paraId="34983FFE" w14:textId="77777777" w:rsidR="00927637" w:rsidRPr="005658CC" w:rsidRDefault="00927637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D14D34" w14:textId="77777777" w:rsidR="009C6BD9" w:rsidRPr="005658CC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A94B80" w:rsidRDefault="00E8415D" w:rsidP="00E8415D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5658CC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A t e n t a m </w:t>
      </w:r>
      <w:r w:rsidRPr="00A94B80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e n t e</w:t>
      </w:r>
    </w:p>
    <w:p w14:paraId="794D775C" w14:textId="34E43161" w:rsidR="00E8415D" w:rsidRPr="00857F95" w:rsidRDefault="00E8415D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94B80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E27390" w:rsidRPr="00F02FD4">
        <w:rPr>
          <w:rFonts w:ascii="Lucida Sans Unicode" w:hAnsi="Lucida Sans Unicode" w:cs="Lucida Sans Unicode"/>
          <w:b/>
          <w:sz w:val="20"/>
          <w:szCs w:val="20"/>
        </w:rPr>
        <w:t>31</w:t>
      </w:r>
      <w:r w:rsidR="00385161" w:rsidRPr="00F02FD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02FD4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372C4E" w:rsidRPr="00F02FD4">
        <w:rPr>
          <w:rFonts w:ascii="Lucida Sans Unicode" w:hAnsi="Lucida Sans Unicode" w:cs="Lucida Sans Unicode"/>
          <w:b/>
          <w:sz w:val="20"/>
          <w:szCs w:val="20"/>
        </w:rPr>
        <w:t>enero</w:t>
      </w:r>
      <w:r w:rsidR="009D2CA9" w:rsidRPr="00F02FD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02FD4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372C4E" w:rsidRPr="00F02FD4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32F8FB3C" w14:textId="77777777" w:rsidR="00E8415D" w:rsidRPr="00857F95" w:rsidRDefault="00E8415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3A794B66" w14:textId="77777777" w:rsidR="003101FD" w:rsidRPr="00857F95" w:rsidRDefault="003101F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857F95" w:rsidRDefault="000438F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Mtra. Paula Ramírez Höhne </w:t>
      </w:r>
    </w:p>
    <w:p w14:paraId="4BDBAC1C" w14:textId="36FE2576" w:rsidR="00E8415D" w:rsidRPr="00857F95" w:rsidRDefault="000438F7" w:rsidP="005658CC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658CC">
        <w:rPr>
          <w:rFonts w:ascii="Lucida Sans Unicode" w:hAnsi="Lucida Sans Unicode" w:cs="Lucida Sans Unicode"/>
          <w:b/>
          <w:sz w:val="20"/>
          <w:szCs w:val="20"/>
        </w:rPr>
        <w:t>p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residenta </w:t>
      </w:r>
    </w:p>
    <w:p w14:paraId="3F07FB52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1CD0189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40"/>
      </w:tblGrid>
      <w:tr w:rsidR="000438F7" w:rsidRPr="00385161" w14:paraId="520387E2" w14:textId="77777777" w:rsidTr="00F02FD4">
        <w:trPr>
          <w:trHeight w:val="24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57D2164" w:rsidR="000438F7" w:rsidRPr="00857F95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857F95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AASR</w:t>
            </w:r>
          </w:p>
          <w:p w14:paraId="3A91C6D7" w14:textId="77777777" w:rsidR="000438F7" w:rsidRPr="00857F95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r w:rsidRPr="00857F95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VoBo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10A50C09" w:rsidR="000438F7" w:rsidRPr="00857F95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857F95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MRL</w:t>
            </w:r>
          </w:p>
          <w:p w14:paraId="7D3AC0CE" w14:textId="77777777" w:rsidR="000438F7" w:rsidRPr="00857F95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857F95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Elaboró</w:t>
            </w:r>
          </w:p>
        </w:tc>
      </w:tr>
    </w:tbl>
    <w:p w14:paraId="182C57C2" w14:textId="77777777" w:rsidR="009C6BD9" w:rsidRPr="00857F95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857F95" w:rsidSect="00E2170B">
      <w:headerReference w:type="default" r:id="rId10"/>
      <w:footerReference w:type="even" r:id="rId11"/>
      <w:footerReference w:type="default" r:id="rId12"/>
      <w:pgSz w:w="12240" w:h="15840" w:code="1"/>
      <w:pgMar w:top="2552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594C" w14:textId="77777777" w:rsidR="0036127A" w:rsidRDefault="0036127A" w:rsidP="005E29FF">
      <w:r>
        <w:separator/>
      </w:r>
    </w:p>
  </w:endnote>
  <w:endnote w:type="continuationSeparator" w:id="0">
    <w:p w14:paraId="58CB6834" w14:textId="77777777" w:rsidR="0036127A" w:rsidRDefault="0036127A" w:rsidP="005E29FF">
      <w:r>
        <w:continuationSeparator/>
      </w:r>
    </w:p>
  </w:endnote>
  <w:endnote w:type="continuationNotice" w:id="1">
    <w:p w14:paraId="0048D368" w14:textId="77777777" w:rsidR="0036127A" w:rsidRDefault="00361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3276D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E2170B" w:rsidRPr="00E2170B" w14:paraId="4D18C47A" w14:textId="77777777" w:rsidTr="00692FF5">
      <w:tc>
        <w:tcPr>
          <w:tcW w:w="4414" w:type="dxa"/>
          <w:vAlign w:val="center"/>
        </w:tcPr>
        <w:p w14:paraId="55D6F90E" w14:textId="77777777" w:rsidR="00E2170B" w:rsidRPr="00E2170B" w:rsidRDefault="00E2170B" w:rsidP="00E2170B">
          <w:pPr>
            <w:tabs>
              <w:tab w:val="center" w:pos="4252"/>
              <w:tab w:val="right" w:pos="8504"/>
            </w:tabs>
            <w:suppressAutoHyphens/>
            <w:spacing w:after="160" w:line="259" w:lineRule="auto"/>
            <w:jc w:val="center"/>
            <w:rPr>
              <w:lang w:val="es-MX" w:eastAsia="ar-SA"/>
            </w:rPr>
          </w:pPr>
          <w:r w:rsidRPr="00E2170B">
            <w:rPr>
              <w:rFonts w:ascii="Arial" w:hAnsi="Arial" w:cs="Arial"/>
              <w:noProof/>
              <w:sz w:val="16"/>
              <w:szCs w:val="16"/>
              <w:lang w:val="es-MX" w:eastAsia="es-MX"/>
            </w:rPr>
            <w:drawing>
              <wp:inline distT="0" distB="0" distL="0" distR="0" wp14:anchorId="4A366AEA" wp14:editId="24B070BF">
                <wp:extent cx="3651885" cy="715618"/>
                <wp:effectExtent l="0" t="0" r="5715" b="889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331D805A" w14:textId="77777777" w:rsidR="00E2170B" w:rsidRPr="00E2170B" w:rsidRDefault="00E2170B" w:rsidP="00E2170B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  <w:lang w:val="es-MX"/>
            </w:rPr>
          </w:pPr>
        </w:p>
        <w:p w14:paraId="0DD1D69D" w14:textId="77777777" w:rsidR="00E2170B" w:rsidRPr="00E2170B" w:rsidRDefault="00E2170B" w:rsidP="00E2170B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  <w:lang w:val="es-MX"/>
            </w:rPr>
          </w:pPr>
        </w:p>
        <w:p w14:paraId="4622F750" w14:textId="77777777" w:rsidR="00E2170B" w:rsidRPr="00E2170B" w:rsidRDefault="00E2170B" w:rsidP="00E2170B">
          <w:pPr>
            <w:tabs>
              <w:tab w:val="center" w:pos="4419"/>
              <w:tab w:val="right" w:pos="8838"/>
            </w:tabs>
            <w:spacing w:after="160" w:line="259" w:lineRule="auto"/>
            <w:jc w:val="right"/>
            <w:rPr>
              <w:rFonts w:ascii="Lucida Sans Unicode" w:hAnsi="Lucida Sans Unicode" w:cs="Lucida Sans Unicode"/>
              <w:sz w:val="12"/>
              <w:szCs w:val="12"/>
              <w:lang w:val="es-MX" w:eastAsia="ar-SA"/>
            </w:rPr>
          </w:pP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t xml:space="preserve">Página </w: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begin"/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instrText xml:space="preserve"> PAGE </w:instrTex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separate"/>
          </w:r>
          <w:r w:rsidRPr="00E2170B">
            <w:rPr>
              <w:rFonts w:ascii="Lucida Sans Unicode" w:hAnsi="Lucida Sans Unicode" w:cs="Lucida Sans Unicode"/>
              <w:noProof/>
              <w:sz w:val="12"/>
              <w:szCs w:val="12"/>
              <w:lang w:val="es-MX"/>
            </w:rPr>
            <w:t>12</w: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end"/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t xml:space="preserve"> de </w: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begin"/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instrText xml:space="preserve"> NUMPAGES </w:instrTex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separate"/>
          </w:r>
          <w:r w:rsidRPr="00E2170B">
            <w:rPr>
              <w:rFonts w:ascii="Lucida Sans Unicode" w:hAnsi="Lucida Sans Unicode" w:cs="Lucida Sans Unicode"/>
              <w:noProof/>
              <w:sz w:val="12"/>
              <w:szCs w:val="12"/>
              <w:lang w:val="es-MX"/>
            </w:rPr>
            <w:t>13</w:t>
          </w:r>
          <w:r w:rsidRPr="00E2170B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end"/>
          </w:r>
        </w:p>
        <w:p w14:paraId="46768D55" w14:textId="77777777" w:rsidR="00E2170B" w:rsidRPr="00E2170B" w:rsidRDefault="00E2170B" w:rsidP="00E2170B">
          <w:pPr>
            <w:tabs>
              <w:tab w:val="center" w:pos="4252"/>
              <w:tab w:val="right" w:pos="8504"/>
            </w:tabs>
            <w:suppressAutoHyphens/>
            <w:spacing w:after="160" w:line="259" w:lineRule="auto"/>
            <w:jc w:val="center"/>
            <w:rPr>
              <w:lang w:val="es-MX" w:eastAsia="ar-SA"/>
            </w:rPr>
          </w:pPr>
        </w:p>
      </w:tc>
    </w:tr>
  </w:tbl>
  <w:p w14:paraId="5D5B7354" w14:textId="39C062EF" w:rsidR="005E29FF" w:rsidRPr="005E29FF" w:rsidRDefault="005E29FF" w:rsidP="00E2170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AA50" w14:textId="77777777" w:rsidR="0036127A" w:rsidRDefault="0036127A" w:rsidP="005E29FF">
      <w:r>
        <w:separator/>
      </w:r>
    </w:p>
  </w:footnote>
  <w:footnote w:type="continuationSeparator" w:id="0">
    <w:p w14:paraId="5EB7F011" w14:textId="77777777" w:rsidR="0036127A" w:rsidRDefault="0036127A" w:rsidP="005E29FF">
      <w:r>
        <w:continuationSeparator/>
      </w:r>
    </w:p>
  </w:footnote>
  <w:footnote w:type="continuationNotice" w:id="1">
    <w:p w14:paraId="76E8A0A5" w14:textId="77777777" w:rsidR="0036127A" w:rsidRDefault="0036127A"/>
  </w:footnote>
  <w:footnote w:id="2">
    <w:p w14:paraId="0EDFD401" w14:textId="3B9BE62B" w:rsidR="003D68E0" w:rsidRPr="00F02FD4" w:rsidRDefault="003D68E0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AA0B13">
        <w:rPr>
          <w:rStyle w:val="Refdenotaalpie"/>
          <w:sz w:val="18"/>
          <w:szCs w:val="18"/>
        </w:rPr>
        <w:footnoteRef/>
      </w:r>
      <w:r w:rsidRPr="00AA0B13">
        <w:rPr>
          <w:sz w:val="18"/>
          <w:szCs w:val="18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El acuerdo</w:t>
      </w:r>
      <w:r w:rsidR="008B346D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se encuentra disponible para su consulta en el enlace siguiente: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1" w:history="1">
        <w:r w:rsidR="00CF17E6" w:rsidRPr="00F02FD4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https://repositoriodocumental.ine.mx/xmlui/bitstream/handle/123456789/152542/CGex202307-20-ap-15-Gaceta.pdf</w:t>
        </w:r>
      </w:hyperlink>
      <w:r w:rsidR="00CF17E6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f</w:t>
      </w:r>
    </w:p>
  </w:footnote>
  <w:footnote w:id="3">
    <w:p w14:paraId="2C7F8594" w14:textId="02CD5D27" w:rsidR="007240C1" w:rsidRPr="00F02FD4" w:rsidRDefault="007240C1" w:rsidP="007240C1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F02FD4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F02FD4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el enlace siguiente: </w:t>
      </w:r>
      <w:r w:rsidRPr="00F02FD4">
        <w:rPr>
          <w:rFonts w:ascii="Lucida Sans Unicode" w:hAnsi="Lucida Sans Unicode" w:cs="Lucida Sans Unicode"/>
          <w:sz w:val="14"/>
          <w:szCs w:val="14"/>
        </w:rPr>
        <w:t>https://www.iepcjalisco.org.mx/sites/default/files/sesiones-de-consejo/consejo%20general/2023-08-31/4iepc-acg-050-2023.pdf</w:t>
      </w:r>
    </w:p>
    <w:p w14:paraId="71DA24CD" w14:textId="33344FFD" w:rsidR="007240C1" w:rsidRPr="00F87595" w:rsidRDefault="007240C1" w:rsidP="007240C1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</w:p>
  </w:footnote>
  <w:footnote w:id="4">
    <w:p w14:paraId="34796639" w14:textId="4F088FB6" w:rsidR="6A0FD6D0" w:rsidRDefault="6A0FD6D0" w:rsidP="00F02FD4">
      <w:pPr>
        <w:pStyle w:val="Textonotapie"/>
      </w:pPr>
      <w:r w:rsidRPr="6A0FD6D0"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 xml:space="preserve">Consultable en; </w:t>
      </w:r>
      <w:hyperlink r:id="rId2" w:history="1">
        <w:r w:rsidRPr="00F02FD4">
          <w:rPr>
            <w:rStyle w:val="Hipervnculo"/>
            <w:rFonts w:ascii="Arial" w:eastAsia="Segoe UI" w:hAnsi="Arial" w:cs="Arial"/>
            <w:sz w:val="14"/>
            <w:szCs w:val="14"/>
          </w:rPr>
          <w:t>https://repositoriodocumental.ine.mx/xmlui/bitstream/handle/123456789/153224/CGor202309-20-ap-9-Gaceta.pdf</w:t>
        </w:r>
      </w:hyperlink>
      <w:r w:rsidRPr="00F02FD4">
        <w:rPr>
          <w:rFonts w:ascii="Segoe UI" w:eastAsia="Segoe UI" w:hAnsi="Segoe UI" w:cs="Segoe UI"/>
          <w:color w:val="333333"/>
          <w:sz w:val="16"/>
          <w:szCs w:val="16"/>
        </w:rPr>
        <w:t xml:space="preserve"> </w:t>
      </w:r>
      <w:r w:rsidRPr="00F02FD4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0DE3F830" w:rsidR="005E29FF" w:rsidRDefault="009D5189" w:rsidP="00097F1B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4F51E" wp14:editId="67BAF9E4">
              <wp:simplePos x="0" y="0"/>
              <wp:positionH relativeFrom="margin">
                <wp:align>right</wp:align>
              </wp:positionH>
              <wp:positionV relativeFrom="paragraph">
                <wp:posOffset>113665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11BAE4" w14:textId="66E7E3B4" w:rsidR="009D5189" w:rsidRDefault="009D5189" w:rsidP="009D5189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PRESIDENCIA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4F51E" id="Redondear rectángulo de esquina diagonal 5" o:spid="_x0000_s1026" style="position:absolute;margin-left:156pt;margin-top:8.95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6111BAE4" w14:textId="66E7E3B4" w:rsidR="009D5189" w:rsidRDefault="009D5189" w:rsidP="009D5189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PRESIDENCIA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769"/>
    <w:multiLevelType w:val="hybridMultilevel"/>
    <w:tmpl w:val="1D885B0A"/>
    <w:lvl w:ilvl="0" w:tplc="1B74A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272C1"/>
    <w:multiLevelType w:val="hybridMultilevel"/>
    <w:tmpl w:val="4FAC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18818">
    <w:abstractNumId w:val="2"/>
  </w:num>
  <w:num w:numId="2" w16cid:durableId="1726374087">
    <w:abstractNumId w:val="0"/>
  </w:num>
  <w:num w:numId="3" w16cid:durableId="102289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50CE"/>
    <w:rsid w:val="00021205"/>
    <w:rsid w:val="000438F7"/>
    <w:rsid w:val="000602F9"/>
    <w:rsid w:val="00060962"/>
    <w:rsid w:val="00060CE9"/>
    <w:rsid w:val="00067DBF"/>
    <w:rsid w:val="00097F1B"/>
    <w:rsid w:val="000B19DC"/>
    <w:rsid w:val="000B2EC7"/>
    <w:rsid w:val="000B3968"/>
    <w:rsid w:val="000B7D76"/>
    <w:rsid w:val="000C7BC6"/>
    <w:rsid w:val="000D57FA"/>
    <w:rsid w:val="000D6253"/>
    <w:rsid w:val="000E1689"/>
    <w:rsid w:val="000F30BC"/>
    <w:rsid w:val="001024A6"/>
    <w:rsid w:val="001060A9"/>
    <w:rsid w:val="00132AE0"/>
    <w:rsid w:val="001357EF"/>
    <w:rsid w:val="001506C8"/>
    <w:rsid w:val="00153636"/>
    <w:rsid w:val="00153A41"/>
    <w:rsid w:val="00153B41"/>
    <w:rsid w:val="00164A04"/>
    <w:rsid w:val="0016523E"/>
    <w:rsid w:val="00170E49"/>
    <w:rsid w:val="001815B1"/>
    <w:rsid w:val="0018177A"/>
    <w:rsid w:val="00191EFD"/>
    <w:rsid w:val="001B42AC"/>
    <w:rsid w:val="001B7397"/>
    <w:rsid w:val="001D0B39"/>
    <w:rsid w:val="001D6920"/>
    <w:rsid w:val="001E4955"/>
    <w:rsid w:val="001E58DA"/>
    <w:rsid w:val="001E5F5A"/>
    <w:rsid w:val="001F6CC3"/>
    <w:rsid w:val="00204F81"/>
    <w:rsid w:val="00207D32"/>
    <w:rsid w:val="002166A7"/>
    <w:rsid w:val="00227420"/>
    <w:rsid w:val="00230DF2"/>
    <w:rsid w:val="0023265D"/>
    <w:rsid w:val="002419A5"/>
    <w:rsid w:val="00241D9D"/>
    <w:rsid w:val="00250C57"/>
    <w:rsid w:val="00255E72"/>
    <w:rsid w:val="00263576"/>
    <w:rsid w:val="002641B4"/>
    <w:rsid w:val="002B51A6"/>
    <w:rsid w:val="002D1DE7"/>
    <w:rsid w:val="002D7548"/>
    <w:rsid w:val="003101FD"/>
    <w:rsid w:val="003212F3"/>
    <w:rsid w:val="003276D8"/>
    <w:rsid w:val="00327E3E"/>
    <w:rsid w:val="00330436"/>
    <w:rsid w:val="0036127A"/>
    <w:rsid w:val="00372C4E"/>
    <w:rsid w:val="0037328A"/>
    <w:rsid w:val="00382423"/>
    <w:rsid w:val="00385161"/>
    <w:rsid w:val="0039368D"/>
    <w:rsid w:val="003A326D"/>
    <w:rsid w:val="003A627B"/>
    <w:rsid w:val="003B1EE9"/>
    <w:rsid w:val="003B3D53"/>
    <w:rsid w:val="003C783A"/>
    <w:rsid w:val="003D52C7"/>
    <w:rsid w:val="003D68E0"/>
    <w:rsid w:val="003E3420"/>
    <w:rsid w:val="003F7F9E"/>
    <w:rsid w:val="00402681"/>
    <w:rsid w:val="00405722"/>
    <w:rsid w:val="00422833"/>
    <w:rsid w:val="00424E23"/>
    <w:rsid w:val="0044375E"/>
    <w:rsid w:val="00460F3F"/>
    <w:rsid w:val="00474424"/>
    <w:rsid w:val="0047670A"/>
    <w:rsid w:val="00481F4E"/>
    <w:rsid w:val="00490741"/>
    <w:rsid w:val="0049453C"/>
    <w:rsid w:val="004958C7"/>
    <w:rsid w:val="004A0E92"/>
    <w:rsid w:val="004C2070"/>
    <w:rsid w:val="004E4632"/>
    <w:rsid w:val="004F07F1"/>
    <w:rsid w:val="0050505D"/>
    <w:rsid w:val="005319D6"/>
    <w:rsid w:val="00544CAE"/>
    <w:rsid w:val="0055374E"/>
    <w:rsid w:val="005658CC"/>
    <w:rsid w:val="00565EB4"/>
    <w:rsid w:val="005A156E"/>
    <w:rsid w:val="005A2A09"/>
    <w:rsid w:val="005D1FFA"/>
    <w:rsid w:val="005D2C25"/>
    <w:rsid w:val="005D7C79"/>
    <w:rsid w:val="005D7ED5"/>
    <w:rsid w:val="005E29FF"/>
    <w:rsid w:val="005F59D4"/>
    <w:rsid w:val="005F6C97"/>
    <w:rsid w:val="00610A9A"/>
    <w:rsid w:val="0061762A"/>
    <w:rsid w:val="00630DFC"/>
    <w:rsid w:val="00642ED8"/>
    <w:rsid w:val="00645102"/>
    <w:rsid w:val="006503DD"/>
    <w:rsid w:val="00651BC7"/>
    <w:rsid w:val="00664CC2"/>
    <w:rsid w:val="00693086"/>
    <w:rsid w:val="006D2BB4"/>
    <w:rsid w:val="006E1709"/>
    <w:rsid w:val="006F2D28"/>
    <w:rsid w:val="00702912"/>
    <w:rsid w:val="00707185"/>
    <w:rsid w:val="007234BB"/>
    <w:rsid w:val="007240C1"/>
    <w:rsid w:val="007254A8"/>
    <w:rsid w:val="00730E63"/>
    <w:rsid w:val="00733596"/>
    <w:rsid w:val="007A5CA0"/>
    <w:rsid w:val="007B4F1C"/>
    <w:rsid w:val="007B55D2"/>
    <w:rsid w:val="007B5608"/>
    <w:rsid w:val="007B65A8"/>
    <w:rsid w:val="007B7F08"/>
    <w:rsid w:val="00816A08"/>
    <w:rsid w:val="00841478"/>
    <w:rsid w:val="00857F95"/>
    <w:rsid w:val="00883366"/>
    <w:rsid w:val="008A04DE"/>
    <w:rsid w:val="008A3405"/>
    <w:rsid w:val="008A349E"/>
    <w:rsid w:val="008B346D"/>
    <w:rsid w:val="008C58EF"/>
    <w:rsid w:val="008E599D"/>
    <w:rsid w:val="008E7570"/>
    <w:rsid w:val="0090534E"/>
    <w:rsid w:val="00910B1A"/>
    <w:rsid w:val="00911D5B"/>
    <w:rsid w:val="0091558C"/>
    <w:rsid w:val="00927637"/>
    <w:rsid w:val="00952A48"/>
    <w:rsid w:val="00952D41"/>
    <w:rsid w:val="00953BE5"/>
    <w:rsid w:val="009962AA"/>
    <w:rsid w:val="009B086E"/>
    <w:rsid w:val="009C2399"/>
    <w:rsid w:val="009C6BD9"/>
    <w:rsid w:val="009C7602"/>
    <w:rsid w:val="009D2CA9"/>
    <w:rsid w:val="009D5189"/>
    <w:rsid w:val="009E087B"/>
    <w:rsid w:val="009E190E"/>
    <w:rsid w:val="009F717C"/>
    <w:rsid w:val="00A053A4"/>
    <w:rsid w:val="00A05657"/>
    <w:rsid w:val="00A2133A"/>
    <w:rsid w:val="00A23257"/>
    <w:rsid w:val="00A319A0"/>
    <w:rsid w:val="00A67E26"/>
    <w:rsid w:val="00A72C74"/>
    <w:rsid w:val="00A851C4"/>
    <w:rsid w:val="00A87677"/>
    <w:rsid w:val="00A94B80"/>
    <w:rsid w:val="00A96A63"/>
    <w:rsid w:val="00AA0B13"/>
    <w:rsid w:val="00AA0D86"/>
    <w:rsid w:val="00AA1DE8"/>
    <w:rsid w:val="00AA39CB"/>
    <w:rsid w:val="00AB07F8"/>
    <w:rsid w:val="00AE18AE"/>
    <w:rsid w:val="00AF545D"/>
    <w:rsid w:val="00B23B55"/>
    <w:rsid w:val="00B25825"/>
    <w:rsid w:val="00B400D3"/>
    <w:rsid w:val="00B45B5B"/>
    <w:rsid w:val="00B62D0B"/>
    <w:rsid w:val="00B70448"/>
    <w:rsid w:val="00B77996"/>
    <w:rsid w:val="00BA17E3"/>
    <w:rsid w:val="00BA7FF8"/>
    <w:rsid w:val="00BD1248"/>
    <w:rsid w:val="00BD21AB"/>
    <w:rsid w:val="00BE711D"/>
    <w:rsid w:val="00C03049"/>
    <w:rsid w:val="00C07361"/>
    <w:rsid w:val="00C43135"/>
    <w:rsid w:val="00C66419"/>
    <w:rsid w:val="00C8047F"/>
    <w:rsid w:val="00C95082"/>
    <w:rsid w:val="00CA45F3"/>
    <w:rsid w:val="00CB59D7"/>
    <w:rsid w:val="00CB6D8A"/>
    <w:rsid w:val="00CC0530"/>
    <w:rsid w:val="00CC39C2"/>
    <w:rsid w:val="00CC5BF1"/>
    <w:rsid w:val="00CD4408"/>
    <w:rsid w:val="00CF17E6"/>
    <w:rsid w:val="00D12F7B"/>
    <w:rsid w:val="00D173D7"/>
    <w:rsid w:val="00D33942"/>
    <w:rsid w:val="00D87D8A"/>
    <w:rsid w:val="00DC33C1"/>
    <w:rsid w:val="00DD2550"/>
    <w:rsid w:val="00E126C6"/>
    <w:rsid w:val="00E2170B"/>
    <w:rsid w:val="00E248D9"/>
    <w:rsid w:val="00E27390"/>
    <w:rsid w:val="00E326D0"/>
    <w:rsid w:val="00E37553"/>
    <w:rsid w:val="00E57131"/>
    <w:rsid w:val="00E8415D"/>
    <w:rsid w:val="00E856C2"/>
    <w:rsid w:val="00EA1CB7"/>
    <w:rsid w:val="00EA6943"/>
    <w:rsid w:val="00EC242D"/>
    <w:rsid w:val="00EC3BB0"/>
    <w:rsid w:val="00ED27D5"/>
    <w:rsid w:val="00EE051E"/>
    <w:rsid w:val="00EF3F70"/>
    <w:rsid w:val="00EF54B8"/>
    <w:rsid w:val="00F00DBC"/>
    <w:rsid w:val="00F02FD4"/>
    <w:rsid w:val="00F3551B"/>
    <w:rsid w:val="00F83609"/>
    <w:rsid w:val="00F86E22"/>
    <w:rsid w:val="00F87595"/>
    <w:rsid w:val="00FB4AD5"/>
    <w:rsid w:val="00FF1397"/>
    <w:rsid w:val="00FF47D3"/>
    <w:rsid w:val="011EC742"/>
    <w:rsid w:val="03C7FED3"/>
    <w:rsid w:val="05F5A746"/>
    <w:rsid w:val="06021678"/>
    <w:rsid w:val="06E3E580"/>
    <w:rsid w:val="0A822FFA"/>
    <w:rsid w:val="0ADEEEA6"/>
    <w:rsid w:val="0B467410"/>
    <w:rsid w:val="0B855A55"/>
    <w:rsid w:val="0C3DB3D4"/>
    <w:rsid w:val="0DBAF1AA"/>
    <w:rsid w:val="0F233F0D"/>
    <w:rsid w:val="0FA230CF"/>
    <w:rsid w:val="108C54BF"/>
    <w:rsid w:val="112AB3F7"/>
    <w:rsid w:val="125AE41E"/>
    <w:rsid w:val="12832835"/>
    <w:rsid w:val="12991D72"/>
    <w:rsid w:val="12C812E2"/>
    <w:rsid w:val="133E5DC1"/>
    <w:rsid w:val="13F6B47F"/>
    <w:rsid w:val="1675FE83"/>
    <w:rsid w:val="16F8BE2E"/>
    <w:rsid w:val="1772D704"/>
    <w:rsid w:val="17B1B75A"/>
    <w:rsid w:val="1A447825"/>
    <w:rsid w:val="1B70F4B9"/>
    <w:rsid w:val="1D8592C0"/>
    <w:rsid w:val="2366F5EA"/>
    <w:rsid w:val="2404B8ED"/>
    <w:rsid w:val="2503B9C2"/>
    <w:rsid w:val="25A181E9"/>
    <w:rsid w:val="28BA3D51"/>
    <w:rsid w:val="29508A51"/>
    <w:rsid w:val="2A416D49"/>
    <w:rsid w:val="2CCB6B0A"/>
    <w:rsid w:val="2DE63732"/>
    <w:rsid w:val="2EFA881A"/>
    <w:rsid w:val="301CE319"/>
    <w:rsid w:val="320B7234"/>
    <w:rsid w:val="32A96F8A"/>
    <w:rsid w:val="33ADE9D4"/>
    <w:rsid w:val="35AC5F31"/>
    <w:rsid w:val="36341AE4"/>
    <w:rsid w:val="37192D7A"/>
    <w:rsid w:val="371B685D"/>
    <w:rsid w:val="3744D5BB"/>
    <w:rsid w:val="385DAF68"/>
    <w:rsid w:val="38A3FB1D"/>
    <w:rsid w:val="38A483A8"/>
    <w:rsid w:val="3B62832A"/>
    <w:rsid w:val="3E15A0E5"/>
    <w:rsid w:val="3F18996A"/>
    <w:rsid w:val="40B4A1EA"/>
    <w:rsid w:val="430869AE"/>
    <w:rsid w:val="433AF3BF"/>
    <w:rsid w:val="444F83B3"/>
    <w:rsid w:val="44C0844E"/>
    <w:rsid w:val="48449A5D"/>
    <w:rsid w:val="48C344EE"/>
    <w:rsid w:val="48E5E00F"/>
    <w:rsid w:val="4AA0E0C1"/>
    <w:rsid w:val="4B2CF6EB"/>
    <w:rsid w:val="4B58F3C2"/>
    <w:rsid w:val="5128ABE6"/>
    <w:rsid w:val="525EE372"/>
    <w:rsid w:val="53A51C7F"/>
    <w:rsid w:val="53EF18B0"/>
    <w:rsid w:val="543375A8"/>
    <w:rsid w:val="54A2F3B9"/>
    <w:rsid w:val="5569EF48"/>
    <w:rsid w:val="5596A8AA"/>
    <w:rsid w:val="55AF5575"/>
    <w:rsid w:val="55EE216A"/>
    <w:rsid w:val="56668B8D"/>
    <w:rsid w:val="566C842C"/>
    <w:rsid w:val="58A2DF81"/>
    <w:rsid w:val="5936EF91"/>
    <w:rsid w:val="597EEADF"/>
    <w:rsid w:val="5AAD187E"/>
    <w:rsid w:val="5B97E60A"/>
    <w:rsid w:val="5C4DAE3C"/>
    <w:rsid w:val="5D3E12E1"/>
    <w:rsid w:val="5F84B337"/>
    <w:rsid w:val="6200E0A5"/>
    <w:rsid w:val="648B25B9"/>
    <w:rsid w:val="6587388C"/>
    <w:rsid w:val="67500D6C"/>
    <w:rsid w:val="6A0FD6D0"/>
    <w:rsid w:val="6A7377BA"/>
    <w:rsid w:val="6DD872CD"/>
    <w:rsid w:val="6EF36859"/>
    <w:rsid w:val="70501A4B"/>
    <w:rsid w:val="72C055CE"/>
    <w:rsid w:val="74FAFCD8"/>
    <w:rsid w:val="776DACC7"/>
    <w:rsid w:val="788A3378"/>
    <w:rsid w:val="78AA8CA1"/>
    <w:rsid w:val="7C46C79B"/>
    <w:rsid w:val="7CA25B00"/>
    <w:rsid w:val="7F5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F3AC8"/>
  <w15:chartTrackingRefBased/>
  <w15:docId w15:val="{18F2F5AB-E968-45A6-9107-5CB54BB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190E"/>
    <w:rPr>
      <w:lang w:val="es-ES"/>
    </w:rPr>
  </w:style>
  <w:style w:type="paragraph" w:customStyle="1" w:styleId="commentcontentpara">
    <w:name w:val="commentcontentpara"/>
    <w:basedOn w:val="Normal"/>
    <w:rsid w:val="003D68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16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89"/>
    <w:rPr>
      <w:color w:val="605E5C"/>
      <w:shd w:val="clear" w:color="auto" w:fill="E1DFDD"/>
    </w:rPr>
  </w:style>
  <w:style w:type="paragraph" w:customStyle="1" w:styleId="Default">
    <w:name w:val="Default"/>
    <w:rsid w:val="00D87D8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2170B"/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dores.electorales@iepcjalisco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viewer?mid=1KwoPyNvd9gAZMu-mNuBgIoU6ALPFGw0&amp;usp=sharin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positoriodocumental.ine.mx/xmlui/bitstream/handle/123456789/153224/CGor202309-20-ap-9-Gaceta.pdf" TargetMode="External"/><Relationship Id="rId1" Type="http://schemas.openxmlformats.org/officeDocument/2006/relationships/hyperlink" Target="https://repositoriodocumental.ine.mx/xmlui/bitstream/handle/123456789/152542/CGex202307-20-ap-15-Gace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07A-6543-4457-90CA-1B562F8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1896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42</cp:revision>
  <cp:lastPrinted>2024-01-22T18:12:00Z</cp:lastPrinted>
  <dcterms:created xsi:type="dcterms:W3CDTF">2024-01-16T18:05:00Z</dcterms:created>
  <dcterms:modified xsi:type="dcterms:W3CDTF">2024-02-01T15:14:00Z</dcterms:modified>
</cp:coreProperties>
</file>