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5686" w14:textId="5C35DBDA" w:rsidR="00D66BA4" w:rsidRDefault="00D66BA4" w:rsidP="00D66BA4">
      <w:pPr>
        <w:spacing w:after="0"/>
        <w:jc w:val="both"/>
        <w:rPr>
          <w:rFonts w:ascii="Lucida Sans Unicode" w:hAnsi="Lucida Sans Unicode" w:cs="Lucida Sans Unicode"/>
          <w:b/>
          <w:color w:val="00788E"/>
          <w:lang w:val="es-ES"/>
        </w:rPr>
      </w:pPr>
      <w:r w:rsidRPr="00D66BA4">
        <w:rPr>
          <w:rFonts w:ascii="Lucida Sans Unicode" w:hAnsi="Lucida Sans Unicode" w:cs="Lucida Sans Unicode"/>
          <w:b/>
          <w:color w:val="00788E"/>
          <w:lang w:val="es-ES"/>
        </w:rPr>
        <w:t>PROGRAMA ANUAL DE ADQUISICIONES, ARRENDAMIENTOS Y SERVICIOS DEL INSTITUTO ELECTORAL Y DE PARTICIPACIÓN CIUDADANA DEL ESTADO DE JALISCO</w:t>
      </w:r>
      <w:r w:rsidR="00CF615E">
        <w:rPr>
          <w:rFonts w:ascii="Lucida Sans Unicode" w:hAnsi="Lucida Sans Unicode" w:cs="Lucida Sans Unicode"/>
          <w:b/>
          <w:color w:val="00788E"/>
          <w:lang w:val="es-ES"/>
        </w:rPr>
        <w:t>,</w:t>
      </w:r>
      <w:r w:rsidRPr="00D66BA4">
        <w:rPr>
          <w:rFonts w:ascii="Lucida Sans Unicode" w:hAnsi="Lucida Sans Unicode" w:cs="Lucida Sans Unicode"/>
          <w:b/>
          <w:color w:val="00788E"/>
          <w:lang w:val="es-ES"/>
        </w:rPr>
        <w:t xml:space="preserve"> PARA EL EJERCICIO FISCAL DOS MIL </w:t>
      </w:r>
      <w:r w:rsidRPr="00DF13F3">
        <w:rPr>
          <w:rFonts w:ascii="Lucida Sans Unicode" w:hAnsi="Lucida Sans Unicode" w:cs="Lucida Sans Unicode"/>
          <w:b/>
          <w:color w:val="00788E"/>
          <w:lang w:val="es-ES"/>
        </w:rPr>
        <w:t>VEINTICUATRO</w:t>
      </w:r>
    </w:p>
    <w:p w14:paraId="01C5265A" w14:textId="77777777" w:rsidR="00DF6943" w:rsidRDefault="00DF6943" w:rsidP="005E3A6F">
      <w:pPr>
        <w:spacing w:after="0"/>
        <w:jc w:val="both"/>
        <w:rPr>
          <w:rFonts w:ascii="Lucida Sans Unicode" w:hAnsi="Lucida Sans Unicode" w:cs="Lucida Sans Unicode"/>
          <w:b/>
          <w:color w:val="00788E"/>
          <w:lang w:val="es-ES"/>
        </w:rPr>
      </w:pPr>
    </w:p>
    <w:p w14:paraId="016F1DC4" w14:textId="5788FB45" w:rsidR="00BE7811" w:rsidRPr="00BE7811" w:rsidRDefault="00BE7811" w:rsidP="00BE7811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BE7811">
        <w:rPr>
          <w:rFonts w:ascii="Lucida Sans Unicode" w:hAnsi="Lucida Sans Unicode" w:cs="Lucida Sans Unicode"/>
          <w:sz w:val="20"/>
          <w:szCs w:val="20"/>
          <w:lang w:val="es-ES"/>
        </w:rPr>
        <w:t>El Programa Anual de Adquisiciones, Arrendamientos y Servicios</w:t>
      </w:r>
      <w:r w:rsidR="0045786E">
        <w:rPr>
          <w:rFonts w:ascii="Lucida Sans Unicode" w:hAnsi="Lucida Sans Unicode" w:cs="Lucida Sans Unicode"/>
          <w:sz w:val="20"/>
          <w:szCs w:val="20"/>
          <w:lang w:val="es-ES"/>
        </w:rPr>
        <w:t xml:space="preserve"> (PAAAS)</w:t>
      </w:r>
      <w:r w:rsidRPr="00BE7811">
        <w:rPr>
          <w:rFonts w:ascii="Lucida Sans Unicode" w:hAnsi="Lucida Sans Unicode" w:cs="Lucida Sans Unicode"/>
          <w:sz w:val="20"/>
          <w:szCs w:val="20"/>
          <w:lang w:val="es-ES"/>
        </w:rPr>
        <w:t xml:space="preserve"> del Instituto Electoral y de Participación Ciudadana del Estado de Jalisco, constituye la herramienta de gestión, destinada a cubrir las necesidades reales en materia de adquisiciones de bienes, arrendamientos y contratación de servicios, en forma anual y con sujeción al Presupuesto de Egresos vigente en cada ejercicio fiscal. </w:t>
      </w:r>
    </w:p>
    <w:p w14:paraId="1ED58EA5" w14:textId="77777777" w:rsidR="00BE7811" w:rsidRPr="00BE7811" w:rsidRDefault="00BE7811" w:rsidP="00BE7811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01CE0A64" w14:textId="1940336F" w:rsidR="00BE7811" w:rsidRPr="00BE7811" w:rsidRDefault="00BE7811" w:rsidP="00BE7811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BE7811">
        <w:rPr>
          <w:rFonts w:ascii="Lucida Sans Unicode" w:hAnsi="Lucida Sans Unicode" w:cs="Lucida Sans Unicode"/>
          <w:sz w:val="20"/>
          <w:szCs w:val="20"/>
          <w:lang w:val="es-ES"/>
        </w:rPr>
        <w:t>El objetivo principal que persigue</w:t>
      </w:r>
      <w:r w:rsidR="008E035A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BC2520">
        <w:rPr>
          <w:rFonts w:ascii="Lucida Sans Unicode" w:hAnsi="Lucida Sans Unicode" w:cs="Lucida Sans Unicode"/>
          <w:sz w:val="20"/>
          <w:szCs w:val="20"/>
          <w:lang w:val="es-ES"/>
        </w:rPr>
        <w:t xml:space="preserve">este programa </w:t>
      </w:r>
      <w:r w:rsidRPr="00BE7811">
        <w:rPr>
          <w:rFonts w:ascii="Lucida Sans Unicode" w:hAnsi="Lucida Sans Unicode" w:cs="Lucida Sans Unicode"/>
          <w:sz w:val="20"/>
          <w:szCs w:val="20"/>
          <w:lang w:val="es-ES"/>
        </w:rPr>
        <w:t>es asegurar que los recursos económicos de este organismo electoral se administren con eficiencia, eficacia, economía, transparencia y honradez</w:t>
      </w:r>
      <w:r w:rsidR="00DA3FEB">
        <w:rPr>
          <w:rFonts w:ascii="Lucida Sans Unicode" w:hAnsi="Lucida Sans Unicode" w:cs="Lucida Sans Unicode"/>
          <w:sz w:val="20"/>
          <w:szCs w:val="20"/>
          <w:lang w:val="es-ES"/>
        </w:rPr>
        <w:t xml:space="preserve"> para </w:t>
      </w:r>
      <w:r w:rsidRPr="00BE7811">
        <w:rPr>
          <w:rFonts w:ascii="Lucida Sans Unicode" w:hAnsi="Lucida Sans Unicode" w:cs="Lucida Sans Unicode"/>
          <w:sz w:val="20"/>
          <w:szCs w:val="20"/>
          <w:lang w:val="es-ES"/>
        </w:rPr>
        <w:t>satisfacer los objetivos y metas para los cuales están destinados.</w:t>
      </w:r>
    </w:p>
    <w:p w14:paraId="58715104" w14:textId="77777777" w:rsidR="00BE7811" w:rsidRPr="00BE7811" w:rsidRDefault="00BE7811" w:rsidP="00BE7811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0E3DEEDF" w14:textId="3AFFCDD8" w:rsidR="00BE7811" w:rsidRPr="00BE7811" w:rsidRDefault="00BE7811" w:rsidP="00BE7811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BE7811">
        <w:rPr>
          <w:rFonts w:ascii="Lucida Sans Unicode" w:hAnsi="Lucida Sans Unicode" w:cs="Lucida Sans Unicode"/>
          <w:sz w:val="20"/>
          <w:szCs w:val="20"/>
          <w:lang w:val="es-ES"/>
        </w:rPr>
        <w:t xml:space="preserve">De esta manera, el </w:t>
      </w:r>
      <w:r w:rsidR="00B411ED">
        <w:rPr>
          <w:rFonts w:ascii="Lucida Sans Unicode" w:hAnsi="Lucida Sans Unicode" w:cs="Lucida Sans Unicode"/>
          <w:sz w:val="20"/>
          <w:szCs w:val="20"/>
          <w:lang w:val="es-ES"/>
        </w:rPr>
        <w:t xml:space="preserve">PAAAS </w:t>
      </w:r>
      <w:r w:rsidRPr="00BE7811">
        <w:rPr>
          <w:rFonts w:ascii="Lucida Sans Unicode" w:hAnsi="Lucida Sans Unicode" w:cs="Lucida Sans Unicode"/>
          <w:sz w:val="20"/>
          <w:szCs w:val="20"/>
          <w:lang w:val="es-ES"/>
        </w:rPr>
        <w:t xml:space="preserve">es un documento de carácter informativo, por lo que las adquisiciones de bienes, arrendamientos y contratación de servicios contenidas en el citado </w:t>
      </w:r>
      <w:r w:rsidR="00460F53" w:rsidRPr="00BE7811">
        <w:rPr>
          <w:rFonts w:ascii="Lucida Sans Unicode" w:hAnsi="Lucida Sans Unicode" w:cs="Lucida Sans Unicode"/>
          <w:sz w:val="20"/>
          <w:szCs w:val="20"/>
          <w:lang w:val="es-ES"/>
        </w:rPr>
        <w:t>programa</w:t>
      </w:r>
      <w:r w:rsidR="00460F53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Pr="00BE7811">
        <w:rPr>
          <w:rFonts w:ascii="Lucida Sans Unicode" w:hAnsi="Lucida Sans Unicode" w:cs="Lucida Sans Unicode"/>
          <w:sz w:val="20"/>
          <w:szCs w:val="20"/>
          <w:lang w:val="es-ES"/>
        </w:rPr>
        <w:t>podrán ser adicionadas, modificadas, suspendidas o canceladas, sin responsabilidad alguna para este Instituto Electoral y de Participación Ciudadana del Estado de Jalisco. Lo anterior de conformidad con el artículo 45, numeral 2 de la Ley de Compras Gubernamentales, Enajenaciones y Contratación de Servicios del Estado de Jalisco y sus Municipios.</w:t>
      </w:r>
    </w:p>
    <w:p w14:paraId="79019CBA" w14:textId="77777777" w:rsidR="00BE7811" w:rsidRPr="00BE7811" w:rsidRDefault="00BE7811" w:rsidP="00BE7811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A1AD00B" w14:textId="4DE682DB" w:rsidR="00B207D8" w:rsidRPr="00DF13F3" w:rsidRDefault="00BE7811" w:rsidP="00BE7811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BE7811">
        <w:rPr>
          <w:rFonts w:ascii="Lucida Sans Unicode" w:hAnsi="Lucida Sans Unicode" w:cs="Lucida Sans Unicode"/>
          <w:sz w:val="20"/>
          <w:szCs w:val="20"/>
          <w:lang w:val="es-ES"/>
        </w:rPr>
        <w:t>Acorde a lo anterior, y con apego a lo establecido en el artículo 42 de la Ley de Compras Gubernamentales, Enajenaciones y Contratación de Servicios del Estado de Jalisco y sus Municipios, el presente Programa Anual de Adquisiciones, Arrendamientos y Servicios considera lo siguiente:</w:t>
      </w:r>
    </w:p>
    <w:p w14:paraId="1B030236" w14:textId="3187C479" w:rsidR="009F3BEB" w:rsidRDefault="009F3BEB" w:rsidP="00B207D8">
      <w:pPr>
        <w:spacing w:after="0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B7BDB76" w14:textId="2CBB65EA" w:rsidR="00FA479E" w:rsidRPr="00FA479E" w:rsidRDefault="00FA479E" w:rsidP="00FA479E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FA479E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>I. Las acciones previas, durante y posteriores a la realización de dichas operaciones</w:t>
      </w:r>
    </w:p>
    <w:p w14:paraId="699F166E" w14:textId="77777777" w:rsidR="00FA479E" w:rsidRPr="00FA479E" w:rsidRDefault="00FA479E" w:rsidP="00FA479E">
      <w:pPr>
        <w:spacing w:after="0" w:line="276" w:lineRule="auto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72C6EA1" w14:textId="3284AF14" w:rsidR="00FA479E" w:rsidRPr="00FA479E" w:rsidRDefault="00FA479E" w:rsidP="00FA479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 xml:space="preserve">Para la elaboración y seguimiento del </w:t>
      </w:r>
      <w:r>
        <w:rPr>
          <w:rFonts w:ascii="Lucida Sans Unicode" w:hAnsi="Lucida Sans Unicode" w:cs="Lucida Sans Unicode"/>
          <w:sz w:val="20"/>
          <w:szCs w:val="20"/>
          <w:lang w:val="es-ES"/>
        </w:rPr>
        <w:t xml:space="preserve">PAAAS </w:t>
      </w: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>de este Instituto, se establecerán las siguientes acciones:</w:t>
      </w:r>
    </w:p>
    <w:p w14:paraId="4372D845" w14:textId="77777777" w:rsidR="00FA479E" w:rsidRPr="00FA479E" w:rsidRDefault="00FA479E" w:rsidP="00FA479E">
      <w:pPr>
        <w:spacing w:after="0" w:line="276" w:lineRule="auto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7EEBC6AF" w14:textId="50B2C2BF" w:rsidR="00FA479E" w:rsidRDefault="00BC2520" w:rsidP="00FA479E">
      <w:pPr>
        <w:pStyle w:val="Prrafodelista"/>
        <w:numPr>
          <w:ilvl w:val="0"/>
          <w:numId w:val="2"/>
        </w:numPr>
        <w:spacing w:after="0" w:line="276" w:lineRule="auto"/>
        <w:rPr>
          <w:rFonts w:ascii="Lucida Sans Unicode" w:hAnsi="Lucida Sans Unicode" w:cs="Lucida Sans Unicode"/>
          <w:sz w:val="20"/>
          <w:szCs w:val="20"/>
          <w:u w:val="single"/>
          <w:lang w:val="es-ES"/>
        </w:rPr>
      </w:pPr>
      <w:r>
        <w:rPr>
          <w:rFonts w:ascii="Lucida Sans Unicode" w:hAnsi="Lucida Sans Unicode" w:cs="Lucida Sans Unicode"/>
          <w:sz w:val="20"/>
          <w:szCs w:val="20"/>
          <w:u w:val="single"/>
          <w:lang w:val="es-ES"/>
        </w:rPr>
        <w:t>A</w:t>
      </w:r>
      <w:r w:rsidR="00FA479E" w:rsidRPr="00FA479E">
        <w:rPr>
          <w:rFonts w:ascii="Lucida Sans Unicode" w:hAnsi="Lucida Sans Unicode" w:cs="Lucida Sans Unicode"/>
          <w:sz w:val="20"/>
          <w:szCs w:val="20"/>
          <w:u w:val="single"/>
          <w:lang w:val="es-ES"/>
        </w:rPr>
        <w:t xml:space="preserve">cciones previas a la realización de las operaciones </w:t>
      </w:r>
    </w:p>
    <w:p w14:paraId="44109E1C" w14:textId="77777777" w:rsidR="000A1E97" w:rsidRPr="00FA479E" w:rsidRDefault="000A1E97" w:rsidP="000A1E97">
      <w:pPr>
        <w:pStyle w:val="Prrafodelista"/>
        <w:spacing w:after="0" w:line="276" w:lineRule="auto"/>
        <w:ind w:left="360"/>
        <w:rPr>
          <w:rFonts w:ascii="Lucida Sans Unicode" w:hAnsi="Lucida Sans Unicode" w:cs="Lucida Sans Unicode"/>
          <w:sz w:val="20"/>
          <w:szCs w:val="20"/>
          <w:u w:val="single"/>
          <w:lang w:val="es-ES"/>
        </w:rPr>
      </w:pPr>
    </w:p>
    <w:p w14:paraId="36322F32" w14:textId="7DC7D678" w:rsidR="00FA479E" w:rsidRPr="000A1E97" w:rsidRDefault="00FA479E" w:rsidP="00FA479E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0A1E97">
        <w:rPr>
          <w:rFonts w:ascii="Lucida Sans Unicode" w:hAnsi="Lucida Sans Unicode" w:cs="Lucida Sans Unicode"/>
          <w:sz w:val="20"/>
          <w:szCs w:val="20"/>
          <w:lang w:val="es-ES"/>
        </w:rPr>
        <w:lastRenderedPageBreak/>
        <w:t>Coordinar con las diferentes áreas, las necesidades</w:t>
      </w:r>
      <w:r w:rsidR="000A1E97" w:rsidRPr="000A1E97">
        <w:rPr>
          <w:rFonts w:ascii="Lucida Sans Unicode" w:hAnsi="Lucida Sans Unicode" w:cs="Lucida Sans Unicode"/>
          <w:sz w:val="20"/>
          <w:szCs w:val="20"/>
          <w:lang w:val="es-ES"/>
        </w:rPr>
        <w:t xml:space="preserve"> requeridas</w:t>
      </w:r>
      <w:r w:rsidRPr="000A1E97">
        <w:rPr>
          <w:rFonts w:ascii="Lucida Sans Unicode" w:hAnsi="Lucida Sans Unicode" w:cs="Lucida Sans Unicode"/>
          <w:sz w:val="20"/>
          <w:szCs w:val="20"/>
          <w:lang w:val="es-ES"/>
        </w:rPr>
        <w:t xml:space="preserve"> para el logro de </w:t>
      </w:r>
      <w:r w:rsidR="000A1E97" w:rsidRPr="000A1E97">
        <w:rPr>
          <w:rFonts w:ascii="Lucida Sans Unicode" w:hAnsi="Lucida Sans Unicode" w:cs="Lucida Sans Unicode"/>
          <w:sz w:val="20"/>
          <w:szCs w:val="20"/>
          <w:lang w:val="es-ES"/>
        </w:rPr>
        <w:t>los</w:t>
      </w:r>
      <w:r w:rsidRPr="000A1E97">
        <w:rPr>
          <w:rFonts w:ascii="Lucida Sans Unicode" w:hAnsi="Lucida Sans Unicode" w:cs="Lucida Sans Unicode"/>
          <w:sz w:val="20"/>
          <w:szCs w:val="20"/>
          <w:lang w:val="es-ES"/>
        </w:rPr>
        <w:t xml:space="preserve"> objetivos y metas de sus programas institucionales</w:t>
      </w:r>
      <w:r w:rsidR="000A1E97">
        <w:rPr>
          <w:rFonts w:ascii="Lucida Sans Unicode" w:hAnsi="Lucida Sans Unicode" w:cs="Lucida Sans Unicode"/>
          <w:sz w:val="20"/>
          <w:szCs w:val="20"/>
          <w:lang w:val="es-ES"/>
        </w:rPr>
        <w:t>;</w:t>
      </w:r>
    </w:p>
    <w:p w14:paraId="3E496250" w14:textId="5EC59196" w:rsidR="00FA479E" w:rsidRPr="000A1E97" w:rsidRDefault="00FA479E" w:rsidP="00FA479E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0A1E97">
        <w:rPr>
          <w:rFonts w:ascii="Lucida Sans Unicode" w:hAnsi="Lucida Sans Unicode" w:cs="Lucida Sans Unicode"/>
          <w:sz w:val="20"/>
          <w:szCs w:val="20"/>
          <w:lang w:val="es-ES"/>
        </w:rPr>
        <w:t>Definir los procedimientos a través de los cuales se realizarán las adquisiciones de bienes y contratación de servicios</w:t>
      </w:r>
      <w:r w:rsidR="000A1E97">
        <w:rPr>
          <w:rFonts w:ascii="Lucida Sans Unicode" w:hAnsi="Lucida Sans Unicode" w:cs="Lucida Sans Unicode"/>
          <w:sz w:val="20"/>
          <w:szCs w:val="20"/>
          <w:lang w:val="es-ES"/>
        </w:rPr>
        <w:t xml:space="preserve">; </w:t>
      </w:r>
    </w:p>
    <w:p w14:paraId="6B38CC2B" w14:textId="74E60641" w:rsidR="00FA479E" w:rsidRDefault="00FA479E" w:rsidP="00FA479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0A1E97">
        <w:rPr>
          <w:rFonts w:ascii="Lucida Sans Unicode" w:hAnsi="Lucida Sans Unicode" w:cs="Lucida Sans Unicode"/>
          <w:sz w:val="20"/>
          <w:szCs w:val="20"/>
          <w:lang w:val="es-ES"/>
        </w:rPr>
        <w:t>Verificar</w:t>
      </w: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 xml:space="preserve"> que cada adquisición, arrendamiento y servicio </w:t>
      </w:r>
      <w:r w:rsidR="000A1E97">
        <w:rPr>
          <w:rFonts w:ascii="Lucida Sans Unicode" w:hAnsi="Lucida Sans Unicode" w:cs="Lucida Sans Unicode"/>
          <w:sz w:val="20"/>
          <w:szCs w:val="20"/>
          <w:lang w:val="es-ES"/>
        </w:rPr>
        <w:t>a</w:t>
      </w: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 xml:space="preserve"> realizar, cuente con la disposición presupuestal aprobada para solventar el pago correspondiente</w:t>
      </w:r>
      <w:r w:rsidR="000A1E97">
        <w:rPr>
          <w:rFonts w:ascii="Lucida Sans Unicode" w:hAnsi="Lucida Sans Unicode" w:cs="Lucida Sans Unicode"/>
          <w:sz w:val="20"/>
          <w:szCs w:val="20"/>
          <w:lang w:val="es-ES"/>
        </w:rPr>
        <w:t xml:space="preserve">; </w:t>
      </w:r>
    </w:p>
    <w:p w14:paraId="4A7F8F07" w14:textId="3FA60456" w:rsidR="00FA479E" w:rsidRDefault="00FA479E" w:rsidP="00FA479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 xml:space="preserve">Verificar que las diferentes áreas, al momento de solicitar la adquisición de un bien, </w:t>
      </w:r>
      <w:r w:rsidR="000A1E97">
        <w:rPr>
          <w:rFonts w:ascii="Lucida Sans Unicode" w:hAnsi="Lucida Sans Unicode" w:cs="Lucida Sans Unicode"/>
          <w:sz w:val="20"/>
          <w:szCs w:val="20"/>
          <w:lang w:val="es-ES"/>
        </w:rPr>
        <w:t>este</w:t>
      </w:r>
      <w:r w:rsidR="00AE7ABE">
        <w:rPr>
          <w:rFonts w:ascii="Lucida Sans Unicode" w:hAnsi="Lucida Sans Unicode" w:cs="Lucida Sans Unicode"/>
          <w:sz w:val="20"/>
          <w:szCs w:val="20"/>
          <w:lang w:val="es-ES"/>
        </w:rPr>
        <w:t xml:space="preserve"> Instituto</w:t>
      </w:r>
      <w:r w:rsidR="000A1E97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 xml:space="preserve">no lo tenga para proveerlo y realmente se </w:t>
      </w:r>
      <w:r w:rsidR="00AE7ABE">
        <w:rPr>
          <w:rFonts w:ascii="Lucida Sans Unicode" w:hAnsi="Lucida Sans Unicode" w:cs="Lucida Sans Unicode"/>
          <w:sz w:val="20"/>
          <w:szCs w:val="20"/>
          <w:lang w:val="es-ES"/>
        </w:rPr>
        <w:t xml:space="preserve">requiera </w:t>
      </w: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>adquirir</w:t>
      </w:r>
      <w:r w:rsidR="000A1E97">
        <w:rPr>
          <w:rFonts w:ascii="Lucida Sans Unicode" w:hAnsi="Lucida Sans Unicode" w:cs="Lucida Sans Unicode"/>
          <w:sz w:val="20"/>
          <w:szCs w:val="20"/>
          <w:lang w:val="es-ES"/>
        </w:rPr>
        <w:t>; y</w:t>
      </w:r>
    </w:p>
    <w:p w14:paraId="2873C31A" w14:textId="76711984" w:rsidR="00FA479E" w:rsidRPr="00FA479E" w:rsidRDefault="00FA479E" w:rsidP="00FA479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 xml:space="preserve">Verificar que las diferentes áreas, al momento de solicitar la contratación de un servicio, este no pueda ser proveído por </w:t>
      </w:r>
      <w:r w:rsidR="000A1E97">
        <w:rPr>
          <w:rFonts w:ascii="Lucida Sans Unicode" w:hAnsi="Lucida Sans Unicode" w:cs="Lucida Sans Unicode"/>
          <w:sz w:val="20"/>
          <w:szCs w:val="20"/>
          <w:lang w:val="es-ES"/>
        </w:rPr>
        <w:t>alguna</w:t>
      </w: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 xml:space="preserve"> área del </w:t>
      </w:r>
      <w:r w:rsidR="008854FC">
        <w:rPr>
          <w:rFonts w:ascii="Lucida Sans Unicode" w:hAnsi="Lucida Sans Unicode" w:cs="Lucida Sans Unicode"/>
          <w:sz w:val="20"/>
          <w:szCs w:val="20"/>
          <w:lang w:val="es-ES"/>
        </w:rPr>
        <w:t>Instituto</w:t>
      </w: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>.</w:t>
      </w:r>
    </w:p>
    <w:p w14:paraId="7C107AB5" w14:textId="77777777" w:rsidR="00FA479E" w:rsidRPr="00FA479E" w:rsidRDefault="00FA479E" w:rsidP="00FA479E">
      <w:pPr>
        <w:pStyle w:val="Prrafodelista"/>
        <w:spacing w:after="0" w:line="276" w:lineRule="auto"/>
        <w:ind w:left="1068"/>
        <w:jc w:val="both"/>
        <w:rPr>
          <w:rFonts w:ascii="Lucida Sans Unicode" w:hAnsi="Lucida Sans Unicode" w:cs="Lucida Sans Unicode"/>
          <w:sz w:val="20"/>
          <w:szCs w:val="20"/>
          <w:u w:val="single"/>
          <w:lang w:val="es-ES"/>
        </w:rPr>
      </w:pPr>
    </w:p>
    <w:p w14:paraId="1F406FC9" w14:textId="11080474" w:rsidR="00FA479E" w:rsidRDefault="00AE7ABE" w:rsidP="00FA479E">
      <w:pPr>
        <w:pStyle w:val="Prrafodelista"/>
        <w:numPr>
          <w:ilvl w:val="0"/>
          <w:numId w:val="2"/>
        </w:numPr>
        <w:spacing w:after="0" w:line="276" w:lineRule="auto"/>
        <w:rPr>
          <w:rFonts w:ascii="Lucida Sans Unicode" w:hAnsi="Lucida Sans Unicode" w:cs="Lucida Sans Unicode"/>
          <w:sz w:val="20"/>
          <w:szCs w:val="20"/>
          <w:u w:val="single"/>
          <w:lang w:val="es-ES"/>
        </w:rPr>
      </w:pPr>
      <w:r>
        <w:rPr>
          <w:rFonts w:ascii="Lucida Sans Unicode" w:hAnsi="Lucida Sans Unicode" w:cs="Lucida Sans Unicode"/>
          <w:sz w:val="20"/>
          <w:szCs w:val="20"/>
          <w:u w:val="single"/>
          <w:lang w:val="es-ES"/>
        </w:rPr>
        <w:t>A</w:t>
      </w:r>
      <w:r w:rsidR="00FA479E" w:rsidRPr="00FA479E">
        <w:rPr>
          <w:rFonts w:ascii="Lucida Sans Unicode" w:hAnsi="Lucida Sans Unicode" w:cs="Lucida Sans Unicode"/>
          <w:sz w:val="20"/>
          <w:szCs w:val="20"/>
          <w:u w:val="single"/>
          <w:lang w:val="es-ES"/>
        </w:rPr>
        <w:t>cciones durante la realización de las operaciones</w:t>
      </w:r>
    </w:p>
    <w:p w14:paraId="0FAA4F69" w14:textId="77777777" w:rsidR="000A1E97" w:rsidRPr="00FA479E" w:rsidRDefault="000A1E97" w:rsidP="000A1E97">
      <w:pPr>
        <w:pStyle w:val="Prrafodelista"/>
        <w:spacing w:after="0" w:line="276" w:lineRule="auto"/>
        <w:ind w:left="360"/>
        <w:rPr>
          <w:rFonts w:ascii="Lucida Sans Unicode" w:hAnsi="Lucida Sans Unicode" w:cs="Lucida Sans Unicode"/>
          <w:sz w:val="20"/>
          <w:szCs w:val="20"/>
          <w:u w:val="single"/>
          <w:lang w:val="es-ES"/>
        </w:rPr>
      </w:pPr>
    </w:p>
    <w:p w14:paraId="65AF5AC5" w14:textId="7B9F899D" w:rsidR="00FA479E" w:rsidRDefault="00FA479E" w:rsidP="00FA479E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>Supervisar que las adquisiciones, arrendamiento</w:t>
      </w:r>
      <w:r w:rsidR="00AE7ABE">
        <w:rPr>
          <w:rFonts w:ascii="Lucida Sans Unicode" w:hAnsi="Lucida Sans Unicode" w:cs="Lucida Sans Unicode"/>
          <w:sz w:val="20"/>
          <w:szCs w:val="20"/>
          <w:lang w:val="es-ES"/>
        </w:rPr>
        <w:t>s</w:t>
      </w: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 xml:space="preserve"> y servicios que solicitan las diferentes áreas, se apeguen y cumplan con lo establecido en la normatividad aplicable</w:t>
      </w:r>
      <w:r w:rsidR="003035B0">
        <w:rPr>
          <w:rFonts w:ascii="Lucida Sans Unicode" w:hAnsi="Lucida Sans Unicode" w:cs="Lucida Sans Unicode"/>
          <w:sz w:val="20"/>
          <w:szCs w:val="20"/>
          <w:lang w:val="es-ES"/>
        </w:rPr>
        <w:t>;</w:t>
      </w:r>
    </w:p>
    <w:p w14:paraId="1F32B7EE" w14:textId="1E99C51A" w:rsidR="002124CB" w:rsidRDefault="00FA479E" w:rsidP="00FA479E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 xml:space="preserve">Coordinar con cada área requirente de bienes y servicios, el seguimiento necesario para el cumplimiento de las obligaciones </w:t>
      </w:r>
      <w:r w:rsidR="002124CB">
        <w:rPr>
          <w:rFonts w:ascii="Lucida Sans Unicode" w:hAnsi="Lucida Sans Unicode" w:cs="Lucida Sans Unicode"/>
          <w:sz w:val="20"/>
          <w:szCs w:val="20"/>
          <w:lang w:val="es-ES"/>
        </w:rPr>
        <w:t xml:space="preserve">contractuales con los </w:t>
      </w:r>
      <w:r w:rsidR="002124CB" w:rsidRPr="00FA479E">
        <w:rPr>
          <w:rFonts w:ascii="Lucida Sans Unicode" w:hAnsi="Lucida Sans Unicode" w:cs="Lucida Sans Unicode"/>
          <w:sz w:val="20"/>
          <w:szCs w:val="20"/>
          <w:lang w:val="es-ES"/>
        </w:rPr>
        <w:t>proveedores</w:t>
      </w:r>
      <w:r w:rsidR="002124CB">
        <w:rPr>
          <w:rFonts w:ascii="Lucida Sans Unicode" w:hAnsi="Lucida Sans Unicode" w:cs="Lucida Sans Unicode"/>
          <w:sz w:val="20"/>
          <w:szCs w:val="20"/>
          <w:lang w:val="es-ES"/>
        </w:rPr>
        <w:t xml:space="preserve">, derivada de una </w:t>
      </w:r>
      <w:r w:rsidR="00AE7ABE">
        <w:rPr>
          <w:rFonts w:ascii="Lucida Sans Unicode" w:hAnsi="Lucida Sans Unicode" w:cs="Lucida Sans Unicode"/>
          <w:sz w:val="20"/>
          <w:szCs w:val="20"/>
          <w:lang w:val="es-ES"/>
        </w:rPr>
        <w:t>adquisición</w:t>
      </w:r>
      <w:r w:rsidR="002124CB" w:rsidRPr="00FA479E">
        <w:rPr>
          <w:rFonts w:ascii="Lucida Sans Unicode" w:hAnsi="Lucida Sans Unicode" w:cs="Lucida Sans Unicode"/>
          <w:sz w:val="20"/>
          <w:szCs w:val="20"/>
          <w:lang w:val="es-ES"/>
        </w:rPr>
        <w:t xml:space="preserve">, </w:t>
      </w:r>
      <w:r w:rsidR="00AE7ABE">
        <w:rPr>
          <w:rFonts w:ascii="Lucida Sans Unicode" w:hAnsi="Lucida Sans Unicode" w:cs="Lucida Sans Unicode"/>
          <w:sz w:val="20"/>
          <w:szCs w:val="20"/>
          <w:lang w:val="es-ES"/>
        </w:rPr>
        <w:t>arrendamiento</w:t>
      </w:r>
      <w:r w:rsidR="002124CB" w:rsidRPr="00FA479E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AE7ABE">
        <w:rPr>
          <w:rFonts w:ascii="Lucida Sans Unicode" w:hAnsi="Lucida Sans Unicode" w:cs="Lucida Sans Unicode"/>
          <w:sz w:val="20"/>
          <w:szCs w:val="20"/>
          <w:lang w:val="es-ES"/>
        </w:rPr>
        <w:t>o</w:t>
      </w:r>
      <w:r w:rsidR="002124CB" w:rsidRPr="00FA479E">
        <w:rPr>
          <w:rFonts w:ascii="Lucida Sans Unicode" w:hAnsi="Lucida Sans Unicode" w:cs="Lucida Sans Unicode"/>
          <w:sz w:val="20"/>
          <w:szCs w:val="20"/>
          <w:lang w:val="es-ES"/>
        </w:rPr>
        <w:t xml:space="preserve"> servicio</w:t>
      </w:r>
      <w:r w:rsidR="00AE7ABE">
        <w:rPr>
          <w:rFonts w:ascii="Lucida Sans Unicode" w:hAnsi="Lucida Sans Unicode" w:cs="Lucida Sans Unicode"/>
          <w:sz w:val="20"/>
          <w:szCs w:val="20"/>
          <w:lang w:val="es-ES"/>
        </w:rPr>
        <w:t>;</w:t>
      </w:r>
    </w:p>
    <w:p w14:paraId="78C3EF33" w14:textId="61A2864D" w:rsidR="00FA479E" w:rsidRDefault="00FA479E" w:rsidP="00FA479E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>Verificar que los bienes y servicios cumplan con las especificaciones técnicas establecidas para cada caso</w:t>
      </w:r>
      <w:r w:rsidR="003035B0">
        <w:rPr>
          <w:rFonts w:ascii="Lucida Sans Unicode" w:hAnsi="Lucida Sans Unicode" w:cs="Lucida Sans Unicode"/>
          <w:sz w:val="20"/>
          <w:szCs w:val="20"/>
          <w:lang w:val="es-ES"/>
        </w:rPr>
        <w:t>; y</w:t>
      </w:r>
    </w:p>
    <w:p w14:paraId="094B256D" w14:textId="18DD3195" w:rsidR="00FA479E" w:rsidRPr="00FA479E" w:rsidRDefault="00FA479E" w:rsidP="00FA479E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FA479E">
        <w:rPr>
          <w:rFonts w:ascii="Lucida Sans Unicode" w:hAnsi="Lucida Sans Unicode" w:cs="Lucida Sans Unicode"/>
          <w:sz w:val="20"/>
          <w:szCs w:val="20"/>
          <w:lang w:val="es-ES"/>
        </w:rPr>
        <w:t>Verificar el control y seguimiento del ejercicio presupuestal correspondiente.</w:t>
      </w:r>
    </w:p>
    <w:p w14:paraId="22E77B46" w14:textId="77777777" w:rsidR="00FA479E" w:rsidRPr="00FA479E" w:rsidRDefault="00FA479E" w:rsidP="00FA479E">
      <w:pPr>
        <w:pStyle w:val="Prrafodelista"/>
        <w:spacing w:line="276" w:lineRule="auto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570FA82" w14:textId="54DD4D1F" w:rsidR="00FA479E" w:rsidRPr="003035B0" w:rsidRDefault="00AE7ABE" w:rsidP="00FA479E">
      <w:pPr>
        <w:pStyle w:val="Prrafodelista"/>
        <w:numPr>
          <w:ilvl w:val="0"/>
          <w:numId w:val="2"/>
        </w:numPr>
        <w:spacing w:after="0" w:line="276" w:lineRule="auto"/>
        <w:rPr>
          <w:rFonts w:ascii="Lucida Sans Unicode" w:hAnsi="Lucida Sans Unicode" w:cs="Lucida Sans Unicode"/>
          <w:sz w:val="20"/>
          <w:szCs w:val="20"/>
          <w:u w:val="single"/>
          <w:lang w:val="es-ES"/>
        </w:rPr>
      </w:pPr>
      <w:r>
        <w:rPr>
          <w:rFonts w:ascii="Lucida Sans Unicode" w:hAnsi="Lucida Sans Unicode" w:cs="Lucida Sans Unicode"/>
          <w:sz w:val="20"/>
          <w:szCs w:val="20"/>
          <w:u w:val="single"/>
          <w:lang w:val="es-ES"/>
        </w:rPr>
        <w:t>A</w:t>
      </w:r>
      <w:r w:rsidR="00FA479E" w:rsidRPr="003035B0">
        <w:rPr>
          <w:rFonts w:ascii="Lucida Sans Unicode" w:hAnsi="Lucida Sans Unicode" w:cs="Lucida Sans Unicode"/>
          <w:sz w:val="20"/>
          <w:szCs w:val="20"/>
          <w:u w:val="single"/>
          <w:lang w:val="es-ES"/>
        </w:rPr>
        <w:t xml:space="preserve">cciones posteriores a la realización de las operaciones </w:t>
      </w:r>
    </w:p>
    <w:p w14:paraId="553533F2" w14:textId="77777777" w:rsidR="003035B0" w:rsidRPr="00FA479E" w:rsidRDefault="003035B0" w:rsidP="003035B0">
      <w:pPr>
        <w:pStyle w:val="Prrafodelista"/>
        <w:spacing w:after="0" w:line="276" w:lineRule="auto"/>
        <w:ind w:left="360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BCD3E65" w14:textId="6D2FF7DD" w:rsidR="002124CB" w:rsidRDefault="00FA479E" w:rsidP="002124CB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2124CB">
        <w:rPr>
          <w:rFonts w:ascii="Lucida Sans Unicode" w:hAnsi="Lucida Sans Unicode" w:cs="Lucida Sans Unicode"/>
          <w:sz w:val="20"/>
          <w:szCs w:val="20"/>
          <w:lang w:val="es-ES"/>
        </w:rPr>
        <w:t>Realizar las adecuaciones</w:t>
      </w:r>
      <w:r w:rsidR="002124CB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Pr="002124CB">
        <w:rPr>
          <w:rFonts w:ascii="Lucida Sans Unicode" w:hAnsi="Lucida Sans Unicode" w:cs="Lucida Sans Unicode"/>
          <w:sz w:val="20"/>
          <w:szCs w:val="20"/>
          <w:lang w:val="es-ES"/>
        </w:rPr>
        <w:t>al</w:t>
      </w:r>
      <w:r w:rsidR="002124CB">
        <w:rPr>
          <w:rFonts w:ascii="Lucida Sans Unicode" w:hAnsi="Lucida Sans Unicode" w:cs="Lucida Sans Unicode"/>
          <w:sz w:val="20"/>
          <w:szCs w:val="20"/>
          <w:lang w:val="es-ES"/>
        </w:rPr>
        <w:t xml:space="preserve"> PAAAS</w:t>
      </w:r>
      <w:r w:rsidRPr="002124CB">
        <w:rPr>
          <w:rFonts w:ascii="Lucida Sans Unicode" w:hAnsi="Lucida Sans Unicode" w:cs="Lucida Sans Unicode"/>
          <w:sz w:val="20"/>
          <w:szCs w:val="20"/>
          <w:lang w:val="es-ES"/>
        </w:rPr>
        <w:t>, derivadas de las necesidades del ejercicio del gasto,</w:t>
      </w:r>
      <w:r w:rsidR="00E170CF">
        <w:rPr>
          <w:rFonts w:ascii="Lucida Sans Unicode" w:hAnsi="Lucida Sans Unicode" w:cs="Lucida Sans Unicode"/>
          <w:sz w:val="20"/>
          <w:szCs w:val="20"/>
          <w:lang w:val="es-ES"/>
        </w:rPr>
        <w:t xml:space="preserve"> así como para</w:t>
      </w:r>
      <w:r w:rsidRPr="002124CB">
        <w:rPr>
          <w:rFonts w:ascii="Lucida Sans Unicode" w:hAnsi="Lucida Sans Unicode" w:cs="Lucida Sans Unicode"/>
          <w:sz w:val="20"/>
          <w:szCs w:val="20"/>
          <w:lang w:val="es-ES"/>
        </w:rPr>
        <w:t xml:space="preserve"> el logro de los objetivos y metas institucionales</w:t>
      </w:r>
      <w:r w:rsidR="002124CB">
        <w:rPr>
          <w:rFonts w:ascii="Lucida Sans Unicode" w:hAnsi="Lucida Sans Unicode" w:cs="Lucida Sans Unicode"/>
          <w:sz w:val="20"/>
          <w:szCs w:val="20"/>
          <w:lang w:val="es-ES"/>
        </w:rPr>
        <w:t xml:space="preserve">; y </w:t>
      </w:r>
    </w:p>
    <w:p w14:paraId="7F7EF2FF" w14:textId="2B541932" w:rsidR="00FA479E" w:rsidRDefault="00FA479E" w:rsidP="003912D6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2124CB">
        <w:rPr>
          <w:rFonts w:ascii="Lucida Sans Unicode" w:hAnsi="Lucida Sans Unicode" w:cs="Lucida Sans Unicode"/>
          <w:sz w:val="20"/>
          <w:szCs w:val="20"/>
          <w:lang w:val="es-ES"/>
        </w:rPr>
        <w:t>Supervisar el ejercicio presupuestal, de conformidad a los contratos que resulten de los procesos licitatorios efectuados.</w:t>
      </w:r>
    </w:p>
    <w:p w14:paraId="0B6C89BD" w14:textId="77777777" w:rsidR="003912D6" w:rsidRDefault="003912D6" w:rsidP="003912D6">
      <w:pPr>
        <w:pStyle w:val="Prrafodelista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374DF25" w14:textId="4D0C622A" w:rsidR="003912D6" w:rsidRPr="003912D6" w:rsidRDefault="003912D6" w:rsidP="003912D6">
      <w:pPr>
        <w:spacing w:after="0" w:line="276" w:lineRule="auto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3912D6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>II. Los objetivos y metas a corto, mediano y largo plazo</w:t>
      </w:r>
    </w:p>
    <w:p w14:paraId="15A16C1B" w14:textId="77777777" w:rsidR="003912D6" w:rsidRPr="003912D6" w:rsidRDefault="003912D6" w:rsidP="003912D6">
      <w:pPr>
        <w:spacing w:after="0" w:line="276" w:lineRule="auto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CBCFD3B" w14:textId="77777777" w:rsidR="003912D6" w:rsidRPr="003912D6" w:rsidRDefault="003912D6" w:rsidP="003912D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u w:val="single"/>
          <w:lang w:val="es-ES"/>
        </w:rPr>
      </w:pPr>
      <w:r w:rsidRPr="003912D6">
        <w:rPr>
          <w:rFonts w:ascii="Lucida Sans Unicode" w:hAnsi="Lucida Sans Unicode" w:cs="Lucida Sans Unicode"/>
          <w:sz w:val="20"/>
          <w:szCs w:val="20"/>
          <w:u w:val="single"/>
          <w:lang w:val="es-ES"/>
        </w:rPr>
        <w:t>El Instituto tiene por objetivos estratégicos:</w:t>
      </w:r>
    </w:p>
    <w:p w14:paraId="294BADD5" w14:textId="77777777" w:rsidR="003912D6" w:rsidRPr="003912D6" w:rsidRDefault="003912D6" w:rsidP="003912D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CE6E001" w14:textId="77777777" w:rsidR="003912D6" w:rsidRDefault="003912D6" w:rsidP="003912D6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3912D6">
        <w:rPr>
          <w:rFonts w:ascii="Lucida Sans Unicode" w:hAnsi="Lucida Sans Unicode" w:cs="Lucida Sans Unicode"/>
          <w:sz w:val="20"/>
          <w:szCs w:val="20"/>
          <w:lang w:val="es-ES"/>
        </w:rPr>
        <w:t>Propiciar espacios de profesionalización, diálogo, colaboración y sinergia entre el IEPC, las organizaciones de la sociedad civil, el Sistema de Participación Ciudadana y la ciudadanía;</w:t>
      </w:r>
    </w:p>
    <w:p w14:paraId="5E2FA512" w14:textId="77777777" w:rsidR="0069188B" w:rsidRDefault="0069188B" w:rsidP="0069188B">
      <w:pPr>
        <w:pStyle w:val="Prrafodelista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85CFDAC" w14:textId="1B7049C0" w:rsidR="003912D6" w:rsidRDefault="003912D6" w:rsidP="003912D6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>Vigilar</w:t>
      </w:r>
      <w:r w:rsidR="36EDC45A" w:rsidRPr="7DDBD4ED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 en el ámbito electoral</w:t>
      </w:r>
      <w:r w:rsidR="23DE2652" w:rsidRPr="7DDBD4ED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 el cumplimiento de derechos de organización y participación política de los ciudadanos. Atender de manera prioritaria grupos con derechos históricamente vulnerados: personas </w:t>
      </w:r>
      <w:r w:rsidR="00CF615E">
        <w:rPr>
          <w:rFonts w:ascii="Lucida Sans Unicode" w:hAnsi="Lucida Sans Unicode" w:cs="Lucida Sans Unicode"/>
          <w:sz w:val="20"/>
          <w:szCs w:val="20"/>
          <w:lang w:val="es-ES"/>
        </w:rPr>
        <w:t xml:space="preserve">en situación de 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>discapacidad, pueblos y comunidades indígenas, jaliscienses en el extranjero y personas trans;</w:t>
      </w:r>
    </w:p>
    <w:p w14:paraId="7BF34AB0" w14:textId="77777777" w:rsidR="0069188B" w:rsidRPr="0069188B" w:rsidRDefault="0069188B" w:rsidP="0069188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017543A8" w14:textId="6C347B75" w:rsidR="003912D6" w:rsidRDefault="003912D6" w:rsidP="003912D6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>Fortalecer la cultura cívica en el sector educativo</w:t>
      </w:r>
      <w:r w:rsidR="4759360B" w:rsidRPr="7DDBD4ED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 conjuntando esfuerzos entre IEPC la SEJ para la divulgación de contenidos en materia de cultura de la legalidad y formación cívica y ética, a través de metodologías de aprendizajes y material didáctico en los que se promueva una cultura política</w:t>
      </w:r>
      <w:r w:rsidR="30BB6F71" w:rsidRPr="7DDBD4ED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 sustentada en la tolerancia, la democracia, la identidad nacional y el pluralismo;</w:t>
      </w:r>
    </w:p>
    <w:p w14:paraId="5FCB828A" w14:textId="77777777" w:rsidR="0069188B" w:rsidRPr="0069188B" w:rsidRDefault="0069188B" w:rsidP="0069188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F7EC7F4" w14:textId="77777777" w:rsidR="003912D6" w:rsidRDefault="003912D6" w:rsidP="003912D6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>Generar reflexión y conocimiento crítico sobre los procesos, instituciones, agentes y normas que impactan en las decisiones políticas de la vida pública, que promuevan e impulsen la ciudadanía a ejercer valores y prácticas democráticas en espacios públicos y privados, manteniendo, además vigente y vigorosa nuestra producción editorial y actualizando los conocimientos de los servidores del Instituto mediante su capacitación permanente;</w:t>
      </w:r>
    </w:p>
    <w:p w14:paraId="40F7DC78" w14:textId="77777777" w:rsidR="0069188B" w:rsidRPr="0069188B" w:rsidRDefault="0069188B" w:rsidP="0069188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F91459E" w14:textId="77777777" w:rsidR="003912D6" w:rsidRDefault="003912D6" w:rsidP="003912D6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>Participar del ejercicio de la función electoral, en la forma y términos que determina la Constitución Política de los Estados Unidos Mexicanos, la Constitución del Estado, la Ley General y demás leyes aplicables, así como ejercer las funciones en la materia que le conceden las mismas y explorar permanentemente el avance tecnológico para su aplicación;</w:t>
      </w:r>
    </w:p>
    <w:p w14:paraId="280395DF" w14:textId="77777777" w:rsidR="0069188B" w:rsidRPr="0069188B" w:rsidRDefault="0069188B" w:rsidP="0069188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8F74D2D" w14:textId="77777777" w:rsidR="003912D6" w:rsidRDefault="003912D6" w:rsidP="003912D6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>Organizar, desarrollar, computar y declarar los resultados de los mecanismos de participación ciudadana y popular que sean competencia del Instituto conforme a la ley de la materia, derivado de un análisis minucioso de la legislación; y</w:t>
      </w:r>
    </w:p>
    <w:p w14:paraId="78DEFB1C" w14:textId="77777777" w:rsidR="0069188B" w:rsidRPr="0069188B" w:rsidRDefault="0069188B" w:rsidP="0069188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787C6472" w14:textId="345E1924" w:rsidR="003912D6" w:rsidRPr="003912D6" w:rsidRDefault="003912D6" w:rsidP="00226718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3912D6">
        <w:rPr>
          <w:rFonts w:ascii="Lucida Sans Unicode" w:hAnsi="Lucida Sans Unicode" w:cs="Lucida Sans Unicode"/>
          <w:sz w:val="20"/>
          <w:szCs w:val="20"/>
          <w:lang w:val="es-ES"/>
        </w:rPr>
        <w:lastRenderedPageBreak/>
        <w:t>Realizar, en su ámbito de competencia, todas las actividades tendientes a fin de que los jaliscienses residentes en el extranjero puedan ejercer su derecho al voto.</w:t>
      </w:r>
    </w:p>
    <w:p w14:paraId="31D1C04E" w14:textId="77777777" w:rsidR="00226718" w:rsidRDefault="00226718" w:rsidP="00226718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D561464" w14:textId="570BD442" w:rsidR="003912D6" w:rsidRDefault="003912D6" w:rsidP="00226718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Para el ejercicio fiscal del año dos mil veinticuatro, </w:t>
      </w:r>
      <w:r w:rsidR="0069188B"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fueron aprobadas las metas institucionales, </w:t>
      </w:r>
      <w:r w:rsidR="00AE7ABE" w:rsidRPr="7DDBD4ED">
        <w:rPr>
          <w:rFonts w:ascii="Lucida Sans Unicode" w:hAnsi="Lucida Sans Unicode" w:cs="Lucida Sans Unicode"/>
          <w:sz w:val="20"/>
          <w:szCs w:val="20"/>
          <w:lang w:val="es-ES"/>
        </w:rPr>
        <w:t>mediante</w:t>
      </w:r>
      <w:r w:rsidR="0069188B"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 acuerdos identificados con clave alfanumérica IEPC-ACG-045/202</w:t>
      </w:r>
      <w:r w:rsidR="00A020AF" w:rsidRPr="7DDBD4ED">
        <w:rPr>
          <w:rFonts w:ascii="Lucida Sans Unicode" w:hAnsi="Lucida Sans Unicode" w:cs="Lucida Sans Unicode"/>
          <w:sz w:val="20"/>
          <w:szCs w:val="20"/>
          <w:lang w:val="es-ES"/>
        </w:rPr>
        <w:t>3</w:t>
      </w:r>
      <w:r w:rsidR="0069188B"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327594">
        <w:rPr>
          <w:rFonts w:ascii="Lucida Sans Unicode" w:hAnsi="Lucida Sans Unicode" w:cs="Lucida Sans Unicode"/>
          <w:sz w:val="20"/>
          <w:szCs w:val="20"/>
          <w:lang w:val="es-ES"/>
        </w:rPr>
        <w:t xml:space="preserve">e </w:t>
      </w:r>
      <w:r w:rsidR="0069188B" w:rsidRPr="7DDBD4ED">
        <w:rPr>
          <w:rFonts w:ascii="Lucida Sans Unicode" w:hAnsi="Lucida Sans Unicode" w:cs="Lucida Sans Unicode"/>
          <w:sz w:val="20"/>
          <w:szCs w:val="20"/>
          <w:lang w:val="es-ES"/>
        </w:rPr>
        <w:t>IEPC-ACG-046/202</w:t>
      </w:r>
      <w:r w:rsidR="00A020AF" w:rsidRPr="7DDBD4ED">
        <w:rPr>
          <w:rFonts w:ascii="Lucida Sans Unicode" w:hAnsi="Lucida Sans Unicode" w:cs="Lucida Sans Unicode"/>
          <w:sz w:val="20"/>
          <w:szCs w:val="20"/>
          <w:lang w:val="es-ES"/>
        </w:rPr>
        <w:t>3</w:t>
      </w:r>
      <w:r w:rsidR="0069188B"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, de fecha ocho de agosto del año dos mil veintitrés, mismos que pueden ser consultados en el sitio web de este Instituto, </w:t>
      </w:r>
      <w:r w:rsidR="00327594">
        <w:rPr>
          <w:rFonts w:ascii="Lucida Sans Unicode" w:hAnsi="Lucida Sans Unicode" w:cs="Lucida Sans Unicode"/>
          <w:sz w:val="20"/>
          <w:szCs w:val="20"/>
          <w:lang w:val="es-ES"/>
        </w:rPr>
        <w:t>consultable en las siguientes ligas</w:t>
      </w:r>
      <w:r w:rsidR="0069188B"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</w:p>
    <w:p w14:paraId="6819CC42" w14:textId="77777777" w:rsidR="003912D6" w:rsidRDefault="003912D6" w:rsidP="003912D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C5BE4E6" w14:textId="1C69447E" w:rsidR="00A020AF" w:rsidRDefault="00A020AF" w:rsidP="003912D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3912D6">
        <w:rPr>
          <w:rFonts w:ascii="Lucida Sans Unicode" w:hAnsi="Lucida Sans Unicode" w:cs="Lucida Sans Unicode"/>
          <w:sz w:val="20"/>
          <w:szCs w:val="20"/>
          <w:lang w:val="es-ES"/>
        </w:rPr>
        <w:t>IEPC-ACG-045/202</w:t>
      </w:r>
      <w:r>
        <w:rPr>
          <w:rFonts w:ascii="Lucida Sans Unicode" w:hAnsi="Lucida Sans Unicode" w:cs="Lucida Sans Unicode"/>
          <w:sz w:val="20"/>
          <w:szCs w:val="20"/>
          <w:lang w:val="es-ES"/>
        </w:rPr>
        <w:t>3</w:t>
      </w:r>
    </w:p>
    <w:p w14:paraId="50B558C4" w14:textId="396BFE7E" w:rsidR="00A020AF" w:rsidRPr="00A020AF" w:rsidRDefault="00401B8F" w:rsidP="003912D6">
      <w:pPr>
        <w:spacing w:after="0" w:line="276" w:lineRule="auto"/>
        <w:jc w:val="both"/>
        <w:rPr>
          <w:rFonts w:ascii="Lucida Sans Unicode" w:hAnsi="Lucida Sans Unicode" w:cs="Lucida Sans Unicode"/>
          <w:sz w:val="18"/>
          <w:szCs w:val="18"/>
          <w:lang w:val="es-ES"/>
        </w:rPr>
      </w:pPr>
      <w:hyperlink r:id="rId8" w:history="1">
        <w:r w:rsidR="00A020AF" w:rsidRPr="00A020AF">
          <w:rPr>
            <w:rStyle w:val="Hipervnculo"/>
            <w:rFonts w:ascii="Lucida Sans Unicode" w:hAnsi="Lucida Sans Unicode" w:cs="Lucida Sans Unicode"/>
            <w:sz w:val="18"/>
            <w:szCs w:val="18"/>
            <w:lang w:val="es-ES"/>
          </w:rPr>
          <w:t>https://www.iepcjalisco.org.mx/sites/default/files/sesiones-de-consejo/consejo%20general/2023-08-08/9iepc-acg-045-2023.pdf</w:t>
        </w:r>
      </w:hyperlink>
    </w:p>
    <w:p w14:paraId="71CAD3E1" w14:textId="77777777" w:rsidR="00A020AF" w:rsidRDefault="00A020AF" w:rsidP="003912D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162C505" w14:textId="252D3D17" w:rsidR="00A020AF" w:rsidRDefault="00A020AF" w:rsidP="003912D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3912D6">
        <w:rPr>
          <w:rFonts w:ascii="Lucida Sans Unicode" w:hAnsi="Lucida Sans Unicode" w:cs="Lucida Sans Unicode"/>
          <w:sz w:val="20"/>
          <w:szCs w:val="20"/>
          <w:lang w:val="es-ES"/>
        </w:rPr>
        <w:t>IEPC-ACG-046/202</w:t>
      </w:r>
      <w:r>
        <w:rPr>
          <w:rFonts w:ascii="Lucida Sans Unicode" w:hAnsi="Lucida Sans Unicode" w:cs="Lucida Sans Unicode"/>
          <w:sz w:val="20"/>
          <w:szCs w:val="20"/>
          <w:lang w:val="es-ES"/>
        </w:rPr>
        <w:t>3</w:t>
      </w:r>
    </w:p>
    <w:p w14:paraId="6D015713" w14:textId="040562E3" w:rsidR="003912D6" w:rsidRPr="00A020AF" w:rsidRDefault="00401B8F" w:rsidP="003912D6">
      <w:pPr>
        <w:spacing w:after="0" w:line="276" w:lineRule="auto"/>
        <w:jc w:val="both"/>
        <w:rPr>
          <w:rFonts w:ascii="Lucida Sans Unicode" w:hAnsi="Lucida Sans Unicode" w:cs="Lucida Sans Unicode"/>
          <w:sz w:val="18"/>
          <w:szCs w:val="18"/>
          <w:lang w:val="es-ES"/>
        </w:rPr>
      </w:pPr>
      <w:hyperlink r:id="rId9" w:history="1">
        <w:r w:rsidR="00A020AF" w:rsidRPr="00A020AF">
          <w:rPr>
            <w:rStyle w:val="Hipervnculo"/>
            <w:rFonts w:ascii="Lucida Sans Unicode" w:hAnsi="Lucida Sans Unicode" w:cs="Lucida Sans Unicode"/>
            <w:sz w:val="18"/>
            <w:szCs w:val="18"/>
            <w:lang w:val="es-ES"/>
          </w:rPr>
          <w:t>https://www.iepcjalisco.org.mx/sites/default/files/sesiones-de-consejo/consejo%20general/2023-08-08/10iepc-acg-046-2023.pdf</w:t>
        </w:r>
      </w:hyperlink>
    </w:p>
    <w:p w14:paraId="044907A7" w14:textId="77777777" w:rsidR="00A020AF" w:rsidRDefault="00A020AF" w:rsidP="003912D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7D589EF5" w14:textId="38E30048" w:rsidR="00A020AF" w:rsidRPr="00A020AF" w:rsidRDefault="00A020AF" w:rsidP="00A020AF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A020AF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>III. La calendarización física y financiera de los recursos necesarios</w:t>
      </w:r>
    </w:p>
    <w:p w14:paraId="4BD72406" w14:textId="77777777" w:rsidR="00A020AF" w:rsidRPr="00A020AF" w:rsidRDefault="00A020AF" w:rsidP="00A020AF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7D61B9D8" w14:textId="53C16959" w:rsidR="00A020AF" w:rsidRDefault="00A020AF" w:rsidP="00A020AF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La siguiente información, se encuentra en el </w:t>
      </w:r>
      <w:r w:rsidRPr="7DDBD4ED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ANEXO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 que forma parte integral del presente programa.</w:t>
      </w:r>
    </w:p>
    <w:p w14:paraId="39EC581B" w14:textId="77777777" w:rsidR="00A020AF" w:rsidRDefault="00A020AF" w:rsidP="00A020AF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7F9AB5A9" w14:textId="0F7B3F87" w:rsidR="00A020AF" w:rsidRPr="00A020AF" w:rsidRDefault="00A020AF" w:rsidP="00A020AF">
      <w:pPr>
        <w:spacing w:after="0" w:line="276" w:lineRule="auto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A020AF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>IV. Las unidades responsables de su instrumentación</w:t>
      </w:r>
    </w:p>
    <w:p w14:paraId="6D3815A5" w14:textId="77777777" w:rsidR="00A020AF" w:rsidRPr="00A020AF" w:rsidRDefault="00A020AF" w:rsidP="00A020AF">
      <w:pPr>
        <w:spacing w:after="0" w:line="276" w:lineRule="auto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BA34185" w14:textId="77777777" w:rsidR="00A020AF" w:rsidRDefault="00A020AF" w:rsidP="00A020AF">
      <w:pPr>
        <w:spacing w:after="0" w:line="276" w:lineRule="auto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020AF">
        <w:rPr>
          <w:rFonts w:ascii="Lucida Sans Unicode" w:hAnsi="Lucida Sans Unicode" w:cs="Lucida Sans Unicode"/>
          <w:sz w:val="20"/>
          <w:szCs w:val="20"/>
          <w:lang w:val="es-ES"/>
        </w:rPr>
        <w:t xml:space="preserve">Las unidades responsables de su instrumentación son: </w:t>
      </w:r>
    </w:p>
    <w:p w14:paraId="462AAB66" w14:textId="77777777" w:rsidR="00A020AF" w:rsidRDefault="00A020AF" w:rsidP="00A020AF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115586A" w14:textId="2EC13C15" w:rsidR="00A020AF" w:rsidRPr="00A020AF" w:rsidRDefault="00A020AF" w:rsidP="00A020AF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020AF">
        <w:rPr>
          <w:rFonts w:ascii="Lucida Sans Unicode" w:hAnsi="Lucida Sans Unicode" w:cs="Lucida Sans Unicode"/>
          <w:sz w:val="20"/>
          <w:szCs w:val="20"/>
          <w:lang w:val="es-ES"/>
        </w:rPr>
        <w:t>El Comité de Adquisiciones y Enajenaciones del Instituto;</w:t>
      </w:r>
    </w:p>
    <w:p w14:paraId="0AEDD731" w14:textId="0759B5A9" w:rsidR="00A020AF" w:rsidRPr="00A020AF" w:rsidRDefault="00A020AF" w:rsidP="00A020AF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 xml:space="preserve">La Unidad Centralizada de Compras, </w:t>
      </w:r>
      <w:proofErr w:type="gramStart"/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>que</w:t>
      </w:r>
      <w:proofErr w:type="gramEnd"/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 xml:space="preserve"> para el caso</w:t>
      </w:r>
      <w:r w:rsidR="00AD562F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 xml:space="preserve"> es la Dirección Ejecutiva de Administración e Innovación del Instituto;</w:t>
      </w:r>
    </w:p>
    <w:p w14:paraId="61652FDE" w14:textId="0640CD67" w:rsidR="00A020AF" w:rsidRPr="00A020AF" w:rsidRDefault="00A020AF" w:rsidP="00A020AF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020AF">
        <w:rPr>
          <w:rFonts w:ascii="Lucida Sans Unicode" w:hAnsi="Lucida Sans Unicode" w:cs="Lucida Sans Unicode"/>
          <w:sz w:val="20"/>
          <w:szCs w:val="20"/>
          <w:lang w:val="es-ES"/>
        </w:rPr>
        <w:t>La Coordinación de Recursos Materiales del Instituto; y</w:t>
      </w:r>
    </w:p>
    <w:p w14:paraId="01EA32EA" w14:textId="2ECFDF91" w:rsidR="00A020AF" w:rsidRPr="00A020AF" w:rsidRDefault="00A020AF" w:rsidP="00A020AF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020AF">
        <w:rPr>
          <w:rFonts w:ascii="Lucida Sans Unicode" w:hAnsi="Lucida Sans Unicode" w:cs="Lucida Sans Unicode"/>
          <w:sz w:val="20"/>
          <w:szCs w:val="20"/>
          <w:lang w:val="es-ES"/>
        </w:rPr>
        <w:t xml:space="preserve">Las demás direcciones o áreas </w:t>
      </w:r>
      <w:r>
        <w:rPr>
          <w:rFonts w:ascii="Lucida Sans Unicode" w:hAnsi="Lucida Sans Unicode" w:cs="Lucida Sans Unicode"/>
          <w:sz w:val="20"/>
          <w:szCs w:val="20"/>
          <w:lang w:val="es-ES"/>
        </w:rPr>
        <w:t xml:space="preserve">responsables </w:t>
      </w:r>
      <w:r w:rsidRPr="00A020AF">
        <w:rPr>
          <w:rFonts w:ascii="Lucida Sans Unicode" w:hAnsi="Lucida Sans Unicode" w:cs="Lucida Sans Unicode"/>
          <w:sz w:val="20"/>
          <w:szCs w:val="20"/>
          <w:lang w:val="es-ES"/>
        </w:rPr>
        <w:t>del Instituto</w:t>
      </w:r>
      <w:r>
        <w:rPr>
          <w:rFonts w:ascii="Lucida Sans Unicode" w:hAnsi="Lucida Sans Unicode" w:cs="Lucida Sans Unicode"/>
          <w:sz w:val="20"/>
          <w:szCs w:val="20"/>
          <w:lang w:val="es-ES"/>
        </w:rPr>
        <w:t xml:space="preserve"> que necesiten un bien o servicio</w:t>
      </w:r>
      <w:r w:rsidRPr="00A020AF">
        <w:rPr>
          <w:rFonts w:ascii="Lucida Sans Unicode" w:hAnsi="Lucida Sans Unicode" w:cs="Lucida Sans Unicode"/>
          <w:sz w:val="20"/>
          <w:szCs w:val="20"/>
          <w:lang w:val="es-ES"/>
        </w:rPr>
        <w:t xml:space="preserve">, como áreas requirentes. </w:t>
      </w:r>
    </w:p>
    <w:p w14:paraId="12BBB060" w14:textId="77777777" w:rsidR="00A020AF" w:rsidRDefault="00A020AF" w:rsidP="00A020AF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0FD9E358" w14:textId="1E7C4EBE" w:rsidR="00A6480F" w:rsidRPr="00A6480F" w:rsidRDefault="00A6480F" w:rsidP="00A6480F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75BD7D3E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lastRenderedPageBreak/>
        <w:t>V. La información provista por el Sistema Electrónico de Compras Gubernamentales (SECG) como un insumo para determinar los precios máximos de referencia</w:t>
      </w:r>
    </w:p>
    <w:p w14:paraId="34F35C9E" w14:textId="77777777" w:rsidR="00A6480F" w:rsidRPr="00A6480F" w:rsidRDefault="00A6480F" w:rsidP="00A6480F">
      <w:pPr>
        <w:spacing w:after="0" w:line="276" w:lineRule="auto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</w:p>
    <w:p w14:paraId="7734F555" w14:textId="1D6FB480" w:rsidR="00A6480F" w:rsidRPr="00A6480F" w:rsidRDefault="00A6480F" w:rsidP="00A6480F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 xml:space="preserve">Las áreas requirentes deberán </w:t>
      </w:r>
      <w:r w:rsidR="00A960BD" w:rsidRPr="75BD7D3E">
        <w:rPr>
          <w:rFonts w:ascii="Lucida Sans Unicode" w:hAnsi="Lucida Sans Unicode" w:cs="Lucida Sans Unicode"/>
          <w:sz w:val="20"/>
          <w:szCs w:val="20"/>
          <w:lang w:val="es-ES"/>
        </w:rPr>
        <w:t>realizar</w:t>
      </w: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 xml:space="preserve"> las investigaciones de mercado necesarias para llevar a cabo la adquisición de bienes y contratación de servicios, describiendo los precios máximos de referencia, de conformidad con lo establecido en el artículo 13, </w:t>
      </w:r>
      <w:r w:rsidR="008075A3">
        <w:rPr>
          <w:rFonts w:ascii="Lucida Sans Unicode" w:hAnsi="Lucida Sans Unicode" w:cs="Lucida Sans Unicode"/>
          <w:sz w:val="20"/>
          <w:szCs w:val="20"/>
          <w:lang w:val="es-ES"/>
        </w:rPr>
        <w:t xml:space="preserve">numeral 1, </w:t>
      </w: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 xml:space="preserve">fracción IV de la Ley de Compras Gubernamentales, Enajenaciones y Contratación de Servicios del Estado de Jalisco y sus Municipios, </w:t>
      </w:r>
      <w:r w:rsidR="008075A3">
        <w:rPr>
          <w:rFonts w:ascii="Lucida Sans Unicode" w:hAnsi="Lucida Sans Unicode" w:cs="Lucida Sans Unicode"/>
          <w:sz w:val="20"/>
          <w:szCs w:val="20"/>
          <w:lang w:val="es-ES"/>
        </w:rPr>
        <w:t xml:space="preserve">en relación con lo previsto en el </w:t>
      </w: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 xml:space="preserve">artículo 13, </w:t>
      </w:r>
      <w:r w:rsidR="008075A3">
        <w:rPr>
          <w:rFonts w:ascii="Lucida Sans Unicode" w:hAnsi="Lucida Sans Unicode" w:cs="Lucida Sans Unicode"/>
          <w:sz w:val="20"/>
          <w:szCs w:val="20"/>
          <w:lang w:val="es-ES"/>
        </w:rPr>
        <w:t xml:space="preserve">párrafo 4, </w:t>
      </w: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>numeral 1, fracción V del Reglamento Interior del Comité de Adquisiciones y Enajenaciones del Instituto Electoral y de Participación Ciudadana del Estado de Jalisco y demás órganos participantes en los procesos de adquisición y enajenación.</w:t>
      </w:r>
    </w:p>
    <w:p w14:paraId="6B9DD875" w14:textId="77777777" w:rsidR="00A6480F" w:rsidRDefault="00A6480F" w:rsidP="00A020AF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7129E86E" w14:textId="3E685593" w:rsidR="00A960BD" w:rsidRPr="00A960BD" w:rsidRDefault="00A960BD" w:rsidP="00A960BD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75BD7D3E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>VI. Sus programas sustantivos, de apoyo administrativo y de inversiones, así como, en su caso, aquéllos relativos a la adquisición de bienes para su posterior comercialización, incluyendo los que habrán de sujetarse a procesos productivos</w:t>
      </w:r>
    </w:p>
    <w:p w14:paraId="6FC6BAB8" w14:textId="77777777" w:rsidR="00A960BD" w:rsidRPr="00A960BD" w:rsidRDefault="00A960BD" w:rsidP="00A960BD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DA0963F" w14:textId="35F6214D" w:rsidR="00A960BD" w:rsidRDefault="00A960BD" w:rsidP="00A960BD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960BD">
        <w:rPr>
          <w:rFonts w:ascii="Lucida Sans Unicode" w:hAnsi="Lucida Sans Unicode" w:cs="Lucida Sans Unicode"/>
          <w:sz w:val="20"/>
          <w:szCs w:val="20"/>
          <w:lang w:val="es-ES"/>
        </w:rPr>
        <w:t>No aplica</w:t>
      </w:r>
    </w:p>
    <w:p w14:paraId="7E79E5AB" w14:textId="77777777" w:rsidR="00010B1E" w:rsidRDefault="00010B1E" w:rsidP="00A960BD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2850406" w14:textId="19E233B8" w:rsidR="00010B1E" w:rsidRP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010B1E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>VII. La existencia en cantidad suficiente de los bienes; los plazos estimados de suministro; los avances tecnológicos incorporados en los bienes, y en su caso los planos, proyectos y especificaciones</w:t>
      </w:r>
    </w:p>
    <w:p w14:paraId="03F8397E" w14:textId="77777777" w:rsidR="00010B1E" w:rsidRP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4C24C0C" w14:textId="1972A0F9" w:rsidR="00010B1E" w:rsidRPr="00010B1E" w:rsidRDefault="00010B1E" w:rsidP="00010B1E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010B1E">
        <w:rPr>
          <w:rFonts w:ascii="Lucida Sans Unicode" w:hAnsi="Lucida Sans Unicode" w:cs="Lucida Sans Unicode"/>
          <w:sz w:val="20"/>
          <w:szCs w:val="20"/>
          <w:lang w:val="es-ES"/>
        </w:rPr>
        <w:t xml:space="preserve">Para la existencia en cantidad suficiente de los bienes, el Instituto llevará a cabo un análisis de los bienes </w:t>
      </w:r>
      <w:r w:rsidR="00AE7ABE">
        <w:rPr>
          <w:rFonts w:ascii="Lucida Sans Unicode" w:hAnsi="Lucida Sans Unicode" w:cs="Lucida Sans Unicode"/>
          <w:sz w:val="20"/>
          <w:szCs w:val="20"/>
          <w:lang w:val="es-ES"/>
        </w:rPr>
        <w:t>con los que cuenta</w:t>
      </w:r>
      <w:r w:rsidRPr="00010B1E">
        <w:rPr>
          <w:rFonts w:ascii="Lucida Sans Unicode" w:hAnsi="Lucida Sans Unicode" w:cs="Lucida Sans Unicode"/>
          <w:sz w:val="20"/>
          <w:szCs w:val="20"/>
          <w:lang w:val="es-ES"/>
        </w:rPr>
        <w:t xml:space="preserve"> en almacén o bodega, a efecto de que únicamente se adquieran y suministren los bienes indispensables y necesarios para la operación de cada área, de acuerdo con la identificación de patrones de consumo.</w:t>
      </w:r>
    </w:p>
    <w:p w14:paraId="0CEC47D2" w14:textId="0B00ACF6" w:rsidR="00010B1E" w:rsidRPr="00010B1E" w:rsidRDefault="00010B1E" w:rsidP="00010B1E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010B1E">
        <w:rPr>
          <w:rFonts w:ascii="Lucida Sans Unicode" w:hAnsi="Lucida Sans Unicode" w:cs="Lucida Sans Unicode"/>
          <w:sz w:val="20"/>
          <w:szCs w:val="20"/>
          <w:lang w:val="es-ES"/>
        </w:rPr>
        <w:t>Para los plazos estimados de suministros, las áreas requirentes son las encargadas de establecer y dar seguimientos a los plazos de entrega y suministro de los bienes y servicios requeridos, así como plasmar su satisfacción de la entrega.</w:t>
      </w:r>
    </w:p>
    <w:p w14:paraId="57B610C8" w14:textId="29F1FE39" w:rsidR="00010B1E" w:rsidRDefault="00010B1E" w:rsidP="00010B1E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010B1E">
        <w:rPr>
          <w:rFonts w:ascii="Lucida Sans Unicode" w:hAnsi="Lucida Sans Unicode" w:cs="Lucida Sans Unicode"/>
          <w:sz w:val="20"/>
          <w:szCs w:val="20"/>
          <w:lang w:val="es-ES"/>
        </w:rPr>
        <w:t>Para la incorporación de los avances tecnológicos, el Instituto buscará implementar el desarrollo de tecnologías con el objetivo de economizar los recursos y proteger el medio ambiente.</w:t>
      </w:r>
    </w:p>
    <w:p w14:paraId="3590CDB3" w14:textId="77777777" w:rsid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0ED4DBA" w14:textId="6CD6849B" w:rsidR="00010B1E" w:rsidRP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010B1E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lastRenderedPageBreak/>
        <w:t>VIII. Las normas aplicables conforme a la Ley Federal sobre Metrología y Normalización o, a falta de éstas, las normas internacionales</w:t>
      </w:r>
    </w:p>
    <w:p w14:paraId="4ACBA73F" w14:textId="77777777" w:rsidR="00010B1E" w:rsidRP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5F02C2DE" w14:textId="01DBEB17" w:rsid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010B1E">
        <w:rPr>
          <w:rFonts w:ascii="Lucida Sans Unicode" w:hAnsi="Lucida Sans Unicode" w:cs="Lucida Sans Unicode"/>
          <w:sz w:val="20"/>
          <w:szCs w:val="20"/>
          <w:lang w:val="es-ES"/>
        </w:rPr>
        <w:t>No aplica</w:t>
      </w:r>
    </w:p>
    <w:p w14:paraId="236BF272" w14:textId="77777777" w:rsid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E1ABCF9" w14:textId="3B33C471" w:rsidR="00010B1E" w:rsidRP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010B1E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>IX. Los requerimientos de mantenimiento de los bienes muebles a su cargo</w:t>
      </w:r>
    </w:p>
    <w:p w14:paraId="12D08B94" w14:textId="77777777" w:rsidR="00010B1E" w:rsidRP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5876EA0" w14:textId="4E0086B0" w:rsidR="00010B1E" w:rsidRP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Para los requerimientos de mantenimiento de los </w:t>
      </w:r>
      <w:r w:rsidR="00D71CB4" w:rsidRPr="7DDBD4ED">
        <w:rPr>
          <w:rFonts w:ascii="Lucida Sans Unicode" w:hAnsi="Lucida Sans Unicode" w:cs="Lucida Sans Unicode"/>
          <w:sz w:val="20"/>
          <w:szCs w:val="20"/>
          <w:lang w:val="es-ES"/>
        </w:rPr>
        <w:t>bienes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 muebles del Instituto, se considera para el ejercicio fiscal dos mil veinticuatro</w:t>
      </w:r>
      <w:r w:rsidR="62460A8A" w:rsidRPr="7DDBD4ED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 lo</w:t>
      </w:r>
      <w:r w:rsidR="00503B04">
        <w:rPr>
          <w:rFonts w:ascii="Lucida Sans Unicode" w:hAnsi="Lucida Sans Unicode" w:cs="Lucida Sans Unicode"/>
          <w:sz w:val="20"/>
          <w:szCs w:val="20"/>
          <w:lang w:val="es-ES"/>
        </w:rPr>
        <w:t>s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 siguientes:</w:t>
      </w:r>
    </w:p>
    <w:p w14:paraId="17ABE35E" w14:textId="77777777" w:rsidR="00010B1E" w:rsidRP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383E4E90" w14:textId="09797315" w:rsidR="00010B1E" w:rsidRPr="00010B1E" w:rsidRDefault="00010B1E" w:rsidP="00010B1E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>Mantenimiento preventivo al parque vehicular</w:t>
      </w:r>
      <w:r w:rsidR="22454E64" w:rsidRPr="7DDBD4ED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 cuando menos una vez al año;</w:t>
      </w:r>
    </w:p>
    <w:p w14:paraId="4958B3BE" w14:textId="58F81CA2" w:rsidR="00010B1E" w:rsidRPr="00010B1E" w:rsidRDefault="00010B1E" w:rsidP="00010B1E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010B1E">
        <w:rPr>
          <w:rFonts w:ascii="Lucida Sans Unicode" w:hAnsi="Lucida Sans Unicode" w:cs="Lucida Sans Unicode"/>
          <w:sz w:val="20"/>
          <w:szCs w:val="20"/>
          <w:lang w:val="es-ES"/>
        </w:rPr>
        <w:t>Mantenimiento preventivo al equipo informático y SITE, cuando menos una vez al año</w:t>
      </w:r>
      <w:r>
        <w:rPr>
          <w:rFonts w:ascii="Lucida Sans Unicode" w:hAnsi="Lucida Sans Unicode" w:cs="Lucida Sans Unicode"/>
          <w:sz w:val="20"/>
          <w:szCs w:val="20"/>
          <w:lang w:val="es-ES"/>
        </w:rPr>
        <w:t>; y</w:t>
      </w:r>
    </w:p>
    <w:p w14:paraId="7299C9C9" w14:textId="642986A1" w:rsidR="00010B1E" w:rsidRDefault="00010B1E" w:rsidP="00010B1E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Mantenimiento al </w:t>
      </w:r>
      <w:r w:rsidR="00503B04">
        <w:rPr>
          <w:rFonts w:ascii="Lucida Sans Unicode" w:hAnsi="Lucida Sans Unicode" w:cs="Lucida Sans Unicode"/>
          <w:sz w:val="20"/>
          <w:szCs w:val="20"/>
          <w:lang w:val="es-ES"/>
        </w:rPr>
        <w:t>e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>quipo de oficina conforme sea requerido.</w:t>
      </w:r>
    </w:p>
    <w:p w14:paraId="65A7566E" w14:textId="77777777" w:rsid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3487A6FB" w14:textId="7AD7CD26" w:rsidR="00010B1E" w:rsidRP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010B1E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>X. En las adquisiciones, arrendamientos y servicios, cuya vigencia rebase un ejercicio presupuestario, los entes deberán determinar tanto el presupuesto total como el relativo a los ejercicios de que se trate; en la formulación de los presupuestos de los ejercicios subsecuentes se considerarán los costos que, en su momento, se encuentren vigentes, y se dará prioridad a las previsiones para el cumplimiento de las obligaciones contraídas en ejercicios anteriores</w:t>
      </w:r>
    </w:p>
    <w:p w14:paraId="531DCA1E" w14:textId="77777777" w:rsidR="00010B1E" w:rsidRP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70AB212" w14:textId="46054E98" w:rsidR="00010B1E" w:rsidRP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>Para el año</w:t>
      </w:r>
      <w:r w:rsidR="00B767DB"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 xml:space="preserve">dos mil veinticuatro, no se pretenden realizar adquisiciones y contratación de servicios que su vigencia rebasen el ejercicio presupuestario. Se exceptúa de la anterior disposición, </w:t>
      </w:r>
      <w:r w:rsidR="00185F39">
        <w:rPr>
          <w:rFonts w:ascii="Lucida Sans Unicode" w:hAnsi="Lucida Sans Unicode" w:cs="Lucida Sans Unicode"/>
          <w:sz w:val="20"/>
          <w:szCs w:val="20"/>
          <w:lang w:val="es-ES"/>
        </w:rPr>
        <w:t>la contratación de arrendamiento de los inmuebles, cuando por necesidades propias del Instituto se requiera que supere el ejercicio fiscal del dos mil veinticuatro</w:t>
      </w:r>
      <w:r w:rsidRPr="7DDBD4ED">
        <w:rPr>
          <w:rFonts w:ascii="Lucida Sans Unicode" w:hAnsi="Lucida Sans Unicode" w:cs="Lucida Sans Unicode"/>
          <w:sz w:val="20"/>
          <w:szCs w:val="20"/>
          <w:lang w:val="es-ES"/>
        </w:rPr>
        <w:t>.</w:t>
      </w:r>
    </w:p>
    <w:p w14:paraId="7B38BE9D" w14:textId="77777777" w:rsid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E0FC9D2" w14:textId="5AF82345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B767DB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>XI. Los resultados de los indicadores de desempeño del ejercicio anterior</w:t>
      </w:r>
    </w:p>
    <w:p w14:paraId="2EBE5B66" w14:textId="77777777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57C5374A" w14:textId="6EAB5825" w:rsid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t xml:space="preserve">La información correspondiente a los resultados de los indicadores de desempeño del ejercicio anterior, se encuentran publicados en el sitio web de este Instituto, </w:t>
      </w:r>
      <w:r w:rsidR="00462051">
        <w:rPr>
          <w:rFonts w:ascii="Lucida Sans Unicode" w:hAnsi="Lucida Sans Unicode" w:cs="Lucida Sans Unicode"/>
          <w:sz w:val="20"/>
          <w:szCs w:val="20"/>
          <w:lang w:val="es-ES"/>
        </w:rPr>
        <w:t xml:space="preserve">en la sección de transparencia, dentro del apartado de información fundamental correspondiente al </w:t>
      </w:r>
      <w:r w:rsidR="00462051">
        <w:rPr>
          <w:rFonts w:ascii="Lucida Sans Unicode" w:hAnsi="Lucida Sans Unicode" w:cs="Lucida Sans Unicode"/>
          <w:sz w:val="20"/>
          <w:szCs w:val="20"/>
          <w:lang w:val="es-ES"/>
        </w:rPr>
        <w:lastRenderedPageBreak/>
        <w:t>artículo 8, fracción IV, inciso h),</w:t>
      </w:r>
      <w:r w:rsidR="00462051" w:rsidRPr="00B767DB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t xml:space="preserve">dentro de la siguiente liga: </w:t>
      </w:r>
      <w:hyperlink r:id="rId10" w:anchor="IV" w:history="1">
        <w:r w:rsidRPr="00B0419A">
          <w:rPr>
            <w:rStyle w:val="Hipervnculo"/>
            <w:rFonts w:ascii="Lucida Sans Unicode" w:hAnsi="Lucida Sans Unicode" w:cs="Lucida Sans Unicode"/>
            <w:sz w:val="20"/>
            <w:szCs w:val="20"/>
            <w:lang w:val="es-ES"/>
          </w:rPr>
          <w:t>https://www.iepcjalisco.org.mx/transparencia2/articulo-8.php#IV</w:t>
        </w:r>
      </w:hyperlink>
    </w:p>
    <w:p w14:paraId="2F410DBF" w14:textId="77777777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3E6E68D" w14:textId="77777777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0C2792CE" w14:textId="7C6E02BA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B767DB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>XII. Las demás previsiones que deban tomarse en cuenta según la naturaleza y características de las adquisiciones, arrendamientos o servicios</w:t>
      </w:r>
    </w:p>
    <w:p w14:paraId="6537ABAC" w14:textId="77777777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512DE44C" w14:textId="23C1C039" w:rsid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t>No aplica</w:t>
      </w:r>
    </w:p>
    <w:p w14:paraId="5567F1EE" w14:textId="77777777" w:rsidR="00010B1E" w:rsidRDefault="00010B1E" w:rsidP="00010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3E41A747" w14:textId="5EE74ED8" w:rsidR="00B767DB" w:rsidRDefault="00B767DB" w:rsidP="00010B1E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7DDBD4ED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 xml:space="preserve">MONTOS ESTABLECIDOS PARA LOS PROCEDIMIENTOS DE ADQUISICIONES DE BIENES, ARRENDAMIENTOS Y CONTRATACIÓN DE SERVICIOS SUJETOS A LICITACIÓN PÚBLICA PARA EL EJERCICIO FISCAL DOS MIL VEINTICUATRO </w:t>
      </w:r>
    </w:p>
    <w:p w14:paraId="68014CC5" w14:textId="0BEE5F64" w:rsidR="00B767DB" w:rsidRDefault="00B767DB" w:rsidP="00010B1E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</w:p>
    <w:tbl>
      <w:tblPr>
        <w:tblStyle w:val="TableNormal"/>
        <w:tblW w:w="8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01"/>
        <w:gridCol w:w="1815"/>
        <w:gridCol w:w="1631"/>
        <w:gridCol w:w="1262"/>
        <w:gridCol w:w="1061"/>
      </w:tblGrid>
      <w:tr w:rsidR="008A5C41" w14:paraId="2FF86E5F" w14:textId="77777777" w:rsidTr="00AE3004">
        <w:trPr>
          <w:trHeight w:val="1518"/>
          <w:jc w:val="center"/>
        </w:trPr>
        <w:tc>
          <w:tcPr>
            <w:tcW w:w="8826" w:type="dxa"/>
            <w:gridSpan w:val="6"/>
            <w:tcBorders>
              <w:right w:val="single" w:sz="6" w:space="0" w:color="000000"/>
            </w:tcBorders>
          </w:tcPr>
          <w:p w14:paraId="73963F18" w14:textId="77777777" w:rsidR="008A5C41" w:rsidRDefault="008A5C41" w:rsidP="00AE3004">
            <w:pPr>
              <w:pStyle w:val="TableParagraph"/>
              <w:spacing w:before="0"/>
              <w:rPr>
                <w:rFonts w:ascii="Times New Roman"/>
                <w:sz w:val="13"/>
              </w:rPr>
            </w:pPr>
          </w:p>
          <w:p w14:paraId="65FF5E3F" w14:textId="77777777" w:rsidR="008A5C41" w:rsidRDefault="008A5C41" w:rsidP="00AE3004">
            <w:pPr>
              <w:pStyle w:val="TableParagraph"/>
              <w:spacing w:before="66"/>
              <w:rPr>
                <w:rFonts w:ascii="Times New Roman"/>
                <w:sz w:val="13"/>
              </w:rPr>
            </w:pPr>
          </w:p>
          <w:p w14:paraId="10CF91B3" w14:textId="77777777" w:rsidR="008A5C41" w:rsidRDefault="008A5C41" w:rsidP="00AE3004">
            <w:pPr>
              <w:pStyle w:val="TableParagraph"/>
              <w:spacing w:before="1"/>
              <w:ind w:left="1636"/>
              <w:rPr>
                <w:b/>
                <w:sz w:val="13"/>
              </w:rPr>
            </w:pPr>
            <w:r>
              <w:rPr>
                <w:b/>
                <w:color w:val="008B8E"/>
                <w:w w:val="105"/>
                <w:sz w:val="13"/>
              </w:rPr>
              <w:t>INSTITUTO</w:t>
            </w:r>
            <w:r>
              <w:rPr>
                <w:b/>
                <w:color w:val="008B8E"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color w:val="008B8E"/>
                <w:w w:val="105"/>
                <w:sz w:val="13"/>
              </w:rPr>
              <w:t>ELECTORAL</w:t>
            </w:r>
            <w:r>
              <w:rPr>
                <w:b/>
                <w:color w:val="008B8E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8B8E"/>
                <w:w w:val="105"/>
                <w:sz w:val="13"/>
              </w:rPr>
              <w:t>Y</w:t>
            </w:r>
            <w:r>
              <w:rPr>
                <w:b/>
                <w:color w:val="008B8E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8B8E"/>
                <w:w w:val="105"/>
                <w:sz w:val="13"/>
              </w:rPr>
              <w:t>DE</w:t>
            </w:r>
            <w:r>
              <w:rPr>
                <w:b/>
                <w:color w:val="008B8E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008B8E"/>
                <w:w w:val="105"/>
                <w:sz w:val="13"/>
              </w:rPr>
              <w:t>PARTICIPACIÓN CIUDADANA DEL</w:t>
            </w:r>
            <w:r>
              <w:rPr>
                <w:b/>
                <w:color w:val="008B8E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8B8E"/>
                <w:w w:val="105"/>
                <w:sz w:val="13"/>
              </w:rPr>
              <w:t>ESTADO</w:t>
            </w:r>
            <w:r>
              <w:rPr>
                <w:b/>
                <w:color w:val="008B8E"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color w:val="008B8E"/>
                <w:w w:val="105"/>
                <w:sz w:val="13"/>
              </w:rPr>
              <w:t>DE</w:t>
            </w:r>
            <w:r>
              <w:rPr>
                <w:b/>
                <w:color w:val="008B8E"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color w:val="008B8E"/>
                <w:spacing w:val="-2"/>
                <w:w w:val="105"/>
                <w:sz w:val="13"/>
              </w:rPr>
              <w:t>JALISCO</w:t>
            </w:r>
          </w:p>
          <w:p w14:paraId="06152858" w14:textId="77777777" w:rsidR="008A5C41" w:rsidRDefault="008A5C41" w:rsidP="00AE3004">
            <w:pPr>
              <w:pStyle w:val="TableParagraph"/>
              <w:spacing w:before="32"/>
              <w:rPr>
                <w:rFonts w:ascii="Times New Roman"/>
                <w:sz w:val="13"/>
              </w:rPr>
            </w:pPr>
          </w:p>
          <w:p w14:paraId="74B960CD" w14:textId="77777777" w:rsidR="008A5C41" w:rsidRDefault="008A5C41" w:rsidP="00AE3004">
            <w:pPr>
              <w:pStyle w:val="TableParagraph"/>
              <w:spacing w:before="1"/>
              <w:ind w:left="59"/>
              <w:rPr>
                <w:b/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1F2C52ED" wp14:editId="02760F97">
                      <wp:simplePos x="0" y="0"/>
                      <wp:positionH relativeFrom="column">
                        <wp:posOffset>176479</wp:posOffset>
                      </wp:positionH>
                      <wp:positionV relativeFrom="paragraph">
                        <wp:posOffset>-380166</wp:posOffset>
                      </wp:positionV>
                      <wp:extent cx="561975" cy="3117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1975" cy="311785"/>
                                <a:chOff x="0" y="0"/>
                                <a:chExt cx="561975" cy="311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847" cy="311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0C38CC2" id="Group 1" o:spid="_x0000_s1026" style="position:absolute;margin-left:13.9pt;margin-top:-29.95pt;width:44.25pt;height:24.55pt;z-index:251659264;mso-wrap-distance-left:0;mso-wrap-distance-right:0" coordsize="5619,31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5618;height: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8B8E"/>
                <w:w w:val="105"/>
                <w:sz w:val="13"/>
              </w:rPr>
              <w:t>Procedimientos y</w:t>
            </w:r>
            <w:r>
              <w:rPr>
                <w:b/>
                <w:color w:val="008B8E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8B8E"/>
                <w:w w:val="105"/>
                <w:sz w:val="13"/>
              </w:rPr>
              <w:t>Límites para</w:t>
            </w:r>
            <w:r>
              <w:rPr>
                <w:b/>
                <w:color w:val="008B8E"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color w:val="008B8E"/>
                <w:w w:val="105"/>
                <w:sz w:val="13"/>
              </w:rPr>
              <w:t xml:space="preserve">las </w:t>
            </w:r>
            <w:r>
              <w:rPr>
                <w:b/>
                <w:color w:val="008B8E"/>
                <w:spacing w:val="-2"/>
                <w:w w:val="105"/>
                <w:sz w:val="13"/>
              </w:rPr>
              <w:t>Adquisiciones</w:t>
            </w:r>
          </w:p>
          <w:p w14:paraId="06C39874" w14:textId="77777777" w:rsidR="008A5C41" w:rsidRDefault="008A5C41" w:rsidP="00AE3004">
            <w:pPr>
              <w:pStyle w:val="TableParagraph"/>
              <w:spacing w:before="14"/>
              <w:ind w:left="53"/>
              <w:rPr>
                <w:sz w:val="12"/>
              </w:rPr>
            </w:pPr>
            <w:r>
              <w:rPr>
                <w:sz w:val="12"/>
              </w:rPr>
              <w:t>Art.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72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 xml:space="preserve">Ley </w:t>
            </w:r>
            <w:proofErr w:type="spellStart"/>
            <w:r>
              <w:rPr>
                <w:sz w:val="12"/>
              </w:rPr>
              <w:t>CGECSEJyM</w:t>
            </w:r>
            <w:proofErr w:type="spellEnd"/>
            <w:r>
              <w:rPr>
                <w:sz w:val="12"/>
              </w:rPr>
              <w:t>;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y Art.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15 del Reglamento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Ley </w:t>
            </w:r>
            <w:proofErr w:type="spellStart"/>
            <w:r>
              <w:rPr>
                <w:spacing w:val="-2"/>
                <w:sz w:val="12"/>
              </w:rPr>
              <w:t>CGECSEJyM</w:t>
            </w:r>
            <w:proofErr w:type="spellEnd"/>
            <w:r>
              <w:rPr>
                <w:spacing w:val="-2"/>
                <w:sz w:val="12"/>
              </w:rPr>
              <w:t>*</w:t>
            </w:r>
          </w:p>
          <w:p w14:paraId="18BC56E9" w14:textId="77777777" w:rsidR="008A5C41" w:rsidRDefault="008A5C41" w:rsidP="00AE3004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14:paraId="0C5EE80A" w14:textId="77777777" w:rsidR="008A5C41" w:rsidRDefault="008A5C41" w:rsidP="00AE3004">
            <w:pPr>
              <w:pStyle w:val="TableParagraph"/>
              <w:spacing w:before="0"/>
              <w:ind w:left="53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Instituto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realizará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las adquisiciones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bienes y/o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servicios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través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los siguientes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procedimientos:</w:t>
            </w:r>
          </w:p>
        </w:tc>
      </w:tr>
      <w:tr w:rsidR="008A5C41" w14:paraId="17305F9D" w14:textId="77777777" w:rsidTr="00AE3004">
        <w:trPr>
          <w:trHeight w:val="522"/>
          <w:jc w:val="center"/>
        </w:trPr>
        <w:tc>
          <w:tcPr>
            <w:tcW w:w="3057" w:type="dxa"/>
            <w:gridSpan w:val="2"/>
          </w:tcPr>
          <w:p w14:paraId="68AF08D4" w14:textId="77777777" w:rsidR="008A5C41" w:rsidRDefault="008A5C41" w:rsidP="00AE3004">
            <w:pPr>
              <w:pStyle w:val="TableParagraph"/>
              <w:spacing w:before="102" w:line="268" w:lineRule="auto"/>
              <w:ind w:left="25"/>
              <w:rPr>
                <w:sz w:val="12"/>
              </w:rPr>
            </w:pPr>
            <w:r>
              <w:rPr>
                <w:sz w:val="12"/>
              </w:rPr>
              <w:t>I. Adquisiciones por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Unidad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Centralizada de Compras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mediante Fondo Revolvente;</w:t>
            </w:r>
          </w:p>
        </w:tc>
        <w:tc>
          <w:tcPr>
            <w:tcW w:w="1815" w:type="dxa"/>
          </w:tcPr>
          <w:p w14:paraId="1DF29073" w14:textId="77777777" w:rsidR="008A5C41" w:rsidRDefault="008A5C41" w:rsidP="00AE3004">
            <w:pPr>
              <w:pStyle w:val="TableParagraph"/>
              <w:spacing w:before="109" w:line="268" w:lineRule="auto"/>
              <w:ind w:left="26"/>
              <w:rPr>
                <w:sz w:val="12"/>
              </w:rPr>
            </w:pPr>
            <w:r>
              <w:rPr>
                <w:sz w:val="12"/>
              </w:rPr>
              <w:t>II. Licitaciones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Pública sin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concurrencia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 xml:space="preserve">del </w:t>
            </w:r>
            <w:r>
              <w:rPr>
                <w:spacing w:val="-2"/>
                <w:sz w:val="12"/>
              </w:rPr>
              <w:t>Comité;</w:t>
            </w:r>
          </w:p>
        </w:tc>
        <w:tc>
          <w:tcPr>
            <w:tcW w:w="1631" w:type="dxa"/>
          </w:tcPr>
          <w:p w14:paraId="7D9C40AC" w14:textId="77777777" w:rsidR="008A5C41" w:rsidRDefault="008A5C41" w:rsidP="00AE3004">
            <w:pPr>
              <w:pStyle w:val="TableParagraph"/>
              <w:spacing w:before="109" w:line="268" w:lineRule="auto"/>
              <w:ind w:left="26" w:right="332"/>
              <w:rPr>
                <w:sz w:val="12"/>
              </w:rPr>
            </w:pPr>
            <w:r>
              <w:rPr>
                <w:sz w:val="12"/>
              </w:rPr>
              <w:t>III. Licitación Pública Con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Concurrencia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 xml:space="preserve">del </w:t>
            </w:r>
            <w:r>
              <w:rPr>
                <w:spacing w:val="-2"/>
                <w:sz w:val="12"/>
              </w:rPr>
              <w:t>Comité;</w:t>
            </w:r>
          </w:p>
        </w:tc>
        <w:tc>
          <w:tcPr>
            <w:tcW w:w="1262" w:type="dxa"/>
          </w:tcPr>
          <w:p w14:paraId="6E6A0FD3" w14:textId="77777777" w:rsidR="008A5C41" w:rsidRDefault="008A5C41" w:rsidP="00AE3004">
            <w:pPr>
              <w:pStyle w:val="TableParagraph"/>
              <w:spacing w:before="109" w:line="268" w:lineRule="auto"/>
              <w:ind w:left="26"/>
              <w:rPr>
                <w:sz w:val="12"/>
              </w:rPr>
            </w:pPr>
            <w:r>
              <w:rPr>
                <w:sz w:val="12"/>
              </w:rPr>
              <w:t>IV.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Excepción: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Adjudicación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Directa;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 w14:paraId="75EE0FE7" w14:textId="77777777" w:rsidR="008A5C41" w:rsidRDefault="008A5C41" w:rsidP="00AE3004">
            <w:pPr>
              <w:pStyle w:val="TableParagraph"/>
              <w:spacing w:before="53"/>
              <w:rPr>
                <w:rFonts w:ascii="Times New Roman"/>
                <w:sz w:val="12"/>
              </w:rPr>
            </w:pPr>
          </w:p>
          <w:p w14:paraId="48E513AB" w14:textId="77777777" w:rsidR="008A5C41" w:rsidRDefault="008A5C41" w:rsidP="00AE3004"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V.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Especial</w:t>
            </w:r>
          </w:p>
        </w:tc>
      </w:tr>
      <w:tr w:rsidR="008A5C41" w14:paraId="48B9E2F8" w14:textId="77777777" w:rsidTr="00AE3004">
        <w:trPr>
          <w:trHeight w:val="160"/>
          <w:jc w:val="center"/>
        </w:trPr>
        <w:tc>
          <w:tcPr>
            <w:tcW w:w="3057" w:type="dxa"/>
            <w:gridSpan w:val="2"/>
          </w:tcPr>
          <w:p w14:paraId="35D0D15E" w14:textId="77777777" w:rsidR="008A5C41" w:rsidRDefault="008A5C41" w:rsidP="00AE3004">
            <w:pPr>
              <w:pStyle w:val="TableParagraph"/>
              <w:spacing w:before="13" w:line="127" w:lineRule="exact"/>
              <w:ind w:left="885"/>
              <w:rPr>
                <w:sz w:val="12"/>
              </w:rPr>
            </w:pPr>
            <w:r>
              <w:rPr>
                <w:sz w:val="12"/>
              </w:rPr>
              <w:t>Manual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Administración</w:t>
            </w:r>
          </w:p>
        </w:tc>
        <w:tc>
          <w:tcPr>
            <w:tcW w:w="1815" w:type="dxa"/>
          </w:tcPr>
          <w:p w14:paraId="26FCD9FE" w14:textId="77777777" w:rsidR="008A5C41" w:rsidRDefault="008A5C41" w:rsidP="00AE3004">
            <w:pPr>
              <w:pStyle w:val="TableParagraph"/>
              <w:spacing w:before="13" w:line="127" w:lineRule="exact"/>
              <w:ind w:left="23" w:right="2"/>
              <w:jc w:val="center"/>
              <w:rPr>
                <w:sz w:val="12"/>
              </w:rPr>
            </w:pPr>
            <w:r>
              <w:rPr>
                <w:sz w:val="12"/>
              </w:rPr>
              <w:t>Art.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72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Ley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Art.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15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Regl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Ley</w:t>
            </w:r>
          </w:p>
        </w:tc>
        <w:tc>
          <w:tcPr>
            <w:tcW w:w="1631" w:type="dxa"/>
          </w:tcPr>
          <w:p w14:paraId="4D43ACC1" w14:textId="77777777" w:rsidR="008A5C41" w:rsidRDefault="008A5C41" w:rsidP="00AE3004">
            <w:pPr>
              <w:pStyle w:val="TableParagraph"/>
              <w:spacing w:before="13" w:line="127" w:lineRule="exact"/>
              <w:ind w:left="21" w:right="24"/>
              <w:jc w:val="center"/>
              <w:rPr>
                <w:sz w:val="12"/>
              </w:rPr>
            </w:pPr>
            <w:r>
              <w:rPr>
                <w:sz w:val="12"/>
              </w:rPr>
              <w:t>Art.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Regl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Ley</w:t>
            </w:r>
          </w:p>
        </w:tc>
        <w:tc>
          <w:tcPr>
            <w:tcW w:w="1262" w:type="dxa"/>
          </w:tcPr>
          <w:p w14:paraId="38474CE5" w14:textId="77777777" w:rsidR="008A5C41" w:rsidRDefault="008A5C41" w:rsidP="00AE3004">
            <w:pPr>
              <w:pStyle w:val="TableParagraph"/>
              <w:spacing w:line="134" w:lineRule="exact"/>
              <w:ind w:left="129"/>
              <w:rPr>
                <w:sz w:val="12"/>
              </w:rPr>
            </w:pPr>
            <w:r>
              <w:rPr>
                <w:sz w:val="12"/>
              </w:rPr>
              <w:t>Artículo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73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Ley</w:t>
            </w:r>
          </w:p>
        </w:tc>
        <w:tc>
          <w:tcPr>
            <w:tcW w:w="1061" w:type="dxa"/>
            <w:vMerge w:val="restart"/>
            <w:tcBorders>
              <w:right w:val="single" w:sz="6" w:space="0" w:color="000000"/>
            </w:tcBorders>
          </w:tcPr>
          <w:p w14:paraId="225DAC6F" w14:textId="77777777" w:rsidR="008A5C41" w:rsidRDefault="008A5C41" w:rsidP="00AE3004">
            <w:pPr>
              <w:pStyle w:val="TableParagraph"/>
              <w:spacing w:before="32"/>
              <w:rPr>
                <w:rFonts w:ascii="Times New Roman"/>
                <w:sz w:val="12"/>
              </w:rPr>
            </w:pPr>
          </w:p>
          <w:p w14:paraId="7EACDD7C" w14:textId="77777777" w:rsidR="008A5C41" w:rsidRDefault="008A5C41" w:rsidP="00AE3004">
            <w:pPr>
              <w:pStyle w:val="TableParagraph"/>
              <w:spacing w:before="1" w:line="268" w:lineRule="auto"/>
              <w:ind w:left="129" w:right="109" w:firstLine="5"/>
              <w:jc w:val="center"/>
              <w:rPr>
                <w:b/>
                <w:sz w:val="12"/>
              </w:rPr>
            </w:pPr>
            <w:r>
              <w:rPr>
                <w:b/>
                <w:color w:val="008B8E"/>
                <w:sz w:val="12"/>
              </w:rPr>
              <w:t>Artículo</w:t>
            </w:r>
            <w:r>
              <w:rPr>
                <w:b/>
                <w:color w:val="008B8E"/>
                <w:spacing w:val="-7"/>
                <w:sz w:val="12"/>
              </w:rPr>
              <w:t xml:space="preserve"> </w:t>
            </w:r>
            <w:r>
              <w:rPr>
                <w:b/>
                <w:color w:val="008B8E"/>
                <w:sz w:val="12"/>
              </w:rPr>
              <w:t>20</w:t>
            </w:r>
            <w:r>
              <w:rPr>
                <w:b/>
                <w:color w:val="008B8E"/>
                <w:spacing w:val="40"/>
                <w:sz w:val="12"/>
              </w:rPr>
              <w:t xml:space="preserve"> </w:t>
            </w:r>
            <w:r>
              <w:rPr>
                <w:b/>
                <w:color w:val="008B8E"/>
                <w:sz w:val="12"/>
              </w:rPr>
              <w:t>Reglamento</w:t>
            </w:r>
            <w:r>
              <w:rPr>
                <w:b/>
                <w:color w:val="008B8E"/>
                <w:spacing w:val="-7"/>
                <w:sz w:val="12"/>
              </w:rPr>
              <w:t xml:space="preserve"> </w:t>
            </w:r>
            <w:r>
              <w:rPr>
                <w:b/>
                <w:color w:val="008B8E"/>
                <w:sz w:val="12"/>
              </w:rPr>
              <w:t>del</w:t>
            </w:r>
            <w:r>
              <w:rPr>
                <w:b/>
                <w:color w:val="008B8E"/>
                <w:spacing w:val="40"/>
                <w:sz w:val="12"/>
              </w:rPr>
              <w:t xml:space="preserve"> </w:t>
            </w:r>
            <w:r>
              <w:rPr>
                <w:b/>
                <w:color w:val="008B8E"/>
                <w:spacing w:val="-2"/>
                <w:sz w:val="12"/>
              </w:rPr>
              <w:t>Comité</w:t>
            </w:r>
          </w:p>
        </w:tc>
      </w:tr>
      <w:tr w:rsidR="008A5C41" w14:paraId="17B171C9" w14:textId="77777777" w:rsidTr="00AE3004">
        <w:trPr>
          <w:trHeight w:val="317"/>
          <w:jc w:val="center"/>
        </w:trPr>
        <w:tc>
          <w:tcPr>
            <w:tcW w:w="1556" w:type="dxa"/>
          </w:tcPr>
          <w:p w14:paraId="1E4526ED" w14:textId="77777777" w:rsidR="008A5C41" w:rsidRDefault="008A5C41" w:rsidP="00AE3004">
            <w:pPr>
              <w:pStyle w:val="TableParagraph"/>
              <w:spacing w:before="82"/>
              <w:ind w:left="20" w:right="5"/>
              <w:jc w:val="center"/>
              <w:rPr>
                <w:b/>
                <w:sz w:val="12"/>
              </w:rPr>
            </w:pPr>
            <w:r>
              <w:rPr>
                <w:b/>
                <w:color w:val="008B8E"/>
                <w:sz w:val="12"/>
              </w:rPr>
              <w:t>Fondo</w:t>
            </w:r>
            <w:r>
              <w:rPr>
                <w:b/>
                <w:color w:val="008B8E"/>
                <w:spacing w:val="9"/>
                <w:sz w:val="12"/>
              </w:rPr>
              <w:t xml:space="preserve"> </w:t>
            </w:r>
            <w:r>
              <w:rPr>
                <w:b/>
                <w:color w:val="008B8E"/>
                <w:sz w:val="12"/>
              </w:rPr>
              <w:t>Revolvente</w:t>
            </w:r>
            <w:r>
              <w:rPr>
                <w:b/>
                <w:color w:val="008B8E"/>
                <w:spacing w:val="6"/>
                <w:sz w:val="12"/>
              </w:rPr>
              <w:t xml:space="preserve"> </w:t>
            </w:r>
            <w:r>
              <w:rPr>
                <w:b/>
                <w:color w:val="008B8E"/>
                <w:sz w:val="12"/>
              </w:rPr>
              <w:t>inciso</w:t>
            </w:r>
            <w:r>
              <w:rPr>
                <w:b/>
                <w:color w:val="008B8E"/>
                <w:spacing w:val="10"/>
                <w:sz w:val="12"/>
              </w:rPr>
              <w:t xml:space="preserve"> </w:t>
            </w:r>
            <w:r>
              <w:rPr>
                <w:b/>
                <w:color w:val="008B8E"/>
                <w:spacing w:val="-5"/>
                <w:sz w:val="12"/>
              </w:rPr>
              <w:t>i)</w:t>
            </w:r>
          </w:p>
        </w:tc>
        <w:tc>
          <w:tcPr>
            <w:tcW w:w="1501" w:type="dxa"/>
          </w:tcPr>
          <w:p w14:paraId="5DF31BFA" w14:textId="77777777" w:rsidR="008A5C41" w:rsidRDefault="008A5C41" w:rsidP="00AE3004">
            <w:pPr>
              <w:pStyle w:val="TableParagraph"/>
              <w:spacing w:before="82"/>
              <w:ind w:left="22" w:right="14"/>
              <w:jc w:val="center"/>
              <w:rPr>
                <w:b/>
                <w:sz w:val="12"/>
              </w:rPr>
            </w:pPr>
            <w:r>
              <w:rPr>
                <w:b/>
                <w:color w:val="008B8E"/>
                <w:sz w:val="12"/>
              </w:rPr>
              <w:t>Fondo</w:t>
            </w:r>
            <w:r>
              <w:rPr>
                <w:b/>
                <w:color w:val="008B8E"/>
                <w:spacing w:val="9"/>
                <w:sz w:val="12"/>
              </w:rPr>
              <w:t xml:space="preserve"> </w:t>
            </w:r>
            <w:r>
              <w:rPr>
                <w:b/>
                <w:color w:val="008B8E"/>
                <w:sz w:val="12"/>
              </w:rPr>
              <w:t>Revolvente</w:t>
            </w:r>
            <w:r>
              <w:rPr>
                <w:b/>
                <w:color w:val="008B8E"/>
                <w:spacing w:val="6"/>
                <w:sz w:val="12"/>
              </w:rPr>
              <w:t xml:space="preserve"> </w:t>
            </w:r>
            <w:r>
              <w:rPr>
                <w:b/>
                <w:color w:val="008B8E"/>
                <w:sz w:val="12"/>
              </w:rPr>
              <w:t>inciso</w:t>
            </w:r>
            <w:r>
              <w:rPr>
                <w:b/>
                <w:color w:val="008B8E"/>
                <w:spacing w:val="10"/>
                <w:sz w:val="12"/>
              </w:rPr>
              <w:t xml:space="preserve"> </w:t>
            </w:r>
            <w:r>
              <w:rPr>
                <w:b/>
                <w:color w:val="008B8E"/>
                <w:spacing w:val="-5"/>
                <w:sz w:val="12"/>
              </w:rPr>
              <w:t>j)</w:t>
            </w:r>
          </w:p>
        </w:tc>
        <w:tc>
          <w:tcPr>
            <w:tcW w:w="1815" w:type="dxa"/>
          </w:tcPr>
          <w:p w14:paraId="52852368" w14:textId="77777777" w:rsidR="008A5C41" w:rsidRDefault="008A5C41" w:rsidP="00AE3004">
            <w:pPr>
              <w:pStyle w:val="TableParagraph"/>
              <w:spacing w:before="82"/>
              <w:ind w:left="23" w:right="11"/>
              <w:jc w:val="center"/>
              <w:rPr>
                <w:b/>
                <w:sz w:val="12"/>
              </w:rPr>
            </w:pPr>
            <w:r>
              <w:rPr>
                <w:b/>
                <w:color w:val="008B8E"/>
                <w:sz w:val="12"/>
              </w:rPr>
              <w:t>Sin</w:t>
            </w:r>
            <w:r>
              <w:rPr>
                <w:b/>
                <w:color w:val="008B8E"/>
                <w:spacing w:val="5"/>
                <w:sz w:val="12"/>
              </w:rPr>
              <w:t xml:space="preserve"> </w:t>
            </w:r>
            <w:r>
              <w:rPr>
                <w:b/>
                <w:color w:val="008B8E"/>
                <w:spacing w:val="-2"/>
                <w:sz w:val="12"/>
              </w:rPr>
              <w:t>Concurrencia</w:t>
            </w:r>
          </w:p>
        </w:tc>
        <w:tc>
          <w:tcPr>
            <w:tcW w:w="1631" w:type="dxa"/>
          </w:tcPr>
          <w:p w14:paraId="58AC2199" w14:textId="77777777" w:rsidR="008A5C41" w:rsidRDefault="008A5C41" w:rsidP="00AE3004">
            <w:pPr>
              <w:pStyle w:val="TableParagraph"/>
              <w:spacing w:before="82"/>
              <w:ind w:left="21" w:right="9"/>
              <w:jc w:val="center"/>
              <w:rPr>
                <w:b/>
                <w:sz w:val="12"/>
              </w:rPr>
            </w:pPr>
            <w:r>
              <w:rPr>
                <w:b/>
                <w:color w:val="008B8E"/>
                <w:sz w:val="12"/>
              </w:rPr>
              <w:t>Con</w:t>
            </w:r>
            <w:r>
              <w:rPr>
                <w:b/>
                <w:color w:val="008B8E"/>
                <w:spacing w:val="8"/>
                <w:sz w:val="12"/>
              </w:rPr>
              <w:t xml:space="preserve"> </w:t>
            </w:r>
            <w:r>
              <w:rPr>
                <w:b/>
                <w:color w:val="008B8E"/>
                <w:spacing w:val="-2"/>
                <w:sz w:val="12"/>
              </w:rPr>
              <w:t>Concurrencia</w:t>
            </w:r>
          </w:p>
        </w:tc>
        <w:tc>
          <w:tcPr>
            <w:tcW w:w="1262" w:type="dxa"/>
            <w:vMerge w:val="restart"/>
          </w:tcPr>
          <w:p w14:paraId="5E91DC19" w14:textId="77777777" w:rsidR="008A5C41" w:rsidRDefault="008A5C41" w:rsidP="00AE3004">
            <w:pPr>
              <w:pStyle w:val="TableParagraph"/>
              <w:spacing w:before="108"/>
              <w:rPr>
                <w:rFonts w:ascii="Times New Roman"/>
                <w:sz w:val="12"/>
              </w:rPr>
            </w:pPr>
          </w:p>
          <w:p w14:paraId="1CB58C0B" w14:textId="77777777" w:rsidR="008A5C41" w:rsidRDefault="008A5C41" w:rsidP="00AE3004">
            <w:pPr>
              <w:pStyle w:val="TableParagraph"/>
              <w:spacing w:before="0"/>
              <w:ind w:left="429"/>
              <w:rPr>
                <w:b/>
                <w:sz w:val="12"/>
              </w:rPr>
            </w:pPr>
            <w:r>
              <w:rPr>
                <w:b/>
                <w:color w:val="008B8E"/>
                <w:spacing w:val="-2"/>
                <w:sz w:val="12"/>
              </w:rPr>
              <w:t>Directas</w:t>
            </w:r>
          </w:p>
        </w:tc>
        <w:tc>
          <w:tcPr>
            <w:tcW w:w="1061" w:type="dxa"/>
            <w:vMerge/>
            <w:tcBorders>
              <w:top w:val="nil"/>
              <w:right w:val="single" w:sz="6" w:space="0" w:color="000000"/>
            </w:tcBorders>
          </w:tcPr>
          <w:p w14:paraId="7BCA371E" w14:textId="77777777" w:rsidR="008A5C41" w:rsidRDefault="008A5C41" w:rsidP="00AE3004">
            <w:pPr>
              <w:rPr>
                <w:sz w:val="2"/>
                <w:szCs w:val="2"/>
              </w:rPr>
            </w:pPr>
          </w:p>
        </w:tc>
      </w:tr>
      <w:tr w:rsidR="008A5C41" w14:paraId="3B613D13" w14:textId="77777777" w:rsidTr="00AE3004">
        <w:trPr>
          <w:trHeight w:val="153"/>
          <w:jc w:val="center"/>
        </w:trPr>
        <w:tc>
          <w:tcPr>
            <w:tcW w:w="1556" w:type="dxa"/>
          </w:tcPr>
          <w:p w14:paraId="0D66F77A" w14:textId="77777777" w:rsidR="008A5C41" w:rsidRDefault="008A5C41" w:rsidP="00AE3004">
            <w:pPr>
              <w:pStyle w:val="TableParagraph"/>
              <w:spacing w:line="127" w:lineRule="exact"/>
              <w:ind w:left="20" w:right="6"/>
              <w:jc w:val="center"/>
              <w:rPr>
                <w:sz w:val="12"/>
              </w:rPr>
            </w:pPr>
            <w:r>
              <w:rPr>
                <w:sz w:val="12"/>
              </w:rPr>
              <w:t>0 -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 xml:space="preserve">500 </w:t>
            </w:r>
            <w:r>
              <w:rPr>
                <w:spacing w:val="-4"/>
                <w:sz w:val="12"/>
              </w:rPr>
              <w:t>UMAS</w:t>
            </w:r>
          </w:p>
        </w:tc>
        <w:tc>
          <w:tcPr>
            <w:tcW w:w="1501" w:type="dxa"/>
          </w:tcPr>
          <w:p w14:paraId="4230B36D" w14:textId="77777777" w:rsidR="008A5C41" w:rsidRDefault="008A5C41" w:rsidP="00AE3004">
            <w:pPr>
              <w:pStyle w:val="TableParagraph"/>
              <w:spacing w:line="127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500 -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2300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UMAS</w:t>
            </w:r>
          </w:p>
        </w:tc>
        <w:tc>
          <w:tcPr>
            <w:tcW w:w="1815" w:type="dxa"/>
          </w:tcPr>
          <w:p w14:paraId="61602799" w14:textId="77777777" w:rsidR="008A5C41" w:rsidRDefault="008A5C41" w:rsidP="00AE3004">
            <w:pPr>
              <w:pStyle w:val="TableParagraph"/>
              <w:spacing w:line="127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Cálculo: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Mediana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Ppto</w:t>
            </w:r>
            <w:proofErr w:type="spellEnd"/>
            <w:r>
              <w:rPr>
                <w:spacing w:val="-2"/>
                <w:sz w:val="12"/>
              </w:rPr>
              <w:t>/25)</w:t>
            </w:r>
          </w:p>
        </w:tc>
        <w:tc>
          <w:tcPr>
            <w:tcW w:w="1631" w:type="dxa"/>
          </w:tcPr>
          <w:p w14:paraId="40DC11F7" w14:textId="77777777" w:rsidR="008A5C41" w:rsidRDefault="008A5C41" w:rsidP="00AE3004">
            <w:pPr>
              <w:pStyle w:val="TableParagraph"/>
              <w:spacing w:line="127" w:lineRule="exact"/>
              <w:ind w:left="21" w:right="5"/>
              <w:jc w:val="center"/>
              <w:rPr>
                <w:sz w:val="12"/>
              </w:rPr>
            </w:pPr>
            <w:r>
              <w:rPr>
                <w:sz w:val="12"/>
              </w:rPr>
              <w:t>Cálculo: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Mediana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Ppto</w:t>
            </w:r>
            <w:proofErr w:type="spellEnd"/>
            <w:r>
              <w:rPr>
                <w:spacing w:val="-2"/>
                <w:sz w:val="12"/>
              </w:rPr>
              <w:t>/25)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55AA1476" w14:textId="77777777" w:rsidR="008A5C41" w:rsidRDefault="008A5C41" w:rsidP="00AE3004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  <w:right w:val="single" w:sz="6" w:space="0" w:color="000000"/>
            </w:tcBorders>
          </w:tcPr>
          <w:p w14:paraId="78DFC3A3" w14:textId="77777777" w:rsidR="008A5C41" w:rsidRDefault="008A5C41" w:rsidP="00AE3004">
            <w:pPr>
              <w:rPr>
                <w:sz w:val="2"/>
                <w:szCs w:val="2"/>
              </w:rPr>
            </w:pPr>
          </w:p>
        </w:tc>
      </w:tr>
      <w:tr w:rsidR="008A5C41" w14:paraId="549C73E0" w14:textId="77777777" w:rsidTr="00AE3004">
        <w:trPr>
          <w:trHeight w:val="153"/>
          <w:jc w:val="center"/>
        </w:trPr>
        <w:tc>
          <w:tcPr>
            <w:tcW w:w="1556" w:type="dxa"/>
          </w:tcPr>
          <w:p w14:paraId="1C70DB4B" w14:textId="77777777" w:rsidR="008A5C41" w:rsidRDefault="008A5C41" w:rsidP="00AE3004">
            <w:pPr>
              <w:pStyle w:val="TableParagraph"/>
              <w:spacing w:line="12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$ 0 -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54,285.00</w:t>
            </w:r>
          </w:p>
        </w:tc>
        <w:tc>
          <w:tcPr>
            <w:tcW w:w="1501" w:type="dxa"/>
          </w:tcPr>
          <w:p w14:paraId="30999A79" w14:textId="77777777" w:rsidR="008A5C41" w:rsidRDefault="008A5C41" w:rsidP="00AE3004">
            <w:pPr>
              <w:pStyle w:val="TableParagraph"/>
              <w:spacing w:line="127" w:lineRule="exact"/>
              <w:ind w:left="22" w:right="1"/>
              <w:jc w:val="center"/>
              <w:rPr>
                <w:sz w:val="12"/>
              </w:rPr>
            </w:pPr>
            <w:r>
              <w:rPr>
                <w:sz w:val="12"/>
              </w:rPr>
              <w:t>$ 54,285.01 -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249,711.00</w:t>
            </w:r>
          </w:p>
        </w:tc>
        <w:tc>
          <w:tcPr>
            <w:tcW w:w="1815" w:type="dxa"/>
          </w:tcPr>
          <w:p w14:paraId="0FC7DFB6" w14:textId="77777777" w:rsidR="008A5C41" w:rsidRDefault="008A5C41" w:rsidP="00AE3004">
            <w:pPr>
              <w:pStyle w:val="TableParagraph"/>
              <w:spacing w:line="127" w:lineRule="exact"/>
              <w:ind w:left="23" w:right="8"/>
              <w:jc w:val="center"/>
              <w:rPr>
                <w:sz w:val="12"/>
              </w:rPr>
            </w:pPr>
            <w:r>
              <w:rPr>
                <w:sz w:val="12"/>
              </w:rPr>
              <w:t>$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249,711.01 -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15,390,518.37</w:t>
            </w:r>
          </w:p>
        </w:tc>
        <w:tc>
          <w:tcPr>
            <w:tcW w:w="1631" w:type="dxa"/>
          </w:tcPr>
          <w:p w14:paraId="01DE1519" w14:textId="77777777" w:rsidR="008A5C41" w:rsidRDefault="008A5C41" w:rsidP="00AE3004">
            <w:pPr>
              <w:pStyle w:val="TableParagraph"/>
              <w:spacing w:line="127" w:lineRule="exact"/>
              <w:ind w:left="24" w:right="3"/>
              <w:jc w:val="center"/>
              <w:rPr>
                <w:sz w:val="12"/>
              </w:rPr>
            </w:pPr>
            <w:r>
              <w:rPr>
                <w:sz w:val="12"/>
              </w:rPr>
              <w:t>$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15,390,518.38 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Adelante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3FDC1A9A" w14:textId="77777777" w:rsidR="008A5C41" w:rsidRDefault="008A5C41" w:rsidP="00AE3004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  <w:right w:val="single" w:sz="6" w:space="0" w:color="000000"/>
            </w:tcBorders>
          </w:tcPr>
          <w:p w14:paraId="79F55A77" w14:textId="77777777" w:rsidR="008A5C41" w:rsidRDefault="008A5C41" w:rsidP="00AE3004">
            <w:pPr>
              <w:rPr>
                <w:sz w:val="2"/>
                <w:szCs w:val="2"/>
              </w:rPr>
            </w:pPr>
          </w:p>
        </w:tc>
      </w:tr>
      <w:tr w:rsidR="008A5C41" w14:paraId="0099966C" w14:textId="77777777" w:rsidTr="00AE3004">
        <w:trPr>
          <w:trHeight w:val="809"/>
          <w:jc w:val="center"/>
        </w:trPr>
        <w:tc>
          <w:tcPr>
            <w:tcW w:w="8826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111640E7" w14:textId="77777777" w:rsidR="008A5C41" w:rsidRDefault="008A5C41" w:rsidP="00AE3004">
            <w:pPr>
              <w:pStyle w:val="TableParagraph"/>
              <w:spacing w:before="32"/>
              <w:rPr>
                <w:rFonts w:ascii="Times New Roman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640C965" wp14:editId="7E7AE5FE">
                      <wp:simplePos x="0" y="0"/>
                      <wp:positionH relativeFrom="page">
                        <wp:posOffset>915670</wp:posOffset>
                      </wp:positionH>
                      <wp:positionV relativeFrom="page">
                        <wp:posOffset>104775</wp:posOffset>
                      </wp:positionV>
                      <wp:extent cx="2186940" cy="213360"/>
                      <wp:effectExtent l="0" t="0" r="0" b="0"/>
                      <wp:wrapNone/>
                      <wp:docPr id="3" name="Text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86940" cy="2133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1"/>
                                    <w:gridCol w:w="1815"/>
                                  </w:tblGrid>
                                  <w:tr w:rsidR="008A5C41" w14:paraId="72B23120" w14:textId="77777777">
                                    <w:trPr>
                                      <w:trHeight w:val="153"/>
                                    </w:trPr>
                                    <w:tc>
                                      <w:tcPr>
                                        <w:tcW w:w="1501" w:type="dxa"/>
                                      </w:tcPr>
                                      <w:p w14:paraId="013B0ACE" w14:textId="77777777" w:rsidR="008A5C41" w:rsidRDefault="008A5C41">
                                        <w:pPr>
                                          <w:pStyle w:val="TableParagraph"/>
                                          <w:spacing w:before="6" w:line="127" w:lineRule="exact"/>
                                          <w:ind w:right="12"/>
                                          <w:jc w:val="right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2"/>
                                          </w:rPr>
                                          <w:t>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5" w:type="dxa"/>
                                      </w:tcPr>
                                      <w:p w14:paraId="511A22B4" w14:textId="77777777" w:rsidR="008A5C41" w:rsidRDefault="008A5C41">
                                        <w:pPr>
                                          <w:pStyle w:val="TableParagraph"/>
                                          <w:spacing w:before="6" w:line="127" w:lineRule="exact"/>
                                          <w:ind w:right="11"/>
                                          <w:jc w:val="right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2"/>
                                          </w:rPr>
                                          <w:t>$54,285.00</w:t>
                                        </w:r>
                                      </w:p>
                                    </w:tc>
                                  </w:tr>
                                  <w:tr w:rsidR="008A5C41" w14:paraId="6637A970" w14:textId="77777777">
                                    <w:trPr>
                                      <w:trHeight w:val="153"/>
                                    </w:trPr>
                                    <w:tc>
                                      <w:tcPr>
                                        <w:tcW w:w="1501" w:type="dxa"/>
                                      </w:tcPr>
                                      <w:p w14:paraId="391386D8" w14:textId="77777777" w:rsidR="008A5C41" w:rsidRDefault="008A5C41">
                                        <w:pPr>
                                          <w:pStyle w:val="TableParagraph"/>
                                          <w:spacing w:before="6" w:line="127" w:lineRule="exact"/>
                                          <w:ind w:right="12"/>
                                          <w:jc w:val="right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sz w:val="12"/>
                                          </w:rPr>
                                          <w:t>2300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5" w:type="dxa"/>
                                      </w:tcPr>
                                      <w:p w14:paraId="3D28EDCD" w14:textId="77777777" w:rsidR="008A5C41" w:rsidRDefault="008A5C41">
                                        <w:pPr>
                                          <w:pStyle w:val="TableParagraph"/>
                                          <w:spacing w:before="6" w:line="127" w:lineRule="exact"/>
                                          <w:ind w:right="11"/>
                                          <w:jc w:val="right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2"/>
                                          </w:rPr>
                                          <w:t>$249,711.00</w:t>
                                        </w:r>
                                      </w:p>
                                    </w:tc>
                                  </w:tr>
                                </w:tbl>
                                <w:p w14:paraId="006C10F9" w14:textId="77777777" w:rsidR="008A5C41" w:rsidRDefault="008A5C41" w:rsidP="008A5C41"/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40C9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" o:spid="_x0000_s1026" type="#_x0000_t202" style="position:absolute;margin-left:72.1pt;margin-top:8.25pt;width:172.2pt;height:16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1"/>
                              <w:gridCol w:w="1815"/>
                            </w:tblGrid>
                            <w:tr w:rsidR="008A5C41" w14:paraId="72B23120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013B0ACE" w14:textId="77777777" w:rsidR="008A5C41" w:rsidRDefault="008A5C41">
                                  <w:pPr>
                                    <w:pStyle w:val="TableParagraph"/>
                                    <w:spacing w:before="6" w:line="127" w:lineRule="exact"/>
                                    <w:ind w:right="1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511A22B4" w14:textId="77777777" w:rsidR="008A5C41" w:rsidRDefault="008A5C41">
                                  <w:pPr>
                                    <w:pStyle w:val="TableParagraph"/>
                                    <w:spacing w:before="6" w:line="127" w:lineRule="exact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$54,285.00</w:t>
                                  </w:r>
                                </w:p>
                              </w:tc>
                            </w:tr>
                            <w:tr w:rsidR="008A5C41" w14:paraId="6637A970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391386D8" w14:textId="77777777" w:rsidR="008A5C41" w:rsidRDefault="008A5C41">
                                  <w:pPr>
                                    <w:pStyle w:val="TableParagraph"/>
                                    <w:spacing w:before="6" w:line="127" w:lineRule="exact"/>
                                    <w:ind w:right="1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2300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3D28EDCD" w14:textId="77777777" w:rsidR="008A5C41" w:rsidRDefault="008A5C41">
                                  <w:pPr>
                                    <w:pStyle w:val="TableParagraph"/>
                                    <w:spacing w:before="6" w:line="127" w:lineRule="exact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$249,711.00</w:t>
                                  </w:r>
                                </w:p>
                              </w:tc>
                            </w:tr>
                          </w:tbl>
                          <w:p w14:paraId="006C10F9" w14:textId="77777777" w:rsidR="008A5C41" w:rsidRDefault="008A5C41" w:rsidP="008A5C4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DC4A04F" w14:textId="77777777" w:rsidR="008A5C41" w:rsidRDefault="008A5C41" w:rsidP="00AE3004">
            <w:pPr>
              <w:pStyle w:val="TableParagraph"/>
              <w:tabs>
                <w:tab w:val="left" w:pos="5219"/>
                <w:tab w:val="left" w:pos="6939"/>
              </w:tabs>
              <w:spacing w:before="0"/>
              <w:ind w:left="510"/>
              <w:rPr>
                <w:sz w:val="12"/>
              </w:rPr>
            </w:pPr>
            <w:r>
              <w:rPr>
                <w:b/>
                <w:sz w:val="12"/>
              </w:rPr>
              <w:t>UMA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2024</w:t>
            </w:r>
            <w:r>
              <w:rPr>
                <w:b/>
                <w:sz w:val="12"/>
              </w:rPr>
              <w:tab/>
            </w:r>
            <w:proofErr w:type="spellStart"/>
            <w:r>
              <w:rPr>
                <w:b/>
                <w:sz w:val="12"/>
              </w:rPr>
              <w:t>Ppto</w:t>
            </w:r>
            <w:proofErr w:type="spellEnd"/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2024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para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Compras</w:t>
            </w:r>
            <w:r>
              <w:rPr>
                <w:b/>
                <w:spacing w:val="7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$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384,762,959.33</w:t>
            </w:r>
          </w:p>
          <w:p w14:paraId="1B46A7A1" w14:textId="77777777" w:rsidR="008A5C41" w:rsidRDefault="008A5C41" w:rsidP="00AE3004">
            <w:pPr>
              <w:pStyle w:val="TableParagraph"/>
              <w:tabs>
                <w:tab w:val="left" w:pos="5983"/>
                <w:tab w:val="left" w:pos="6966"/>
              </w:tabs>
              <w:spacing w:before="18"/>
              <w:ind w:left="5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$108.57</w:t>
            </w:r>
            <w:r>
              <w:rPr>
                <w:b/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Ppto</w:t>
            </w:r>
            <w:proofErr w:type="spellEnd"/>
            <w:r>
              <w:rPr>
                <w:spacing w:val="-2"/>
                <w:sz w:val="12"/>
              </w:rPr>
              <w:t>/25*:</w:t>
            </w:r>
            <w:r>
              <w:rPr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$15,390,518.37</w:t>
            </w:r>
          </w:p>
        </w:tc>
      </w:tr>
    </w:tbl>
    <w:p w14:paraId="281F5C5F" w14:textId="77777777" w:rsidR="008A5C41" w:rsidRDefault="008A5C41" w:rsidP="00010B1E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</w:p>
    <w:p w14:paraId="6C4D3CB6" w14:textId="77777777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t>El Instituto realizará las adquisiciones de bienes y contratación de servicios a través de los siguientes procedimientos:</w:t>
      </w:r>
    </w:p>
    <w:p w14:paraId="6A1EFC10" w14:textId="77777777" w:rsidR="00B767DB" w:rsidRPr="00B767DB" w:rsidRDefault="00B767DB" w:rsidP="00B767DB">
      <w:pPr>
        <w:spacing w:after="0" w:line="276" w:lineRule="auto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1B8EC05" w14:textId="77777777" w:rsidR="00B767DB" w:rsidRDefault="00B767DB" w:rsidP="00B767DB">
      <w:pPr>
        <w:spacing w:after="0" w:line="276" w:lineRule="auto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B767DB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>Fondo Revolvente</w:t>
      </w:r>
    </w:p>
    <w:p w14:paraId="18A858E5" w14:textId="77777777" w:rsidR="00B767DB" w:rsidRPr="00B767DB" w:rsidRDefault="00B767DB" w:rsidP="00B767DB">
      <w:pPr>
        <w:spacing w:after="0" w:line="276" w:lineRule="auto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</w:p>
    <w:p w14:paraId="6E435F78" w14:textId="60C4D38B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t xml:space="preserve">Este procedimiento se realizará cuando el importe de cada operación se encuentre comprendido entre </w:t>
      </w:r>
      <w:r w:rsidR="000C7551">
        <w:rPr>
          <w:rFonts w:ascii="Lucida Sans Unicode" w:hAnsi="Lucida Sans Unicode" w:cs="Lucida Sans Unicode"/>
          <w:sz w:val="20"/>
          <w:szCs w:val="20"/>
          <w:lang w:val="es-ES"/>
        </w:rPr>
        <w:t>$</w:t>
      </w: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t xml:space="preserve">0 a </w:t>
      </w:r>
      <w:r w:rsidR="000C7551">
        <w:rPr>
          <w:rFonts w:ascii="Lucida Sans Unicode" w:hAnsi="Lucida Sans Unicode" w:cs="Lucida Sans Unicode"/>
          <w:sz w:val="20"/>
          <w:szCs w:val="20"/>
          <w:lang w:val="es-ES"/>
        </w:rPr>
        <w:t>$249,711.00</w:t>
      </w: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t xml:space="preserve"> bajo la conducción de la Unidad Centralizada de Compras, </w:t>
      </w:r>
      <w:r w:rsidR="00D71CB4">
        <w:rPr>
          <w:rFonts w:ascii="Lucida Sans Unicode" w:hAnsi="Lucida Sans Unicode" w:cs="Lucida Sans Unicode"/>
          <w:sz w:val="20"/>
          <w:szCs w:val="20"/>
          <w:lang w:val="es-ES"/>
        </w:rPr>
        <w:t>apegándose</w:t>
      </w: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t xml:space="preserve"> a lo establecido en los artículos 46 de la Ley de Compras Gubernamentales, Enajenaciones y Contratación de Servicios del Estado de Jalisco y sus </w:t>
      </w: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lastRenderedPageBreak/>
        <w:t>Municipios; 16 del Reglamento Interior del Comité de Adquisiciones y Enajenaciones del Instituto Electoral y de Participación Ciudadana del Estado de Jalisco y demás órganos participantes en los procesos de adquisición y enajenación; y el Manual de Administración del Instituto.</w:t>
      </w:r>
    </w:p>
    <w:p w14:paraId="29B26EC3" w14:textId="77777777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3D500588" w14:textId="77777777" w:rsid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0C7551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 xml:space="preserve">Licitación Pública sin Concurrencia del Comité </w:t>
      </w:r>
    </w:p>
    <w:p w14:paraId="74BEB14C" w14:textId="77777777" w:rsidR="000C7551" w:rsidRPr="000C7551" w:rsidRDefault="000C7551" w:rsidP="00B767DB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</w:p>
    <w:p w14:paraId="41F11251" w14:textId="415B7EF7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 xml:space="preserve">Este procedimiento se realizará cuando el importe de cada operación se encuentre comprendido entre </w:t>
      </w:r>
      <w:r w:rsidR="000C7551" w:rsidRPr="75BD7D3E">
        <w:rPr>
          <w:rFonts w:ascii="Lucida Sans Unicode" w:hAnsi="Lucida Sans Unicode" w:cs="Lucida Sans Unicode"/>
          <w:sz w:val="20"/>
          <w:szCs w:val="20"/>
          <w:lang w:val="es-ES"/>
        </w:rPr>
        <w:t>$249,711.01</w:t>
      </w:r>
      <w:r w:rsidR="00E410E0">
        <w:rPr>
          <w:rFonts w:ascii="Lucida Sans Unicode" w:hAnsi="Lucida Sans Unicode" w:cs="Lucida Sans Unicode"/>
          <w:sz w:val="20"/>
          <w:szCs w:val="20"/>
          <w:lang w:val="es-ES"/>
        </w:rPr>
        <w:t xml:space="preserve"> (doscientos cuarenta y nueve mil setecientos once pesos 014/100)</w:t>
      </w:r>
      <w:r w:rsidR="000C7551" w:rsidRPr="75BD7D3E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>a</w:t>
      </w:r>
      <w:r w:rsidR="000C7551" w:rsidRPr="75BD7D3E">
        <w:rPr>
          <w:rFonts w:ascii="Lucida Sans Unicode" w:hAnsi="Lucida Sans Unicode" w:cs="Lucida Sans Unicode"/>
          <w:sz w:val="20"/>
          <w:szCs w:val="20"/>
          <w:lang w:val="es-ES"/>
        </w:rPr>
        <w:t xml:space="preserve"> $15,390,518.37</w:t>
      </w:r>
      <w:r w:rsidR="00E410E0">
        <w:rPr>
          <w:rFonts w:ascii="Lucida Sans Unicode" w:hAnsi="Lucida Sans Unicode" w:cs="Lucida Sans Unicode"/>
          <w:sz w:val="20"/>
          <w:szCs w:val="20"/>
          <w:lang w:val="es-ES"/>
        </w:rPr>
        <w:t xml:space="preserve"> (</w:t>
      </w:r>
      <w:r w:rsidR="00950CD7">
        <w:rPr>
          <w:rFonts w:ascii="Lucida Sans Unicode" w:hAnsi="Lucida Sans Unicode" w:cs="Lucida Sans Unicode"/>
          <w:sz w:val="20"/>
          <w:szCs w:val="20"/>
          <w:lang w:val="es-ES"/>
        </w:rPr>
        <w:t xml:space="preserve">Quince millones trescientos noventa mil quinientos dieciocho pesos 37/100), </w:t>
      </w: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 xml:space="preserve"> bajo la conducción de la Unidad Centralizada de Compras, y de acuerdo con el procedimiento previsto en los artículos 72 de </w:t>
      </w:r>
      <w:r w:rsidR="00D71CB4" w:rsidRPr="75BD7D3E">
        <w:rPr>
          <w:rFonts w:ascii="Lucida Sans Unicode" w:hAnsi="Lucida Sans Unicode" w:cs="Lucida Sans Unicode"/>
          <w:sz w:val="20"/>
          <w:szCs w:val="20"/>
          <w:lang w:val="es-ES"/>
        </w:rPr>
        <w:t>la</w:t>
      </w: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 xml:space="preserve"> Ley de Compras Gubernamentales, Enajenaciones y Contratación de Servicios del Estado de Jalisco y sus Municipios; y 17 del Reglamento Interior del Comité de Adquisiciones y Enajenaciones del Instituto Electoral y de Participación Ciudadana del Estado de Jalisco y demás órganos participantes en los procesos de adquisición y enajenación.</w:t>
      </w:r>
    </w:p>
    <w:p w14:paraId="58587415" w14:textId="77777777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546A2E7B" w14:textId="77777777" w:rsid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0C7551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 xml:space="preserve">Licitación Pública con Concurrencia del Comité </w:t>
      </w:r>
    </w:p>
    <w:p w14:paraId="275F6DE5" w14:textId="77777777" w:rsidR="000C7551" w:rsidRPr="000C7551" w:rsidRDefault="000C7551" w:rsidP="00B767DB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</w:p>
    <w:p w14:paraId="08861142" w14:textId="276030AE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t>Este procedimiento se realizará cuando el importe de cada operación se encuentre comprendido entre</w:t>
      </w:r>
      <w:r w:rsidR="000C7551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0C7551" w:rsidRPr="000C7551">
        <w:rPr>
          <w:rFonts w:ascii="Lucida Sans Unicode" w:hAnsi="Lucida Sans Unicode" w:cs="Lucida Sans Unicode"/>
          <w:sz w:val="20"/>
          <w:szCs w:val="20"/>
          <w:lang w:val="es-ES"/>
        </w:rPr>
        <w:t>$15,390,518.3</w:t>
      </w:r>
      <w:r w:rsidR="00D71CB4">
        <w:rPr>
          <w:rFonts w:ascii="Lucida Sans Unicode" w:hAnsi="Lucida Sans Unicode" w:cs="Lucida Sans Unicode"/>
          <w:sz w:val="20"/>
          <w:szCs w:val="20"/>
          <w:lang w:val="es-ES"/>
        </w:rPr>
        <w:t>8</w:t>
      </w:r>
      <w:r w:rsidR="000C7551">
        <w:rPr>
          <w:rFonts w:ascii="Lucida Sans Unicode" w:hAnsi="Lucida Sans Unicode" w:cs="Lucida Sans Unicode"/>
          <w:sz w:val="20"/>
          <w:szCs w:val="20"/>
          <w:lang w:val="es-ES"/>
        </w:rPr>
        <w:t xml:space="preserve"> en adelante</w:t>
      </w: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t xml:space="preserve">, bajo la conducción del Comité de Adquisiciones y Enajenaciones, y de acuerdo con el procedimiento previsto en la Sección Segunda, del Capítulo II, del Título Tercero de </w:t>
      </w:r>
      <w:r w:rsidR="00D71CB4">
        <w:rPr>
          <w:rFonts w:ascii="Lucida Sans Unicode" w:hAnsi="Lucida Sans Unicode" w:cs="Lucida Sans Unicode"/>
          <w:sz w:val="20"/>
          <w:szCs w:val="20"/>
          <w:lang w:val="es-ES"/>
        </w:rPr>
        <w:t xml:space="preserve">la </w:t>
      </w: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t>Ley de Compras Gubernamentales, Enajenaciones y Contratación de Servicios del Estado de Jalisco y sus Municipios; y 18 del Reglamento Interior del Comité de Adquisiciones y Enajenaciones del Instituto Electoral y de Participación Ciudadana del Estado de Jalisco y demás órganos participantes en los procesos de adquisición y enajenación.</w:t>
      </w:r>
    </w:p>
    <w:p w14:paraId="1A50CC06" w14:textId="77777777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8AFBAC1" w14:textId="77777777" w:rsid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0C7551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 xml:space="preserve">Adjudicación Directa </w:t>
      </w:r>
    </w:p>
    <w:p w14:paraId="2AC1C68C" w14:textId="77777777" w:rsidR="000C7551" w:rsidRPr="000C7551" w:rsidRDefault="000C7551" w:rsidP="00B767DB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</w:p>
    <w:p w14:paraId="789C36E8" w14:textId="77777777" w:rsidR="00B767DB" w:rsidRPr="00B767DB" w:rsidRDefault="00B767DB" w:rsidP="00B767D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t xml:space="preserve">Este procedimiento se podrá realizar, de forma excepcional, cuando las adquisiciones de bienes, arrendamientos y contratación de servicios se encuentren comprendidas en algunas </w:t>
      </w:r>
      <w:r w:rsidRPr="00B767DB">
        <w:rPr>
          <w:rFonts w:ascii="Lucida Sans Unicode" w:hAnsi="Lucida Sans Unicode" w:cs="Lucida Sans Unicode"/>
          <w:sz w:val="20"/>
          <w:szCs w:val="20"/>
          <w:lang w:val="es-ES"/>
        </w:rPr>
        <w:lastRenderedPageBreak/>
        <w:t>de las fracciones del artículo 73, numeral 1 de la Ley de Compras Gubernamentales, Enajenaciones y Contratación de Servicios del Estado de Jalisco y sus Municipios.</w:t>
      </w:r>
    </w:p>
    <w:p w14:paraId="3EA8F5AD" w14:textId="77777777" w:rsidR="00B767DB" w:rsidRDefault="00B767DB" w:rsidP="00010B1E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</w:p>
    <w:p w14:paraId="3460B187" w14:textId="77777777" w:rsidR="000C7551" w:rsidRDefault="000C7551" w:rsidP="000C7551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  <w:r w:rsidRPr="000C7551"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  <w:t xml:space="preserve">Especial </w:t>
      </w:r>
    </w:p>
    <w:p w14:paraId="17636B75" w14:textId="77777777" w:rsidR="000C7551" w:rsidRPr="000C7551" w:rsidRDefault="000C7551" w:rsidP="000C7551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  <w:lang w:val="es-ES"/>
        </w:rPr>
      </w:pPr>
    </w:p>
    <w:p w14:paraId="1C34846F" w14:textId="523D251F" w:rsidR="00F61B41" w:rsidRPr="00F61B41" w:rsidRDefault="000C7551" w:rsidP="00F61B41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75BD7D3E">
        <w:rPr>
          <w:rFonts w:ascii="Lucida Sans Unicode" w:hAnsi="Lucida Sans Unicode" w:cs="Lucida Sans Unicode"/>
          <w:sz w:val="20"/>
          <w:szCs w:val="20"/>
          <w:lang w:val="es-ES"/>
        </w:rPr>
        <w:t>Este procedimiento se realizará para la adquisición de la documentación y material electoral para la jornada electoral y su preparación</w:t>
      </w:r>
      <w:r w:rsidR="00F61B41" w:rsidRPr="75BD7D3E">
        <w:rPr>
          <w:rFonts w:ascii="Lucida Sans Unicode" w:hAnsi="Lucida Sans Unicode" w:cs="Lucida Sans Unicode"/>
          <w:sz w:val="20"/>
          <w:szCs w:val="20"/>
          <w:lang w:val="es-ES"/>
        </w:rPr>
        <w:t>. Deberá realizarse mediante licitación pública nacional con la participación del Comité y deberá sujetarse a la aplicación preferente del Reglamento de Elecciones del Instituto Nacional Electoral en sus Secciones Cuarta, Séptima,</w:t>
      </w:r>
    </w:p>
    <w:p w14:paraId="4076C1E8" w14:textId="3664B3CC" w:rsidR="000C7551" w:rsidRPr="000C7551" w:rsidRDefault="00F61B41" w:rsidP="000C7551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F61B41">
        <w:rPr>
          <w:rFonts w:ascii="Lucida Sans Unicode" w:hAnsi="Lucida Sans Unicode" w:cs="Lucida Sans Unicode"/>
          <w:sz w:val="20"/>
          <w:szCs w:val="20"/>
          <w:lang w:val="es-ES"/>
        </w:rPr>
        <w:t>Octava del Capítulo VIII, Libro Tercero, Título 1 y su anexo 4.1</w:t>
      </w:r>
      <w:r>
        <w:rPr>
          <w:rFonts w:ascii="Lucida Sans Unicode" w:hAnsi="Lucida Sans Unicode" w:cs="Lucida Sans Unicode"/>
          <w:sz w:val="20"/>
          <w:szCs w:val="20"/>
          <w:lang w:val="es-ES"/>
        </w:rPr>
        <w:t xml:space="preserve">, de conformidad con el </w:t>
      </w:r>
      <w:r w:rsidR="000C7551" w:rsidRPr="000C7551">
        <w:rPr>
          <w:rFonts w:ascii="Lucida Sans Unicode" w:hAnsi="Lucida Sans Unicode" w:cs="Lucida Sans Unicode"/>
          <w:sz w:val="20"/>
          <w:szCs w:val="20"/>
          <w:lang w:val="es-ES"/>
        </w:rPr>
        <w:t>artículo 20 del Reglamento Interior del Comité de Adquisiciones y Enajenaciones del Instituto Electoral y de Participación Ciudadana del Estado de Jalisco y demás órganos participantes en los procesos de adquisición y enajenación.</w:t>
      </w:r>
    </w:p>
    <w:sectPr w:rsidR="000C7551" w:rsidRPr="000C7551" w:rsidSect="004422B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2301" w:right="1701" w:bottom="1417" w:left="1701" w:header="56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6614" w14:textId="77777777" w:rsidR="003E054A" w:rsidRDefault="003E054A" w:rsidP="00096618">
      <w:pPr>
        <w:spacing w:after="0" w:line="240" w:lineRule="auto"/>
      </w:pPr>
      <w:r>
        <w:separator/>
      </w:r>
    </w:p>
  </w:endnote>
  <w:endnote w:type="continuationSeparator" w:id="0">
    <w:p w14:paraId="26BD8B54" w14:textId="77777777" w:rsidR="003E054A" w:rsidRDefault="003E054A" w:rsidP="0009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1791" w14:textId="77777777" w:rsidR="00CC353B" w:rsidRDefault="00CC35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313978"/>
      <w:docPartObj>
        <w:docPartGallery w:val="Page Numbers (Top of Page)"/>
        <w:docPartUnique/>
      </w:docPartObj>
    </w:sdtPr>
    <w:sdtEndPr>
      <w:rPr>
        <w:color w:val="7030A0"/>
      </w:rPr>
    </w:sdtEndPr>
    <w:sdtContent>
      <w:tbl>
        <w:tblPr>
          <w:tblStyle w:val="Tablaconcuadrcula"/>
          <w:tblW w:w="9073" w:type="dxa"/>
          <w:tblInd w:w="-2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243"/>
          <w:gridCol w:w="2830"/>
        </w:tblGrid>
        <w:tr w:rsidR="001E4167" w14:paraId="46C6F1B5" w14:textId="77777777" w:rsidTr="00D856ED">
          <w:tc>
            <w:tcPr>
              <w:tcW w:w="6243" w:type="dxa"/>
            </w:tcPr>
            <w:p w14:paraId="36C38E8B" w14:textId="03284D8A" w:rsidR="001E4167" w:rsidRDefault="001E4167" w:rsidP="00D856ED">
              <w:pPr>
                <w:tabs>
                  <w:tab w:val="center" w:pos="4419"/>
                  <w:tab w:val="right" w:pos="8838"/>
                </w:tabs>
              </w:pPr>
              <w:r>
                <w:rPr>
                  <w:noProof/>
                </w:rPr>
                <w:drawing>
                  <wp:inline distT="0" distB="0" distL="0" distR="0" wp14:anchorId="3343D9DE" wp14:editId="4D09E001">
                    <wp:extent cx="3650095" cy="863575"/>
                    <wp:effectExtent l="0" t="0" r="0" b="635"/>
                    <wp:docPr id="577393235" name="Imagen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89215582" name="Imagen 108921558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706033" cy="87680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830" w:type="dxa"/>
            </w:tcPr>
            <w:p w14:paraId="16746FF3" w14:textId="77777777" w:rsidR="00D856ED" w:rsidRDefault="00D856ED" w:rsidP="001E4167">
              <w:pPr>
                <w:tabs>
                  <w:tab w:val="center" w:pos="4419"/>
                  <w:tab w:val="right" w:pos="8838"/>
                </w:tabs>
                <w:jc w:val="right"/>
                <w:rPr>
                  <w:b/>
                  <w:bCs/>
                  <w:color w:val="00788E"/>
                  <w:sz w:val="16"/>
                  <w:lang w:val="es-ES"/>
                </w:rPr>
              </w:pPr>
            </w:p>
            <w:p w14:paraId="5E29BA46" w14:textId="77777777" w:rsidR="00D856ED" w:rsidRDefault="00D856ED" w:rsidP="001E4167">
              <w:pPr>
                <w:tabs>
                  <w:tab w:val="center" w:pos="4419"/>
                  <w:tab w:val="right" w:pos="8838"/>
                </w:tabs>
                <w:jc w:val="right"/>
                <w:rPr>
                  <w:b/>
                  <w:bCs/>
                  <w:color w:val="00788E"/>
                  <w:sz w:val="16"/>
                  <w:lang w:val="es-ES"/>
                </w:rPr>
              </w:pPr>
            </w:p>
            <w:p w14:paraId="4DE1123A" w14:textId="77777777" w:rsidR="00D856ED" w:rsidRDefault="00D856ED" w:rsidP="001E4167">
              <w:pPr>
                <w:tabs>
                  <w:tab w:val="center" w:pos="4419"/>
                  <w:tab w:val="right" w:pos="8838"/>
                </w:tabs>
                <w:jc w:val="right"/>
                <w:rPr>
                  <w:b/>
                  <w:bCs/>
                  <w:color w:val="00788E"/>
                  <w:sz w:val="16"/>
                  <w:lang w:val="es-ES"/>
                </w:rPr>
              </w:pPr>
            </w:p>
            <w:p w14:paraId="574D3061" w14:textId="77777777" w:rsidR="00D856ED" w:rsidRDefault="00D856ED" w:rsidP="00D856ED">
              <w:pPr>
                <w:tabs>
                  <w:tab w:val="center" w:pos="4419"/>
                  <w:tab w:val="right" w:pos="8838"/>
                </w:tabs>
                <w:rPr>
                  <w:b/>
                  <w:bCs/>
                  <w:color w:val="00788E"/>
                  <w:sz w:val="16"/>
                  <w:lang w:val="es-ES"/>
                </w:rPr>
              </w:pPr>
            </w:p>
            <w:p w14:paraId="07403F3E" w14:textId="775A1E66" w:rsidR="001E4167" w:rsidRDefault="001E4167" w:rsidP="001E4167">
              <w:pPr>
                <w:tabs>
                  <w:tab w:val="center" w:pos="4419"/>
                  <w:tab w:val="right" w:pos="8838"/>
                </w:tabs>
                <w:jc w:val="right"/>
              </w:pPr>
              <w:r w:rsidRPr="001E4167">
                <w:rPr>
                  <w:b/>
                  <w:bCs/>
                  <w:color w:val="00788E"/>
                  <w:sz w:val="16"/>
                  <w:lang w:val="es-ES"/>
                </w:rPr>
                <w:t xml:space="preserve">Página </w:t>
              </w:r>
              <w:r w:rsidRPr="001E4167">
                <w:rPr>
                  <w:b/>
                  <w:bCs/>
                  <w:color w:val="00788E"/>
                  <w:sz w:val="18"/>
                  <w:szCs w:val="24"/>
                </w:rPr>
                <w:fldChar w:fldCharType="begin"/>
              </w:r>
              <w:r w:rsidRPr="001E4167">
                <w:rPr>
                  <w:b/>
                  <w:bCs/>
                  <w:color w:val="00788E"/>
                  <w:sz w:val="16"/>
                </w:rPr>
                <w:instrText>PAGE</w:instrText>
              </w:r>
              <w:r w:rsidRPr="001E4167">
                <w:rPr>
                  <w:b/>
                  <w:bCs/>
                  <w:color w:val="00788E"/>
                  <w:sz w:val="18"/>
                  <w:szCs w:val="24"/>
                </w:rPr>
                <w:fldChar w:fldCharType="separate"/>
              </w:r>
              <w:r>
                <w:rPr>
                  <w:b/>
                  <w:bCs/>
                  <w:color w:val="00788E"/>
                  <w:sz w:val="18"/>
                </w:rPr>
                <w:t>1</w:t>
              </w:r>
              <w:r w:rsidRPr="001E4167">
                <w:rPr>
                  <w:b/>
                  <w:bCs/>
                  <w:color w:val="00788E"/>
                  <w:sz w:val="18"/>
                  <w:szCs w:val="24"/>
                </w:rPr>
                <w:fldChar w:fldCharType="end"/>
              </w:r>
              <w:r w:rsidRPr="001E4167">
                <w:rPr>
                  <w:b/>
                  <w:bCs/>
                  <w:color w:val="00788E"/>
                  <w:sz w:val="16"/>
                  <w:lang w:val="es-ES"/>
                </w:rPr>
                <w:t xml:space="preserve"> de </w:t>
              </w:r>
              <w:r w:rsidRPr="001E4167">
                <w:rPr>
                  <w:b/>
                  <w:bCs/>
                  <w:color w:val="00788E"/>
                  <w:sz w:val="18"/>
                  <w:szCs w:val="24"/>
                </w:rPr>
                <w:fldChar w:fldCharType="begin"/>
              </w:r>
              <w:r w:rsidRPr="001E4167">
                <w:rPr>
                  <w:b/>
                  <w:bCs/>
                  <w:color w:val="00788E"/>
                  <w:sz w:val="16"/>
                </w:rPr>
                <w:instrText>NUMPAGES</w:instrText>
              </w:r>
              <w:r w:rsidRPr="001E4167">
                <w:rPr>
                  <w:b/>
                  <w:bCs/>
                  <w:color w:val="00788E"/>
                  <w:sz w:val="18"/>
                  <w:szCs w:val="24"/>
                </w:rPr>
                <w:fldChar w:fldCharType="separate"/>
              </w:r>
              <w:r>
                <w:rPr>
                  <w:b/>
                  <w:bCs/>
                  <w:color w:val="00788E"/>
                  <w:sz w:val="18"/>
                </w:rPr>
                <w:t>4</w:t>
              </w:r>
              <w:r w:rsidRPr="001E4167">
                <w:rPr>
                  <w:b/>
                  <w:bCs/>
                  <w:color w:val="00788E"/>
                  <w:sz w:val="18"/>
                  <w:szCs w:val="24"/>
                </w:rPr>
                <w:fldChar w:fldCharType="end"/>
              </w:r>
            </w:p>
          </w:tc>
        </w:tr>
      </w:tbl>
      <w:p w14:paraId="35D42C76" w14:textId="7BAA2775" w:rsidR="008703E8" w:rsidRPr="00D856ED" w:rsidRDefault="00401B8F" w:rsidP="00D856ED">
        <w:pPr>
          <w:tabs>
            <w:tab w:val="center" w:pos="4419"/>
            <w:tab w:val="right" w:pos="8838"/>
          </w:tabs>
          <w:spacing w:after="0" w:line="240" w:lineRule="auto"/>
          <w:rPr>
            <w:b/>
            <w:bCs/>
            <w:color w:val="00788E"/>
            <w:sz w:val="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49FE" w14:textId="77777777" w:rsidR="00CC353B" w:rsidRDefault="00CC35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B8EA" w14:textId="77777777" w:rsidR="003E054A" w:rsidRDefault="003E054A" w:rsidP="00096618">
      <w:pPr>
        <w:spacing w:after="0" w:line="240" w:lineRule="auto"/>
      </w:pPr>
      <w:r>
        <w:separator/>
      </w:r>
    </w:p>
  </w:footnote>
  <w:footnote w:type="continuationSeparator" w:id="0">
    <w:p w14:paraId="0F6C1802" w14:textId="77777777" w:rsidR="003E054A" w:rsidRDefault="003E054A" w:rsidP="0009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9619" w14:textId="3E02807F" w:rsidR="00CC353B" w:rsidRDefault="00CC35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BE49" w14:textId="010859F6" w:rsidR="00096618" w:rsidRDefault="00D66BA4" w:rsidP="001E4167">
    <w:pPr>
      <w:pStyle w:val="Encabezado"/>
      <w:ind w:left="-142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27A15" wp14:editId="36F71DCA">
              <wp:simplePos x="0" y="0"/>
              <wp:positionH relativeFrom="margin">
                <wp:align>right</wp:align>
              </wp:positionH>
              <wp:positionV relativeFrom="paragraph">
                <wp:posOffset>104140</wp:posOffset>
              </wp:positionV>
              <wp:extent cx="3360420" cy="64770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0420" cy="647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9571C" w14:textId="2B7EDAF2" w:rsidR="00D66BA4" w:rsidRPr="00D66BA4" w:rsidRDefault="00D66BA4" w:rsidP="00D66BA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00788E"/>
                            </w:rPr>
                          </w:pPr>
                          <w:r w:rsidRPr="00D66BA4">
                            <w:rPr>
                              <w:rFonts w:ascii="Arial" w:hAnsi="Arial" w:cs="Arial"/>
                              <w:i/>
                              <w:color w:val="00788E"/>
                            </w:rPr>
                            <w:t>Programa Anual de Adquisiciones, Arrendamientos y Servicios del IEPC Jalisco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A27A15" id="Rectángulo 5" o:spid="_x0000_s1027" style="position:absolute;left:0;text-align:left;margin-left:213.4pt;margin-top:8.2pt;width:264.6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" fillcolor="white [3201]" stroked="f" strokeweight="1pt">
              <v:textbox>
                <w:txbxContent>
                  <w:p w14:paraId="0209571C" w14:textId="2B7EDAF2" w:rsidR="00D66BA4" w:rsidRPr="00D66BA4" w:rsidRDefault="00D66BA4" w:rsidP="00D66BA4">
                    <w:pPr>
                      <w:jc w:val="center"/>
                      <w:rPr>
                        <w:rFonts w:ascii="Arial" w:hAnsi="Arial" w:cs="Arial"/>
                        <w:i/>
                        <w:color w:val="00788E"/>
                      </w:rPr>
                    </w:pPr>
                    <w:r w:rsidRPr="00D66BA4">
                      <w:rPr>
                        <w:rFonts w:ascii="Arial" w:hAnsi="Arial" w:cs="Arial"/>
                        <w:i/>
                        <w:color w:val="00788E"/>
                      </w:rPr>
                      <w:t>Programa Anual de Adquisiciones, Arrendamientos y Servicios del IEPC Jalisco 2024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E4167">
      <w:rPr>
        <w:rFonts w:ascii="Arial" w:hAnsi="Arial" w:cs="Arial"/>
        <w:noProof/>
      </w:rPr>
      <w:drawing>
        <wp:inline distT="0" distB="0" distL="0" distR="0" wp14:anchorId="78A0513F" wp14:editId="5F2873BB">
          <wp:extent cx="1406663" cy="754380"/>
          <wp:effectExtent l="0" t="0" r="3175" b="7620"/>
          <wp:docPr id="314776222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723245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661" cy="773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EC1B" w14:textId="3DF368A6" w:rsidR="00CC353B" w:rsidRDefault="00CC35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1210"/>
    <w:multiLevelType w:val="hybridMultilevel"/>
    <w:tmpl w:val="D16A7874"/>
    <w:lvl w:ilvl="0" w:tplc="6356635E">
      <w:start w:val="1"/>
      <w:numFmt w:val="lowerLetter"/>
      <w:lvlText w:val="%1)"/>
      <w:lvlJc w:val="left"/>
      <w:pPr>
        <w:ind w:left="360" w:hanging="360"/>
      </w:pPr>
      <w:rPr>
        <w:b/>
        <w:bCs/>
        <w:color w:val="00788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F3500"/>
    <w:multiLevelType w:val="hybridMultilevel"/>
    <w:tmpl w:val="B7282076"/>
    <w:lvl w:ilvl="0" w:tplc="0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C5608"/>
    <w:multiLevelType w:val="hybridMultilevel"/>
    <w:tmpl w:val="F25A26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CD9"/>
    <w:multiLevelType w:val="hybridMultilevel"/>
    <w:tmpl w:val="EA345E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00F0A"/>
    <w:multiLevelType w:val="hybridMultilevel"/>
    <w:tmpl w:val="6BB0B04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10DEA"/>
    <w:multiLevelType w:val="hybridMultilevel"/>
    <w:tmpl w:val="39EC7DC6"/>
    <w:lvl w:ilvl="0" w:tplc="9064DF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7422EA"/>
    <w:multiLevelType w:val="hybridMultilevel"/>
    <w:tmpl w:val="3CB0AC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478FC"/>
    <w:multiLevelType w:val="hybridMultilevel"/>
    <w:tmpl w:val="2EB689D2"/>
    <w:lvl w:ilvl="0" w:tplc="1F22B64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ABF7134"/>
    <w:multiLevelType w:val="hybridMultilevel"/>
    <w:tmpl w:val="61DEEB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06A4A"/>
    <w:multiLevelType w:val="hybridMultilevel"/>
    <w:tmpl w:val="18BAE4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44D69"/>
    <w:multiLevelType w:val="hybridMultilevel"/>
    <w:tmpl w:val="DB5C11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FA2943"/>
    <w:multiLevelType w:val="hybridMultilevel"/>
    <w:tmpl w:val="44D27A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3128F"/>
    <w:multiLevelType w:val="hybridMultilevel"/>
    <w:tmpl w:val="7A62A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C596C"/>
    <w:multiLevelType w:val="hybridMultilevel"/>
    <w:tmpl w:val="9892BEB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A9596C"/>
    <w:multiLevelType w:val="hybridMultilevel"/>
    <w:tmpl w:val="B6A09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63241"/>
    <w:multiLevelType w:val="hybridMultilevel"/>
    <w:tmpl w:val="47725B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55A68"/>
    <w:multiLevelType w:val="hybridMultilevel"/>
    <w:tmpl w:val="FBEE6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C04A3"/>
    <w:multiLevelType w:val="hybridMultilevel"/>
    <w:tmpl w:val="09D2F8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3264D"/>
    <w:multiLevelType w:val="hybridMultilevel"/>
    <w:tmpl w:val="9814E4BC"/>
    <w:lvl w:ilvl="0" w:tplc="95C4F846">
      <w:start w:val="1"/>
      <w:numFmt w:val="upperRoman"/>
      <w:lvlText w:val="%1."/>
      <w:lvlJc w:val="right"/>
      <w:pPr>
        <w:ind w:left="720" w:hanging="360"/>
      </w:pPr>
      <w:rPr>
        <w:b/>
        <w:bCs/>
        <w:color w:val="00788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011BB"/>
    <w:multiLevelType w:val="hybridMultilevel"/>
    <w:tmpl w:val="D00271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354980">
    <w:abstractNumId w:val="7"/>
  </w:num>
  <w:num w:numId="2" w16cid:durableId="820002016">
    <w:abstractNumId w:val="0"/>
  </w:num>
  <w:num w:numId="3" w16cid:durableId="63455342">
    <w:abstractNumId w:val="13"/>
  </w:num>
  <w:num w:numId="4" w16cid:durableId="1459714570">
    <w:abstractNumId w:val="16"/>
  </w:num>
  <w:num w:numId="5" w16cid:durableId="1732118279">
    <w:abstractNumId w:val="12"/>
  </w:num>
  <w:num w:numId="6" w16cid:durableId="992955229">
    <w:abstractNumId w:val="14"/>
  </w:num>
  <w:num w:numId="7" w16cid:durableId="516698856">
    <w:abstractNumId w:val="10"/>
  </w:num>
  <w:num w:numId="8" w16cid:durableId="698773706">
    <w:abstractNumId w:val="1"/>
  </w:num>
  <w:num w:numId="9" w16cid:durableId="1001664739">
    <w:abstractNumId w:val="18"/>
  </w:num>
  <w:num w:numId="10" w16cid:durableId="1387335433">
    <w:abstractNumId w:val="5"/>
  </w:num>
  <w:num w:numId="11" w16cid:durableId="1422873861">
    <w:abstractNumId w:val="19"/>
  </w:num>
  <w:num w:numId="12" w16cid:durableId="2078815481">
    <w:abstractNumId w:val="17"/>
  </w:num>
  <w:num w:numId="13" w16cid:durableId="587661649">
    <w:abstractNumId w:val="8"/>
  </w:num>
  <w:num w:numId="14" w16cid:durableId="1065303035">
    <w:abstractNumId w:val="11"/>
  </w:num>
  <w:num w:numId="15" w16cid:durableId="1017972446">
    <w:abstractNumId w:val="3"/>
  </w:num>
  <w:num w:numId="16" w16cid:durableId="1641568386">
    <w:abstractNumId w:val="4"/>
  </w:num>
  <w:num w:numId="17" w16cid:durableId="1387292247">
    <w:abstractNumId w:val="15"/>
  </w:num>
  <w:num w:numId="18" w16cid:durableId="1059980325">
    <w:abstractNumId w:val="2"/>
  </w:num>
  <w:num w:numId="19" w16cid:durableId="1984265272">
    <w:abstractNumId w:val="9"/>
  </w:num>
  <w:num w:numId="20" w16cid:durableId="912541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38"/>
    <w:rsid w:val="000001C5"/>
    <w:rsid w:val="00002C30"/>
    <w:rsid w:val="00003EBB"/>
    <w:rsid w:val="0000477B"/>
    <w:rsid w:val="00010B1E"/>
    <w:rsid w:val="0005237F"/>
    <w:rsid w:val="00052A23"/>
    <w:rsid w:val="0006201B"/>
    <w:rsid w:val="00063743"/>
    <w:rsid w:val="000655EF"/>
    <w:rsid w:val="00071010"/>
    <w:rsid w:val="00072AC6"/>
    <w:rsid w:val="000730F5"/>
    <w:rsid w:val="000754CD"/>
    <w:rsid w:val="000806FD"/>
    <w:rsid w:val="00096618"/>
    <w:rsid w:val="000A0F17"/>
    <w:rsid w:val="000A1E97"/>
    <w:rsid w:val="000A5A3D"/>
    <w:rsid w:val="000C7551"/>
    <w:rsid w:val="000D5B11"/>
    <w:rsid w:val="000E0B98"/>
    <w:rsid w:val="000E12AB"/>
    <w:rsid w:val="00137E59"/>
    <w:rsid w:val="00145849"/>
    <w:rsid w:val="001840C5"/>
    <w:rsid w:val="00185A8F"/>
    <w:rsid w:val="00185F39"/>
    <w:rsid w:val="0019152C"/>
    <w:rsid w:val="001A004D"/>
    <w:rsid w:val="001A3DFC"/>
    <w:rsid w:val="001E0E75"/>
    <w:rsid w:val="001E4167"/>
    <w:rsid w:val="001E7112"/>
    <w:rsid w:val="002124CB"/>
    <w:rsid w:val="00226718"/>
    <w:rsid w:val="00234F83"/>
    <w:rsid w:val="00250956"/>
    <w:rsid w:val="00252689"/>
    <w:rsid w:val="0026636B"/>
    <w:rsid w:val="00267817"/>
    <w:rsid w:val="00284690"/>
    <w:rsid w:val="00284FBC"/>
    <w:rsid w:val="00290F8A"/>
    <w:rsid w:val="002977B0"/>
    <w:rsid w:val="002A7CE8"/>
    <w:rsid w:val="002B1546"/>
    <w:rsid w:val="002C14FC"/>
    <w:rsid w:val="002D37FB"/>
    <w:rsid w:val="002D532F"/>
    <w:rsid w:val="002D541C"/>
    <w:rsid w:val="002F1438"/>
    <w:rsid w:val="003035B0"/>
    <w:rsid w:val="003165EA"/>
    <w:rsid w:val="00327594"/>
    <w:rsid w:val="003522B1"/>
    <w:rsid w:val="00355C78"/>
    <w:rsid w:val="00356A4E"/>
    <w:rsid w:val="0036366B"/>
    <w:rsid w:val="003707ED"/>
    <w:rsid w:val="003724B9"/>
    <w:rsid w:val="00382973"/>
    <w:rsid w:val="003912D6"/>
    <w:rsid w:val="003A328D"/>
    <w:rsid w:val="003B7960"/>
    <w:rsid w:val="003D626D"/>
    <w:rsid w:val="003E054A"/>
    <w:rsid w:val="003E4DDF"/>
    <w:rsid w:val="00401B8F"/>
    <w:rsid w:val="00424596"/>
    <w:rsid w:val="00431022"/>
    <w:rsid w:val="004422B8"/>
    <w:rsid w:val="00453713"/>
    <w:rsid w:val="0045786E"/>
    <w:rsid w:val="00460F53"/>
    <w:rsid w:val="00462051"/>
    <w:rsid w:val="0046409C"/>
    <w:rsid w:val="004772D9"/>
    <w:rsid w:val="00482D9C"/>
    <w:rsid w:val="00495645"/>
    <w:rsid w:val="004965A3"/>
    <w:rsid w:val="004B342C"/>
    <w:rsid w:val="004C5EB9"/>
    <w:rsid w:val="004E3FC2"/>
    <w:rsid w:val="004F6218"/>
    <w:rsid w:val="004F6C9F"/>
    <w:rsid w:val="00503B04"/>
    <w:rsid w:val="00513B7F"/>
    <w:rsid w:val="0053658F"/>
    <w:rsid w:val="00540E7D"/>
    <w:rsid w:val="00541540"/>
    <w:rsid w:val="005437C3"/>
    <w:rsid w:val="00570A42"/>
    <w:rsid w:val="005733C5"/>
    <w:rsid w:val="005876D3"/>
    <w:rsid w:val="00590355"/>
    <w:rsid w:val="005A21B4"/>
    <w:rsid w:val="005E33E6"/>
    <w:rsid w:val="005E3A6F"/>
    <w:rsid w:val="005E5A39"/>
    <w:rsid w:val="005E7B43"/>
    <w:rsid w:val="00614928"/>
    <w:rsid w:val="00615435"/>
    <w:rsid w:val="006315AD"/>
    <w:rsid w:val="00633A3E"/>
    <w:rsid w:val="006350DD"/>
    <w:rsid w:val="00645D8C"/>
    <w:rsid w:val="00651E98"/>
    <w:rsid w:val="0065406D"/>
    <w:rsid w:val="00686299"/>
    <w:rsid w:val="0069188B"/>
    <w:rsid w:val="00697E50"/>
    <w:rsid w:val="006B2FD4"/>
    <w:rsid w:val="006C29E6"/>
    <w:rsid w:val="006C4784"/>
    <w:rsid w:val="006D299F"/>
    <w:rsid w:val="006D695C"/>
    <w:rsid w:val="006F43BB"/>
    <w:rsid w:val="007049B8"/>
    <w:rsid w:val="00705F9B"/>
    <w:rsid w:val="00710610"/>
    <w:rsid w:val="00712726"/>
    <w:rsid w:val="00721474"/>
    <w:rsid w:val="007218B4"/>
    <w:rsid w:val="00751127"/>
    <w:rsid w:val="00754B80"/>
    <w:rsid w:val="00763BD2"/>
    <w:rsid w:val="00764D79"/>
    <w:rsid w:val="0077480B"/>
    <w:rsid w:val="007761CB"/>
    <w:rsid w:val="0079131C"/>
    <w:rsid w:val="00796469"/>
    <w:rsid w:val="007B4182"/>
    <w:rsid w:val="008075A3"/>
    <w:rsid w:val="00816C88"/>
    <w:rsid w:val="008268AE"/>
    <w:rsid w:val="008304EE"/>
    <w:rsid w:val="00844106"/>
    <w:rsid w:val="00845380"/>
    <w:rsid w:val="008703E8"/>
    <w:rsid w:val="008800A8"/>
    <w:rsid w:val="008854FC"/>
    <w:rsid w:val="00890FF3"/>
    <w:rsid w:val="00893D36"/>
    <w:rsid w:val="008A0430"/>
    <w:rsid w:val="008A5C41"/>
    <w:rsid w:val="008B139E"/>
    <w:rsid w:val="008D3098"/>
    <w:rsid w:val="008E035A"/>
    <w:rsid w:val="008F29AD"/>
    <w:rsid w:val="00905F47"/>
    <w:rsid w:val="00913E24"/>
    <w:rsid w:val="00937F18"/>
    <w:rsid w:val="009421E1"/>
    <w:rsid w:val="00950CD7"/>
    <w:rsid w:val="00971A50"/>
    <w:rsid w:val="009856CE"/>
    <w:rsid w:val="009C3664"/>
    <w:rsid w:val="009C48F9"/>
    <w:rsid w:val="009C7A2F"/>
    <w:rsid w:val="009C7C91"/>
    <w:rsid w:val="009D6085"/>
    <w:rsid w:val="009E16C0"/>
    <w:rsid w:val="009F3BEB"/>
    <w:rsid w:val="009F6DE0"/>
    <w:rsid w:val="00A007C6"/>
    <w:rsid w:val="00A020AF"/>
    <w:rsid w:val="00A0460F"/>
    <w:rsid w:val="00A21684"/>
    <w:rsid w:val="00A27C3C"/>
    <w:rsid w:val="00A44E71"/>
    <w:rsid w:val="00A6480F"/>
    <w:rsid w:val="00A651F1"/>
    <w:rsid w:val="00A67686"/>
    <w:rsid w:val="00A700F3"/>
    <w:rsid w:val="00A90A87"/>
    <w:rsid w:val="00A960BD"/>
    <w:rsid w:val="00AA2328"/>
    <w:rsid w:val="00AB2F69"/>
    <w:rsid w:val="00AC3713"/>
    <w:rsid w:val="00AD562F"/>
    <w:rsid w:val="00AE16B6"/>
    <w:rsid w:val="00AE7ABE"/>
    <w:rsid w:val="00AF1B21"/>
    <w:rsid w:val="00B207D8"/>
    <w:rsid w:val="00B411ED"/>
    <w:rsid w:val="00B60321"/>
    <w:rsid w:val="00B767DB"/>
    <w:rsid w:val="00B86D4C"/>
    <w:rsid w:val="00B9190C"/>
    <w:rsid w:val="00B958FD"/>
    <w:rsid w:val="00BA77D5"/>
    <w:rsid w:val="00BC2520"/>
    <w:rsid w:val="00BC3138"/>
    <w:rsid w:val="00BC634E"/>
    <w:rsid w:val="00BD2AE0"/>
    <w:rsid w:val="00BE7811"/>
    <w:rsid w:val="00C3405C"/>
    <w:rsid w:val="00C42AF3"/>
    <w:rsid w:val="00C45EF1"/>
    <w:rsid w:val="00C50E46"/>
    <w:rsid w:val="00C53834"/>
    <w:rsid w:val="00C7249B"/>
    <w:rsid w:val="00CB2AFD"/>
    <w:rsid w:val="00CC353B"/>
    <w:rsid w:val="00CF209A"/>
    <w:rsid w:val="00CF282C"/>
    <w:rsid w:val="00CF615E"/>
    <w:rsid w:val="00D408E7"/>
    <w:rsid w:val="00D51787"/>
    <w:rsid w:val="00D6664C"/>
    <w:rsid w:val="00D66BA4"/>
    <w:rsid w:val="00D71CB4"/>
    <w:rsid w:val="00D71F12"/>
    <w:rsid w:val="00D856ED"/>
    <w:rsid w:val="00DA1044"/>
    <w:rsid w:val="00DA3FEB"/>
    <w:rsid w:val="00DD20B2"/>
    <w:rsid w:val="00DD47DA"/>
    <w:rsid w:val="00DD4B37"/>
    <w:rsid w:val="00DF13F3"/>
    <w:rsid w:val="00DF6943"/>
    <w:rsid w:val="00E13185"/>
    <w:rsid w:val="00E170CF"/>
    <w:rsid w:val="00E177A6"/>
    <w:rsid w:val="00E26DD3"/>
    <w:rsid w:val="00E332A6"/>
    <w:rsid w:val="00E35A35"/>
    <w:rsid w:val="00E410E0"/>
    <w:rsid w:val="00E72B9D"/>
    <w:rsid w:val="00E9418E"/>
    <w:rsid w:val="00E9481A"/>
    <w:rsid w:val="00EC08F8"/>
    <w:rsid w:val="00EC46CA"/>
    <w:rsid w:val="00EC7A2E"/>
    <w:rsid w:val="00EE0B36"/>
    <w:rsid w:val="00EF1258"/>
    <w:rsid w:val="00F01045"/>
    <w:rsid w:val="00F222A3"/>
    <w:rsid w:val="00F50FDB"/>
    <w:rsid w:val="00F52220"/>
    <w:rsid w:val="00F61B41"/>
    <w:rsid w:val="00F721BE"/>
    <w:rsid w:val="00F90011"/>
    <w:rsid w:val="00F94AF8"/>
    <w:rsid w:val="00F96EED"/>
    <w:rsid w:val="00FA479E"/>
    <w:rsid w:val="00FA5233"/>
    <w:rsid w:val="00FA63A4"/>
    <w:rsid w:val="00FB0193"/>
    <w:rsid w:val="00FC3865"/>
    <w:rsid w:val="00FD417C"/>
    <w:rsid w:val="00FF03C7"/>
    <w:rsid w:val="0742B873"/>
    <w:rsid w:val="0883C7F8"/>
    <w:rsid w:val="0AC6D808"/>
    <w:rsid w:val="0BBE960F"/>
    <w:rsid w:val="13808791"/>
    <w:rsid w:val="1AF10839"/>
    <w:rsid w:val="22454E64"/>
    <w:rsid w:val="225AFD1C"/>
    <w:rsid w:val="2392E844"/>
    <w:rsid w:val="23DE2652"/>
    <w:rsid w:val="30BB6F71"/>
    <w:rsid w:val="310276D1"/>
    <w:rsid w:val="343FDEA5"/>
    <w:rsid w:val="36EDC45A"/>
    <w:rsid w:val="3C44F51B"/>
    <w:rsid w:val="4329278A"/>
    <w:rsid w:val="4722A39D"/>
    <w:rsid w:val="4759360B"/>
    <w:rsid w:val="49E74F5E"/>
    <w:rsid w:val="531C0B5D"/>
    <w:rsid w:val="54ADB16F"/>
    <w:rsid w:val="6143BD46"/>
    <w:rsid w:val="62460A8A"/>
    <w:rsid w:val="63F76477"/>
    <w:rsid w:val="724B41B2"/>
    <w:rsid w:val="75BD7D3E"/>
    <w:rsid w:val="784631E0"/>
    <w:rsid w:val="7DDBD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30D35"/>
  <w15:chartTrackingRefBased/>
  <w15:docId w15:val="{85ECBAEF-3F10-4ACA-9D90-76235AA3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6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618"/>
  </w:style>
  <w:style w:type="paragraph" w:styleId="Piedepgina">
    <w:name w:val="footer"/>
    <w:basedOn w:val="Normal"/>
    <w:link w:val="PiedepginaCar"/>
    <w:uiPriority w:val="99"/>
    <w:unhideWhenUsed/>
    <w:rsid w:val="000966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18"/>
  </w:style>
  <w:style w:type="paragraph" w:styleId="Prrafodelista">
    <w:name w:val="List Paragraph"/>
    <w:basedOn w:val="Normal"/>
    <w:uiPriority w:val="34"/>
    <w:qFormat/>
    <w:rsid w:val="00BC63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63A4"/>
    <w:rPr>
      <w:color w:val="0563C1" w:themeColor="hyperlink"/>
      <w:u w:val="single"/>
    </w:rPr>
  </w:style>
  <w:style w:type="paragraph" w:customStyle="1" w:styleId="Texto">
    <w:name w:val="Texto"/>
    <w:basedOn w:val="Normal"/>
    <w:link w:val="TextoCar"/>
    <w:rsid w:val="00F721BE"/>
    <w:pPr>
      <w:spacing w:after="101" w:line="216" w:lineRule="exact"/>
      <w:ind w:firstLine="288"/>
      <w:jc w:val="both"/>
    </w:pPr>
    <w:rPr>
      <w:rFonts w:ascii="Arial" w:eastAsia="Calibri" w:hAnsi="Arial" w:cs="Times New Roman"/>
      <w:sz w:val="18"/>
      <w:szCs w:val="18"/>
      <w:lang w:eastAsia="es-MX"/>
    </w:rPr>
  </w:style>
  <w:style w:type="character" w:customStyle="1" w:styleId="TextoCar">
    <w:name w:val="Texto Car"/>
    <w:link w:val="Texto"/>
    <w:locked/>
    <w:rsid w:val="00F721BE"/>
    <w:rPr>
      <w:rFonts w:ascii="Arial" w:eastAsia="Calibri" w:hAnsi="Arial" w:cs="Times New Roman"/>
      <w:sz w:val="18"/>
      <w:szCs w:val="18"/>
      <w:lang w:eastAsia="es-MX"/>
    </w:rPr>
  </w:style>
  <w:style w:type="table" w:styleId="Tablaconcuadrcula">
    <w:name w:val="Table Grid"/>
    <w:basedOn w:val="Tablanormal"/>
    <w:uiPriority w:val="39"/>
    <w:rsid w:val="001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020A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A32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32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32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2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28D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A5C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5C41"/>
    <w:pPr>
      <w:widowControl w:val="0"/>
      <w:autoSpaceDE w:val="0"/>
      <w:autoSpaceDN w:val="0"/>
      <w:spacing w:before="7"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pcjalisco.org.mx/sites/default/files/sesiones-de-consejo/consejo%20general/2023-08-08/9iepc-acg-045-2023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hyperlink" Target="https://www.iepcjalisco.org.mx/transparencia2/articulo-8.ph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pcjalisco.org.mx/sites/default/files/sesiones-de-consejo/consejo%20general/2023-08-08/10iepc-acg-046-2023.pdf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8209-F02F-4CB9-A32E-5E029A96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2476</Words>
  <Characters>13623</Characters>
  <Application>Microsoft Office Word</Application>
  <DocSecurity>0</DocSecurity>
  <Lines>113</Lines>
  <Paragraphs>32</Paragraphs>
  <ScaleCrop>false</ScaleCrop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EMMANUEL ARMENTA ENRIQUEZ</dc:creator>
  <cp:keywords/>
  <dc:description/>
  <cp:lastModifiedBy>Yesenia Montiel Llamas</cp:lastModifiedBy>
  <cp:revision>33</cp:revision>
  <cp:lastPrinted>2024-02-01T22:02:00Z</cp:lastPrinted>
  <dcterms:created xsi:type="dcterms:W3CDTF">2024-01-25T21:46:00Z</dcterms:created>
  <dcterms:modified xsi:type="dcterms:W3CDTF">2024-02-01T22:03:00Z</dcterms:modified>
</cp:coreProperties>
</file>