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07903" w14:textId="344930DD" w:rsidR="00420BDD" w:rsidRPr="00EF66A7" w:rsidRDefault="00420BDD" w:rsidP="00422612">
      <w:pPr>
        <w:spacing w:after="0"/>
        <w:jc w:val="center"/>
        <w:rPr>
          <w:rFonts w:ascii="Lucida Sans Unicode" w:hAnsi="Lucida Sans Unicode" w:cs="Lucida Sans Unicode"/>
          <w:b/>
          <w:bCs/>
          <w:sz w:val="21"/>
          <w:szCs w:val="21"/>
        </w:rPr>
      </w:pPr>
      <w:r w:rsidRPr="00EF66A7">
        <w:rPr>
          <w:rFonts w:ascii="Lucida Sans Unicode" w:hAnsi="Lucida Sans Unicode" w:cs="Lucida Sans Unicode"/>
          <w:b/>
          <w:bCs/>
          <w:sz w:val="21"/>
          <w:szCs w:val="21"/>
        </w:rPr>
        <w:t>ANEXO 1</w:t>
      </w:r>
    </w:p>
    <w:p w14:paraId="3CF10A13" w14:textId="77777777" w:rsidR="00E60E71" w:rsidRPr="00EF66A7" w:rsidRDefault="00E60E71" w:rsidP="001C28EC">
      <w:pPr>
        <w:spacing w:after="0"/>
        <w:jc w:val="center"/>
        <w:rPr>
          <w:rFonts w:ascii="Lucida Sans Unicode" w:hAnsi="Lucida Sans Unicode" w:cs="Lucida Sans Unicode"/>
          <w:b/>
          <w:bCs/>
          <w:sz w:val="21"/>
          <w:szCs w:val="21"/>
        </w:rPr>
      </w:pPr>
    </w:p>
    <w:p w14:paraId="05D3A823" w14:textId="15A4E502" w:rsidR="00420BDD" w:rsidRPr="00EF66A7" w:rsidRDefault="00420BDD" w:rsidP="00F16FB0">
      <w:pPr>
        <w:spacing w:after="0"/>
        <w:jc w:val="both"/>
        <w:rPr>
          <w:rFonts w:ascii="Lucida Sans Unicode" w:hAnsi="Lucida Sans Unicode" w:cs="Lucida Sans Unicode"/>
          <w:b/>
          <w:bCs/>
          <w:sz w:val="21"/>
          <w:szCs w:val="21"/>
        </w:rPr>
      </w:pPr>
      <w:r w:rsidRPr="00EF66A7">
        <w:rPr>
          <w:rFonts w:ascii="Lucida Sans Unicode" w:hAnsi="Lucida Sans Unicode" w:cs="Lucida Sans Unicode"/>
          <w:b/>
          <w:bCs/>
          <w:sz w:val="21"/>
          <w:szCs w:val="21"/>
        </w:rPr>
        <w:t xml:space="preserve">AGENDA DE TRABAJO DE LA COMISIÓN DE QUEJAS Y DENUNCIAS DEL INSTITUTO ELECTORAL Y DE PARTICIPACIÓN CIUDADANA DEL ESTADO DE JALISCO PARA EL PERIODO DE </w:t>
      </w:r>
      <w:r w:rsidR="00E60E71" w:rsidRPr="00EF66A7">
        <w:rPr>
          <w:rFonts w:ascii="Lucida Sans Unicode" w:hAnsi="Lucida Sans Unicode" w:cs="Lucida Sans Unicode"/>
          <w:b/>
          <w:bCs/>
          <w:sz w:val="21"/>
          <w:szCs w:val="21"/>
        </w:rPr>
        <w:t xml:space="preserve">NOVIEMBRE DE 2023 A </w:t>
      </w:r>
      <w:r w:rsidR="00F92474" w:rsidRPr="00EF66A7">
        <w:rPr>
          <w:rFonts w:ascii="Lucida Sans Unicode" w:hAnsi="Lucida Sans Unicode" w:cs="Lucida Sans Unicode"/>
          <w:b/>
          <w:bCs/>
          <w:sz w:val="21"/>
          <w:szCs w:val="21"/>
        </w:rPr>
        <w:t>SEPTIEMBRE</w:t>
      </w:r>
      <w:r w:rsidR="00E60E71" w:rsidRPr="00EF66A7">
        <w:rPr>
          <w:rFonts w:ascii="Lucida Sans Unicode" w:hAnsi="Lucida Sans Unicode" w:cs="Lucida Sans Unicode"/>
          <w:b/>
          <w:bCs/>
          <w:sz w:val="21"/>
          <w:szCs w:val="21"/>
        </w:rPr>
        <w:t xml:space="preserve"> DE 2024.</w:t>
      </w:r>
    </w:p>
    <w:p w14:paraId="23E60B6E" w14:textId="77777777" w:rsidR="00420BDD" w:rsidRPr="00EF66A7" w:rsidRDefault="00420BDD" w:rsidP="001C28EC">
      <w:pPr>
        <w:spacing w:after="0"/>
        <w:rPr>
          <w:rFonts w:ascii="Lucida Sans Unicode" w:hAnsi="Lucida Sans Unicode" w:cs="Lucida Sans Unicode"/>
          <w:sz w:val="21"/>
          <w:szCs w:val="21"/>
        </w:rPr>
      </w:pPr>
    </w:p>
    <w:p w14:paraId="11C58285" w14:textId="77777777" w:rsidR="00886D25" w:rsidRPr="00EF66A7" w:rsidRDefault="00420BDD" w:rsidP="001C28EC">
      <w:pPr>
        <w:spacing w:after="0"/>
        <w:jc w:val="both"/>
        <w:rPr>
          <w:rFonts w:ascii="Lucida Sans Unicode" w:hAnsi="Lucida Sans Unicode" w:cs="Lucida Sans Unicode"/>
          <w:b/>
          <w:bCs/>
          <w:sz w:val="21"/>
          <w:szCs w:val="21"/>
        </w:rPr>
      </w:pPr>
      <w:r w:rsidRPr="00EF66A7">
        <w:rPr>
          <w:rFonts w:ascii="Lucida Sans Unicode" w:hAnsi="Lucida Sans Unicode" w:cs="Lucida Sans Unicode"/>
          <w:b/>
          <w:bCs/>
          <w:sz w:val="21"/>
          <w:szCs w:val="21"/>
        </w:rPr>
        <w:t>1. PRESENTACIÓN</w:t>
      </w:r>
    </w:p>
    <w:p w14:paraId="4131F8F1" w14:textId="77777777" w:rsidR="00E60E71" w:rsidRPr="00EF66A7" w:rsidRDefault="00E60E71" w:rsidP="001C28EC">
      <w:pPr>
        <w:spacing w:after="0"/>
        <w:jc w:val="both"/>
        <w:rPr>
          <w:rFonts w:ascii="Lucida Sans Unicode" w:hAnsi="Lucida Sans Unicode" w:cs="Lucida Sans Unicode"/>
          <w:b/>
          <w:bCs/>
          <w:sz w:val="21"/>
          <w:szCs w:val="21"/>
        </w:rPr>
      </w:pPr>
    </w:p>
    <w:p w14:paraId="71CE37C5" w14:textId="73857C79" w:rsidR="00886D25" w:rsidRPr="00EF66A7" w:rsidRDefault="00420BDD" w:rsidP="001C28EC">
      <w:pPr>
        <w:spacing w:after="0"/>
        <w:jc w:val="both"/>
        <w:rPr>
          <w:rFonts w:ascii="Lucida Sans Unicode" w:hAnsi="Lucida Sans Unicode" w:cs="Lucida Sans Unicode"/>
          <w:sz w:val="21"/>
          <w:szCs w:val="21"/>
        </w:rPr>
      </w:pPr>
      <w:r w:rsidRPr="00EF66A7">
        <w:rPr>
          <w:rFonts w:ascii="Lucida Sans Unicode" w:hAnsi="Lucida Sans Unicode" w:cs="Lucida Sans Unicode"/>
          <w:sz w:val="21"/>
          <w:szCs w:val="21"/>
        </w:rPr>
        <w:t xml:space="preserve">La agenda que se pone a consideración propone actividades que tienen como objetivo, el cumplimiento de las atribuciones inherentes de esta Comisión tanto en lo relativo a procedimientos sancionadores ordinarios, como </w:t>
      </w:r>
      <w:r w:rsidR="00E60E71" w:rsidRPr="00EF66A7">
        <w:rPr>
          <w:rFonts w:ascii="Lucida Sans Unicode" w:hAnsi="Lucida Sans Unicode" w:cs="Lucida Sans Unicode"/>
          <w:sz w:val="21"/>
          <w:szCs w:val="21"/>
        </w:rPr>
        <w:t xml:space="preserve">los procedimientos especiales y aquellos en materia de violencia política contra las mujeres </w:t>
      </w:r>
      <w:proofErr w:type="gramStart"/>
      <w:r w:rsidR="00E60E71" w:rsidRPr="00EF66A7">
        <w:rPr>
          <w:rFonts w:ascii="Lucida Sans Unicode" w:hAnsi="Lucida Sans Unicode" w:cs="Lucida Sans Unicode"/>
          <w:sz w:val="21"/>
          <w:szCs w:val="21"/>
        </w:rPr>
        <w:t>en razón de</w:t>
      </w:r>
      <w:proofErr w:type="gramEnd"/>
      <w:r w:rsidR="00E60E71" w:rsidRPr="00EF66A7">
        <w:rPr>
          <w:rFonts w:ascii="Lucida Sans Unicode" w:hAnsi="Lucida Sans Unicode" w:cs="Lucida Sans Unicode"/>
          <w:sz w:val="21"/>
          <w:szCs w:val="21"/>
        </w:rPr>
        <w:t xml:space="preserve"> género (VPMRG). </w:t>
      </w:r>
    </w:p>
    <w:p w14:paraId="59DE03CA" w14:textId="77777777" w:rsidR="00E60E71" w:rsidRPr="00EF66A7" w:rsidRDefault="00E60E71" w:rsidP="001C28EC">
      <w:pPr>
        <w:spacing w:after="0"/>
        <w:jc w:val="both"/>
        <w:rPr>
          <w:rFonts w:ascii="Lucida Sans Unicode" w:hAnsi="Lucida Sans Unicode" w:cs="Lucida Sans Unicode"/>
          <w:sz w:val="21"/>
          <w:szCs w:val="21"/>
        </w:rPr>
      </w:pPr>
    </w:p>
    <w:p w14:paraId="62E23A57" w14:textId="162BE2AB" w:rsidR="00E60E71" w:rsidRPr="00EF66A7" w:rsidRDefault="00E60E71" w:rsidP="001C28EC">
      <w:pPr>
        <w:spacing w:after="0"/>
        <w:jc w:val="both"/>
        <w:rPr>
          <w:rFonts w:ascii="Lucida Sans Unicode" w:hAnsi="Lucida Sans Unicode" w:cs="Lucida Sans Unicode"/>
          <w:sz w:val="21"/>
          <w:szCs w:val="21"/>
        </w:rPr>
      </w:pPr>
      <w:r w:rsidRPr="00EF66A7">
        <w:rPr>
          <w:rFonts w:ascii="Lucida Sans Unicode" w:hAnsi="Lucida Sans Unicode" w:cs="Lucida Sans Unicode"/>
          <w:sz w:val="21"/>
          <w:szCs w:val="21"/>
        </w:rPr>
        <w:t xml:space="preserve">En cuanto a los procedimientos sancionadores especiales en materia de VPMRG, se busca la atención con perspectiva de género a través de las medidas cautelares que se soliciten o que de oficio determine procedente proponer la Secretaría Ejecutiva de este Instituto, ello a través de la implementación del Protocolo del Instituto para la atención a víctimas y la elaboración del análisis de riesgo en los casos de violencia política contra las mujeres en razón de género, aprobados mediante sesión extraordinaria del Consejo General el 21 de junio de 2023. </w:t>
      </w:r>
    </w:p>
    <w:p w14:paraId="141DBEDA" w14:textId="77777777" w:rsidR="00E60E71" w:rsidRPr="00EF66A7" w:rsidRDefault="00E60E71" w:rsidP="001C28EC">
      <w:pPr>
        <w:spacing w:after="0"/>
        <w:jc w:val="both"/>
        <w:rPr>
          <w:rFonts w:ascii="Lucida Sans Unicode" w:hAnsi="Lucida Sans Unicode" w:cs="Lucida Sans Unicode"/>
          <w:sz w:val="21"/>
          <w:szCs w:val="21"/>
        </w:rPr>
      </w:pPr>
    </w:p>
    <w:p w14:paraId="6F50BE46" w14:textId="145954C1" w:rsidR="008A2BFA" w:rsidRPr="00EF66A7" w:rsidRDefault="008A2BFA" w:rsidP="001C28EC">
      <w:pPr>
        <w:spacing w:after="0"/>
        <w:jc w:val="both"/>
        <w:rPr>
          <w:rFonts w:ascii="Lucida Sans Unicode" w:hAnsi="Lucida Sans Unicode" w:cs="Lucida Sans Unicode"/>
          <w:sz w:val="21"/>
          <w:szCs w:val="21"/>
        </w:rPr>
      </w:pPr>
      <w:r w:rsidRPr="00EF66A7">
        <w:rPr>
          <w:rFonts w:ascii="Lucida Sans Unicode" w:hAnsi="Lucida Sans Unicode" w:cs="Lucida Sans Unicode"/>
          <w:sz w:val="21"/>
          <w:szCs w:val="21"/>
        </w:rPr>
        <w:t xml:space="preserve">Respecto a los procedimientos sancionadores especiales, corresponde a </w:t>
      </w:r>
      <w:proofErr w:type="gramStart"/>
      <w:r w:rsidRPr="00EF66A7">
        <w:rPr>
          <w:rFonts w:ascii="Lucida Sans Unicode" w:hAnsi="Lucida Sans Unicode" w:cs="Lucida Sans Unicode"/>
          <w:sz w:val="21"/>
          <w:szCs w:val="21"/>
        </w:rPr>
        <w:t>ésta</w:t>
      </w:r>
      <w:proofErr w:type="gramEnd"/>
      <w:r w:rsidRPr="00EF66A7">
        <w:rPr>
          <w:rFonts w:ascii="Lucida Sans Unicode" w:hAnsi="Lucida Sans Unicode" w:cs="Lucida Sans Unicode"/>
          <w:sz w:val="21"/>
          <w:szCs w:val="21"/>
        </w:rPr>
        <w:t xml:space="preserve"> Comisión conocer sobre la solicitud de medidas cautelares relativas a conductas derivadas del proceso electoral local concurrente 2023-2024, que dio inicio el uno de noviembre de esta anualidad. </w:t>
      </w:r>
    </w:p>
    <w:p w14:paraId="400EA903" w14:textId="7213CCBA" w:rsidR="008A2BFA" w:rsidRPr="00EF66A7" w:rsidRDefault="008A2BFA" w:rsidP="001C28EC">
      <w:pPr>
        <w:spacing w:after="0"/>
        <w:jc w:val="both"/>
        <w:rPr>
          <w:rFonts w:ascii="Lucida Sans Unicode" w:hAnsi="Lucida Sans Unicode" w:cs="Lucida Sans Unicode"/>
          <w:sz w:val="21"/>
          <w:szCs w:val="21"/>
        </w:rPr>
      </w:pPr>
    </w:p>
    <w:p w14:paraId="20C9972F" w14:textId="55DD1C49" w:rsidR="00420BDD" w:rsidRPr="00EF66A7" w:rsidRDefault="008A2BFA" w:rsidP="001C28EC">
      <w:pPr>
        <w:spacing w:after="0"/>
        <w:jc w:val="both"/>
        <w:rPr>
          <w:rFonts w:ascii="Lucida Sans Unicode" w:hAnsi="Lucida Sans Unicode" w:cs="Lucida Sans Unicode"/>
          <w:sz w:val="21"/>
          <w:szCs w:val="21"/>
        </w:rPr>
      </w:pPr>
      <w:r w:rsidRPr="00EF66A7">
        <w:rPr>
          <w:rFonts w:ascii="Lucida Sans Unicode" w:hAnsi="Lucida Sans Unicode" w:cs="Lucida Sans Unicode"/>
          <w:sz w:val="21"/>
          <w:szCs w:val="21"/>
        </w:rPr>
        <w:t xml:space="preserve">Y en lo relativo a </w:t>
      </w:r>
      <w:r w:rsidR="00420BDD" w:rsidRPr="00EF66A7">
        <w:rPr>
          <w:rFonts w:ascii="Lucida Sans Unicode" w:hAnsi="Lucida Sans Unicode" w:cs="Lucida Sans Unicode"/>
          <w:sz w:val="21"/>
          <w:szCs w:val="21"/>
        </w:rPr>
        <w:t>los procedimientos sancionadores ordinarios, se busca el cumplimiento y profesionalización en la atención y proyección de resoluciones que se sometan a consideración del Consejo General</w:t>
      </w:r>
      <w:r w:rsidR="00886D25" w:rsidRPr="00EF66A7">
        <w:rPr>
          <w:rFonts w:ascii="Lucida Sans Unicode" w:hAnsi="Lucida Sans Unicode" w:cs="Lucida Sans Unicode"/>
          <w:sz w:val="21"/>
          <w:szCs w:val="21"/>
        </w:rPr>
        <w:t>.</w:t>
      </w:r>
    </w:p>
    <w:p w14:paraId="60AE74E9" w14:textId="77777777" w:rsidR="00E60E71" w:rsidRPr="00EF66A7" w:rsidRDefault="00E60E71" w:rsidP="001C28EC">
      <w:pPr>
        <w:spacing w:after="0"/>
        <w:jc w:val="both"/>
        <w:rPr>
          <w:rFonts w:ascii="Lucida Sans Unicode" w:hAnsi="Lucida Sans Unicode" w:cs="Lucida Sans Unicode"/>
          <w:b/>
          <w:bCs/>
          <w:sz w:val="21"/>
          <w:szCs w:val="21"/>
        </w:rPr>
      </w:pPr>
    </w:p>
    <w:p w14:paraId="0A129382" w14:textId="7F7C5AA5" w:rsidR="00420BDD" w:rsidRPr="00EF66A7" w:rsidRDefault="00420BDD" w:rsidP="001C28EC">
      <w:pPr>
        <w:spacing w:after="0"/>
        <w:jc w:val="both"/>
        <w:rPr>
          <w:rFonts w:ascii="Lucida Sans Unicode" w:hAnsi="Lucida Sans Unicode" w:cs="Lucida Sans Unicode"/>
          <w:b/>
          <w:bCs/>
          <w:sz w:val="21"/>
          <w:szCs w:val="21"/>
        </w:rPr>
      </w:pPr>
      <w:r w:rsidRPr="00EF66A7">
        <w:rPr>
          <w:rFonts w:ascii="Lucida Sans Unicode" w:hAnsi="Lucida Sans Unicode" w:cs="Lucida Sans Unicode"/>
          <w:b/>
          <w:bCs/>
          <w:sz w:val="21"/>
          <w:szCs w:val="21"/>
        </w:rPr>
        <w:t>II. MARCO NORMATIVO</w:t>
      </w:r>
    </w:p>
    <w:p w14:paraId="3EDEAC14" w14:textId="77777777" w:rsidR="00E60E71" w:rsidRPr="00EF66A7" w:rsidRDefault="00E60E71" w:rsidP="001C28EC">
      <w:pPr>
        <w:spacing w:after="0"/>
        <w:jc w:val="both"/>
        <w:rPr>
          <w:rFonts w:ascii="Lucida Sans Unicode" w:hAnsi="Lucida Sans Unicode" w:cs="Lucida Sans Unicode"/>
          <w:b/>
          <w:bCs/>
          <w:sz w:val="21"/>
          <w:szCs w:val="21"/>
        </w:rPr>
      </w:pPr>
    </w:p>
    <w:p w14:paraId="2920CA0D" w14:textId="1B4EB112" w:rsidR="00420BDD" w:rsidRPr="00EF66A7" w:rsidRDefault="00420BDD" w:rsidP="001C28EC">
      <w:pPr>
        <w:spacing w:after="0"/>
        <w:jc w:val="both"/>
        <w:rPr>
          <w:rFonts w:ascii="Lucida Sans Unicode" w:hAnsi="Lucida Sans Unicode" w:cs="Lucida Sans Unicode"/>
          <w:sz w:val="21"/>
          <w:szCs w:val="21"/>
        </w:rPr>
      </w:pPr>
      <w:r w:rsidRPr="00EF66A7">
        <w:rPr>
          <w:rFonts w:ascii="Lucida Sans Unicode" w:hAnsi="Lucida Sans Unicode" w:cs="Lucida Sans Unicode"/>
          <w:sz w:val="21"/>
          <w:szCs w:val="21"/>
        </w:rPr>
        <w:lastRenderedPageBreak/>
        <w:t xml:space="preserve">La programación de las actividades contenidas en la presente agenda que se pone a consideración se formuló en apego a lo establecido por los </w:t>
      </w:r>
      <w:r w:rsidR="00886D25" w:rsidRPr="00EF66A7">
        <w:rPr>
          <w:rFonts w:ascii="Lucida Sans Unicode" w:hAnsi="Lucida Sans Unicode" w:cs="Lucida Sans Unicode"/>
          <w:sz w:val="21"/>
          <w:szCs w:val="21"/>
        </w:rPr>
        <w:t>artículos</w:t>
      </w:r>
      <w:r w:rsidRPr="00EF66A7">
        <w:rPr>
          <w:rFonts w:ascii="Lucida Sans Unicode" w:hAnsi="Lucida Sans Unicode" w:cs="Lucida Sans Unicode"/>
          <w:sz w:val="21"/>
          <w:szCs w:val="21"/>
        </w:rPr>
        <w:t xml:space="preserve"> 134, fracción II, del Código Electoral del Estado de Jalisco referente a la integración de las comisiones del Instituto: 15, numeral 1, fracciones XIV, XVI y XXII, y, 28 numeral 1, fracción I del Reglamento Interior del Instituto Electoral y de Participación Ciudadana del Estado de Jalisco, que se refiere a la </w:t>
      </w:r>
      <w:r w:rsidR="00886D25" w:rsidRPr="00EF66A7">
        <w:rPr>
          <w:rFonts w:ascii="Lucida Sans Unicode" w:hAnsi="Lucida Sans Unicode" w:cs="Lucida Sans Unicode"/>
          <w:sz w:val="21"/>
          <w:szCs w:val="21"/>
        </w:rPr>
        <w:t>obligación</w:t>
      </w:r>
      <w:r w:rsidRPr="00EF66A7">
        <w:rPr>
          <w:rFonts w:ascii="Lucida Sans Unicode" w:hAnsi="Lucida Sans Unicode" w:cs="Lucida Sans Unicode"/>
          <w:sz w:val="21"/>
          <w:szCs w:val="21"/>
        </w:rPr>
        <w:t xml:space="preserve"> de las y los titulares de las Direcciones Ejecutivas y las Direcciones de </w:t>
      </w:r>
      <w:r w:rsidR="00886D25" w:rsidRPr="00EF66A7">
        <w:rPr>
          <w:rFonts w:ascii="Lucida Sans Unicode" w:hAnsi="Lucida Sans Unicode" w:cs="Lucida Sans Unicode"/>
          <w:sz w:val="21"/>
          <w:szCs w:val="21"/>
        </w:rPr>
        <w:t>área</w:t>
      </w:r>
      <w:r w:rsidRPr="00EF66A7">
        <w:rPr>
          <w:rFonts w:ascii="Lucida Sans Unicode" w:hAnsi="Lucida Sans Unicode" w:cs="Lucida Sans Unicode"/>
          <w:sz w:val="21"/>
          <w:szCs w:val="21"/>
        </w:rPr>
        <w:t xml:space="preserve"> del Instituto, de emitir los informes, dictámenes, datos, documentos y opiniones sobre asuntos propios de la Dirección, que le soliciten las Comisiones del Instituto, </w:t>
      </w:r>
      <w:r w:rsidR="00886D25" w:rsidRPr="00EF66A7">
        <w:rPr>
          <w:rFonts w:ascii="Lucida Sans Unicode" w:hAnsi="Lucida Sans Unicode" w:cs="Lucida Sans Unicode"/>
          <w:sz w:val="21"/>
          <w:szCs w:val="21"/>
        </w:rPr>
        <w:t>así</w:t>
      </w:r>
      <w:r w:rsidRPr="00EF66A7">
        <w:rPr>
          <w:rFonts w:ascii="Lucida Sans Unicode" w:hAnsi="Lucida Sans Unicode" w:cs="Lucida Sans Unicode"/>
          <w:sz w:val="21"/>
          <w:szCs w:val="21"/>
        </w:rPr>
        <w:t xml:space="preserve"> como aportar los insumos necesarios y coadyuvar en la elaboración de las agendas de trabajo de las Comisiones de este Instituto</w:t>
      </w:r>
      <w:r w:rsidR="00886D25" w:rsidRPr="00EF66A7">
        <w:rPr>
          <w:rFonts w:ascii="Lucida Sans Unicode" w:hAnsi="Lucida Sans Unicode" w:cs="Lucida Sans Unicode"/>
          <w:sz w:val="21"/>
          <w:szCs w:val="21"/>
        </w:rPr>
        <w:t>.</w:t>
      </w:r>
    </w:p>
    <w:p w14:paraId="4F89E2D2" w14:textId="613A5B3C" w:rsidR="00420BDD" w:rsidRPr="00EF66A7" w:rsidRDefault="00420BDD" w:rsidP="001C28EC">
      <w:pPr>
        <w:spacing w:after="0"/>
        <w:jc w:val="both"/>
        <w:rPr>
          <w:rFonts w:ascii="Lucida Sans Unicode" w:hAnsi="Lucida Sans Unicode" w:cs="Lucida Sans Unicode"/>
          <w:sz w:val="21"/>
          <w:szCs w:val="21"/>
        </w:rPr>
      </w:pPr>
      <w:r w:rsidRPr="00EF66A7">
        <w:rPr>
          <w:rFonts w:ascii="Lucida Sans Unicode" w:hAnsi="Lucida Sans Unicode" w:cs="Lucida Sans Unicode"/>
          <w:sz w:val="21"/>
          <w:szCs w:val="21"/>
        </w:rPr>
        <w:t xml:space="preserve">Adicionalmente, es importante precisar que el </w:t>
      </w:r>
      <w:r w:rsidR="00886D25" w:rsidRPr="00EF66A7">
        <w:rPr>
          <w:rFonts w:ascii="Lucida Sans Unicode" w:hAnsi="Lucida Sans Unicode" w:cs="Lucida Sans Unicode"/>
          <w:sz w:val="21"/>
          <w:szCs w:val="21"/>
        </w:rPr>
        <w:t>artículo</w:t>
      </w:r>
      <w:r w:rsidRPr="00EF66A7">
        <w:rPr>
          <w:rFonts w:ascii="Lucida Sans Unicode" w:hAnsi="Lucida Sans Unicode" w:cs="Lucida Sans Unicode"/>
          <w:sz w:val="21"/>
          <w:szCs w:val="21"/>
        </w:rPr>
        <w:t xml:space="preserve"> 35 del Reglamento Interior</w:t>
      </w:r>
      <w:r w:rsidR="00886D25" w:rsidRPr="00EF66A7">
        <w:rPr>
          <w:rFonts w:ascii="Lucida Sans Unicode" w:hAnsi="Lucida Sans Unicode" w:cs="Lucida Sans Unicode"/>
          <w:sz w:val="21"/>
          <w:szCs w:val="21"/>
        </w:rPr>
        <w:t xml:space="preserve"> </w:t>
      </w:r>
      <w:r w:rsidRPr="00EF66A7">
        <w:rPr>
          <w:rFonts w:ascii="Lucida Sans Unicode" w:hAnsi="Lucida Sans Unicode" w:cs="Lucida Sans Unicode"/>
          <w:sz w:val="21"/>
          <w:szCs w:val="21"/>
        </w:rPr>
        <w:t>establece que la Comisión de Quejas y Denuncias tiene las siguientes atribuciones</w:t>
      </w:r>
      <w:r w:rsidR="00886D25" w:rsidRPr="00EF66A7">
        <w:rPr>
          <w:rFonts w:ascii="Lucida Sans Unicode" w:hAnsi="Lucida Sans Unicode" w:cs="Lucida Sans Unicode"/>
          <w:sz w:val="21"/>
          <w:szCs w:val="21"/>
        </w:rPr>
        <w:t>:</w:t>
      </w:r>
    </w:p>
    <w:p w14:paraId="5381CFF7" w14:textId="39848FEB" w:rsidR="00420BDD" w:rsidRPr="00EF66A7" w:rsidRDefault="00420BDD" w:rsidP="001C28EC">
      <w:pPr>
        <w:spacing w:after="0"/>
        <w:jc w:val="both"/>
        <w:rPr>
          <w:rFonts w:ascii="Lucida Sans Unicode" w:hAnsi="Lucida Sans Unicode" w:cs="Lucida Sans Unicode"/>
          <w:sz w:val="21"/>
          <w:szCs w:val="21"/>
        </w:rPr>
      </w:pPr>
      <w:r w:rsidRPr="00EF66A7">
        <w:rPr>
          <w:rFonts w:ascii="Lucida Sans Unicode" w:hAnsi="Lucida Sans Unicode" w:cs="Lucida Sans Unicode"/>
          <w:b/>
          <w:bCs/>
          <w:sz w:val="21"/>
          <w:szCs w:val="21"/>
        </w:rPr>
        <w:t>1.</w:t>
      </w:r>
      <w:r w:rsidRPr="00EF66A7">
        <w:rPr>
          <w:rFonts w:ascii="Lucida Sans Unicode" w:hAnsi="Lucida Sans Unicode" w:cs="Lucida Sans Unicode"/>
          <w:sz w:val="21"/>
          <w:szCs w:val="21"/>
        </w:rPr>
        <w:t xml:space="preserve"> Acordar los proyectos de resolución relativos a procedimientos sancionadores ordinarios que presente la </w:t>
      </w:r>
      <w:proofErr w:type="gramStart"/>
      <w:r w:rsidRPr="00EF66A7">
        <w:rPr>
          <w:rFonts w:ascii="Lucida Sans Unicode" w:hAnsi="Lucida Sans Unicode" w:cs="Lucida Sans Unicode"/>
          <w:sz w:val="21"/>
          <w:szCs w:val="21"/>
        </w:rPr>
        <w:t>Secretaria Ejecutiva</w:t>
      </w:r>
      <w:proofErr w:type="gramEnd"/>
      <w:r w:rsidRPr="00EF66A7">
        <w:rPr>
          <w:rFonts w:ascii="Lucida Sans Unicode" w:hAnsi="Lucida Sans Unicode" w:cs="Lucida Sans Unicode"/>
          <w:sz w:val="21"/>
          <w:szCs w:val="21"/>
        </w:rPr>
        <w:t>, en lo</w:t>
      </w:r>
      <w:r w:rsidR="00886D25" w:rsidRPr="00EF66A7">
        <w:rPr>
          <w:rFonts w:ascii="Lucida Sans Unicode" w:hAnsi="Lucida Sans Unicode" w:cs="Lucida Sans Unicode"/>
          <w:sz w:val="21"/>
          <w:szCs w:val="21"/>
        </w:rPr>
        <w:t>s</w:t>
      </w:r>
      <w:r w:rsidRPr="00EF66A7">
        <w:rPr>
          <w:rFonts w:ascii="Lucida Sans Unicode" w:hAnsi="Lucida Sans Unicode" w:cs="Lucida Sans Unicode"/>
          <w:sz w:val="21"/>
          <w:szCs w:val="21"/>
        </w:rPr>
        <w:t xml:space="preserve"> términos previstos por el artículo 470 del Código;</w:t>
      </w:r>
    </w:p>
    <w:p w14:paraId="3C19F3B6" w14:textId="77777777" w:rsidR="00420BDD" w:rsidRPr="00EF66A7" w:rsidRDefault="00420BDD" w:rsidP="001C28EC">
      <w:pPr>
        <w:spacing w:after="0"/>
        <w:jc w:val="both"/>
        <w:rPr>
          <w:rFonts w:ascii="Lucida Sans Unicode" w:hAnsi="Lucida Sans Unicode" w:cs="Lucida Sans Unicode"/>
          <w:sz w:val="21"/>
          <w:szCs w:val="21"/>
        </w:rPr>
      </w:pPr>
      <w:r w:rsidRPr="00EF66A7">
        <w:rPr>
          <w:rFonts w:ascii="Lucida Sans Unicode" w:hAnsi="Lucida Sans Unicode" w:cs="Lucida Sans Unicode"/>
          <w:b/>
          <w:bCs/>
          <w:sz w:val="21"/>
          <w:szCs w:val="21"/>
        </w:rPr>
        <w:t>II.</w:t>
      </w:r>
      <w:r w:rsidRPr="00EF66A7">
        <w:rPr>
          <w:rFonts w:ascii="Lucida Sans Unicode" w:hAnsi="Lucida Sans Unicode" w:cs="Lucida Sans Unicode"/>
          <w:sz w:val="21"/>
          <w:szCs w:val="21"/>
        </w:rPr>
        <w:t xml:space="preserve"> Remitir a la consejera presidenta o el consejero presidente el proyecto de resolución para que lo someta a la consideración y votación del Consejo General, y</w:t>
      </w:r>
    </w:p>
    <w:p w14:paraId="106DF5FA" w14:textId="4BD65C65" w:rsidR="00420BDD" w:rsidRPr="00EF66A7" w:rsidRDefault="00886D25" w:rsidP="001C28EC">
      <w:pPr>
        <w:spacing w:after="0"/>
        <w:jc w:val="both"/>
        <w:rPr>
          <w:rFonts w:ascii="Lucida Sans Unicode" w:hAnsi="Lucida Sans Unicode" w:cs="Lucida Sans Unicode"/>
          <w:sz w:val="21"/>
          <w:szCs w:val="21"/>
        </w:rPr>
      </w:pPr>
      <w:r w:rsidRPr="00EF66A7">
        <w:rPr>
          <w:rFonts w:ascii="Lucida Sans Unicode" w:hAnsi="Lucida Sans Unicode" w:cs="Lucida Sans Unicode"/>
          <w:b/>
          <w:bCs/>
          <w:sz w:val="21"/>
          <w:szCs w:val="21"/>
        </w:rPr>
        <w:t>III</w:t>
      </w:r>
      <w:r w:rsidR="00420BDD" w:rsidRPr="00EF66A7">
        <w:rPr>
          <w:rFonts w:ascii="Lucida Sans Unicode" w:hAnsi="Lucida Sans Unicode" w:cs="Lucida Sans Unicode"/>
          <w:b/>
          <w:bCs/>
          <w:sz w:val="21"/>
          <w:szCs w:val="21"/>
        </w:rPr>
        <w:t>.</w:t>
      </w:r>
      <w:r w:rsidR="00420BDD" w:rsidRPr="00EF66A7">
        <w:rPr>
          <w:rFonts w:ascii="Lucida Sans Unicode" w:hAnsi="Lucida Sans Unicode" w:cs="Lucida Sans Unicode"/>
          <w:sz w:val="21"/>
          <w:szCs w:val="21"/>
        </w:rPr>
        <w:t xml:space="preserve"> Determinar la procedencia de la implementación de medidas cautelares.</w:t>
      </w:r>
    </w:p>
    <w:p w14:paraId="65822AB2" w14:textId="77777777" w:rsidR="00420BDD" w:rsidRPr="00EF66A7" w:rsidRDefault="00420BDD" w:rsidP="001C28EC">
      <w:pPr>
        <w:spacing w:after="0"/>
        <w:jc w:val="both"/>
        <w:rPr>
          <w:rFonts w:ascii="Lucida Sans Unicode" w:hAnsi="Lucida Sans Unicode" w:cs="Lucida Sans Unicode"/>
          <w:sz w:val="21"/>
          <w:szCs w:val="21"/>
        </w:rPr>
      </w:pPr>
    </w:p>
    <w:p w14:paraId="4DACD551" w14:textId="77777777" w:rsidR="00420BDD" w:rsidRPr="00EF66A7" w:rsidRDefault="00420BDD" w:rsidP="001C28EC">
      <w:pPr>
        <w:spacing w:after="0"/>
        <w:jc w:val="center"/>
        <w:rPr>
          <w:rFonts w:ascii="Lucida Sans Unicode" w:hAnsi="Lucida Sans Unicode" w:cs="Lucida Sans Unicode"/>
          <w:b/>
          <w:bCs/>
          <w:sz w:val="21"/>
          <w:szCs w:val="21"/>
        </w:rPr>
      </w:pPr>
      <w:r w:rsidRPr="00EF66A7">
        <w:rPr>
          <w:rFonts w:ascii="Lucida Sans Unicode" w:hAnsi="Lucida Sans Unicode" w:cs="Lucida Sans Unicode"/>
          <w:b/>
          <w:bCs/>
          <w:sz w:val="21"/>
          <w:szCs w:val="21"/>
        </w:rPr>
        <w:t>INTEGRACIÓN</w:t>
      </w:r>
    </w:p>
    <w:p w14:paraId="7A80586B" w14:textId="77777777" w:rsidR="00420BDD" w:rsidRPr="00EF66A7" w:rsidRDefault="00420BDD" w:rsidP="001C28EC">
      <w:pPr>
        <w:spacing w:after="0"/>
        <w:jc w:val="both"/>
        <w:rPr>
          <w:rFonts w:ascii="Lucida Sans Unicode" w:hAnsi="Lucida Sans Unicode" w:cs="Lucida Sans Unicode"/>
          <w:sz w:val="21"/>
          <w:szCs w:val="21"/>
        </w:rPr>
      </w:pPr>
    </w:p>
    <w:p w14:paraId="72045671" w14:textId="77777777" w:rsidR="008A2BFA" w:rsidRPr="00EF66A7" w:rsidRDefault="00420BDD" w:rsidP="001C28EC">
      <w:pPr>
        <w:spacing w:after="0"/>
        <w:jc w:val="both"/>
        <w:rPr>
          <w:rFonts w:ascii="Lucida Sans Unicode" w:hAnsi="Lucida Sans Unicode" w:cs="Lucida Sans Unicode"/>
          <w:sz w:val="21"/>
          <w:szCs w:val="21"/>
        </w:rPr>
      </w:pPr>
      <w:r w:rsidRPr="00EF66A7">
        <w:rPr>
          <w:rFonts w:ascii="Lucida Sans Unicode" w:hAnsi="Lucida Sans Unicode" w:cs="Lucida Sans Unicode"/>
          <w:sz w:val="21"/>
          <w:szCs w:val="21"/>
        </w:rPr>
        <w:t xml:space="preserve">El </w:t>
      </w:r>
      <w:r w:rsidR="008A2BFA" w:rsidRPr="00EF66A7">
        <w:rPr>
          <w:rFonts w:ascii="Lucida Sans Unicode" w:hAnsi="Lucida Sans Unicode" w:cs="Lucida Sans Unicode"/>
          <w:sz w:val="21"/>
          <w:szCs w:val="21"/>
        </w:rPr>
        <w:t>uno de noviembre</w:t>
      </w:r>
      <w:r w:rsidRPr="00EF66A7">
        <w:rPr>
          <w:rFonts w:ascii="Lucida Sans Unicode" w:hAnsi="Lucida Sans Unicode" w:cs="Lucida Sans Unicode"/>
          <w:sz w:val="21"/>
          <w:szCs w:val="21"/>
        </w:rPr>
        <w:t xml:space="preserve"> de </w:t>
      </w:r>
      <w:r w:rsidR="008A2BFA" w:rsidRPr="00EF66A7">
        <w:rPr>
          <w:rFonts w:ascii="Lucida Sans Unicode" w:hAnsi="Lucida Sans Unicode" w:cs="Lucida Sans Unicode"/>
          <w:sz w:val="21"/>
          <w:szCs w:val="21"/>
        </w:rPr>
        <w:t>dos mil veintitrés</w:t>
      </w:r>
      <w:r w:rsidRPr="00EF66A7">
        <w:rPr>
          <w:rFonts w:ascii="Lucida Sans Unicode" w:hAnsi="Lucida Sans Unicode" w:cs="Lucida Sans Unicode"/>
          <w:sz w:val="21"/>
          <w:szCs w:val="21"/>
        </w:rPr>
        <w:t>, el Consejo General del Instituto celebró sesión extraordinaria en la que, entre otros acuerdos, emitió el identificado con la clave IEPC-ACG-0</w:t>
      </w:r>
      <w:r w:rsidR="008A2BFA" w:rsidRPr="00EF66A7">
        <w:rPr>
          <w:rFonts w:ascii="Lucida Sans Unicode" w:hAnsi="Lucida Sans Unicode" w:cs="Lucida Sans Unicode"/>
          <w:sz w:val="21"/>
          <w:szCs w:val="21"/>
        </w:rPr>
        <w:t>75</w:t>
      </w:r>
      <w:r w:rsidRPr="00EF66A7">
        <w:rPr>
          <w:rFonts w:ascii="Lucida Sans Unicode" w:hAnsi="Lucida Sans Unicode" w:cs="Lucida Sans Unicode"/>
          <w:sz w:val="21"/>
          <w:szCs w:val="21"/>
        </w:rPr>
        <w:t xml:space="preserve">/2023, mediante el cual aprobó la </w:t>
      </w:r>
      <w:r w:rsidR="008A2BFA" w:rsidRPr="00EF66A7">
        <w:rPr>
          <w:rFonts w:ascii="Lucida Sans Unicode" w:hAnsi="Lucida Sans Unicode" w:cs="Lucida Sans Unicode"/>
          <w:sz w:val="21"/>
          <w:szCs w:val="21"/>
        </w:rPr>
        <w:t>integración</w:t>
      </w:r>
      <w:r w:rsidRPr="00EF66A7">
        <w:rPr>
          <w:rFonts w:ascii="Lucida Sans Unicode" w:hAnsi="Lucida Sans Unicode" w:cs="Lucida Sans Unicode"/>
          <w:sz w:val="21"/>
          <w:szCs w:val="21"/>
        </w:rPr>
        <w:t xml:space="preserve"> de la Comisión, la cual quedó conformada como sigue</w:t>
      </w:r>
      <w:r w:rsidR="008A2BFA" w:rsidRPr="00EF66A7">
        <w:rPr>
          <w:rFonts w:ascii="Lucida Sans Unicode" w:hAnsi="Lucida Sans Unicode" w:cs="Lucida Sans Unicode"/>
          <w:sz w:val="21"/>
          <w:szCs w:val="21"/>
        </w:rPr>
        <w:t>:</w:t>
      </w:r>
    </w:p>
    <w:p w14:paraId="3C951C11" w14:textId="77777777" w:rsidR="008A2BFA" w:rsidRPr="00EF66A7" w:rsidRDefault="008A2BFA" w:rsidP="008A2BFA">
      <w:pPr>
        <w:pStyle w:val="Prrafodelista"/>
        <w:numPr>
          <w:ilvl w:val="0"/>
          <w:numId w:val="2"/>
        </w:numPr>
        <w:spacing w:after="0"/>
        <w:jc w:val="both"/>
        <w:rPr>
          <w:rFonts w:ascii="Lucida Sans Unicode" w:hAnsi="Lucida Sans Unicode" w:cs="Lucida Sans Unicode"/>
          <w:sz w:val="21"/>
          <w:szCs w:val="21"/>
        </w:rPr>
      </w:pPr>
      <w:r w:rsidRPr="00EF66A7">
        <w:rPr>
          <w:rFonts w:ascii="Lucida Sans Unicode" w:hAnsi="Lucida Sans Unicode" w:cs="Lucida Sans Unicode"/>
          <w:sz w:val="21"/>
          <w:szCs w:val="21"/>
        </w:rPr>
        <w:t>Moisés Pérez Vega,</w:t>
      </w:r>
      <w:r w:rsidR="00420BDD" w:rsidRPr="00EF66A7">
        <w:rPr>
          <w:rFonts w:ascii="Lucida Sans Unicode" w:hAnsi="Lucida Sans Unicode" w:cs="Lucida Sans Unicode"/>
          <w:sz w:val="21"/>
          <w:szCs w:val="21"/>
        </w:rPr>
        <w:t xml:space="preserve"> </w:t>
      </w:r>
      <w:r w:rsidRPr="00EF66A7">
        <w:rPr>
          <w:rFonts w:ascii="Lucida Sans Unicode" w:hAnsi="Lucida Sans Unicode" w:cs="Lucida Sans Unicode"/>
          <w:sz w:val="21"/>
          <w:szCs w:val="21"/>
        </w:rPr>
        <w:t>consejero electoral presidente de la comisión,</w:t>
      </w:r>
      <w:r w:rsidR="00886D25" w:rsidRPr="00EF66A7">
        <w:rPr>
          <w:rFonts w:ascii="Lucida Sans Unicode" w:hAnsi="Lucida Sans Unicode" w:cs="Lucida Sans Unicode"/>
          <w:sz w:val="21"/>
          <w:szCs w:val="21"/>
        </w:rPr>
        <w:t xml:space="preserve"> </w:t>
      </w:r>
    </w:p>
    <w:p w14:paraId="425AA2B4" w14:textId="77777777" w:rsidR="008A2BFA" w:rsidRPr="00EF66A7" w:rsidRDefault="008A2BFA" w:rsidP="008A2BFA">
      <w:pPr>
        <w:pStyle w:val="Prrafodelista"/>
        <w:numPr>
          <w:ilvl w:val="0"/>
          <w:numId w:val="2"/>
        </w:numPr>
        <w:spacing w:after="0"/>
        <w:jc w:val="both"/>
        <w:rPr>
          <w:rFonts w:ascii="Lucida Sans Unicode" w:hAnsi="Lucida Sans Unicode" w:cs="Lucida Sans Unicode"/>
          <w:sz w:val="21"/>
          <w:szCs w:val="21"/>
        </w:rPr>
      </w:pPr>
      <w:r w:rsidRPr="00EF66A7">
        <w:rPr>
          <w:rFonts w:ascii="Lucida Sans Unicode" w:hAnsi="Lucida Sans Unicode" w:cs="Lucida Sans Unicode"/>
          <w:sz w:val="21"/>
          <w:szCs w:val="21"/>
        </w:rPr>
        <w:t>Brenda Judith Serafín Morfin,</w:t>
      </w:r>
      <w:r w:rsidR="00420BDD" w:rsidRPr="00EF66A7">
        <w:rPr>
          <w:rFonts w:ascii="Lucida Sans Unicode" w:hAnsi="Lucida Sans Unicode" w:cs="Lucida Sans Unicode"/>
          <w:sz w:val="21"/>
          <w:szCs w:val="21"/>
        </w:rPr>
        <w:t xml:space="preserve"> </w:t>
      </w:r>
      <w:r w:rsidRPr="00EF66A7">
        <w:rPr>
          <w:rFonts w:ascii="Lucida Sans Unicode" w:hAnsi="Lucida Sans Unicode" w:cs="Lucida Sans Unicode"/>
          <w:sz w:val="21"/>
          <w:szCs w:val="21"/>
        </w:rPr>
        <w:t xml:space="preserve">consejera electoral integrante, </w:t>
      </w:r>
    </w:p>
    <w:p w14:paraId="7314CA37" w14:textId="77777777" w:rsidR="008A2BFA" w:rsidRPr="00EF66A7" w:rsidRDefault="008A2BFA" w:rsidP="008A2BFA">
      <w:pPr>
        <w:pStyle w:val="Prrafodelista"/>
        <w:numPr>
          <w:ilvl w:val="0"/>
          <w:numId w:val="2"/>
        </w:numPr>
        <w:spacing w:after="0"/>
        <w:jc w:val="both"/>
        <w:rPr>
          <w:rFonts w:ascii="Lucida Sans Unicode" w:hAnsi="Lucida Sans Unicode" w:cs="Lucida Sans Unicode"/>
          <w:sz w:val="21"/>
          <w:szCs w:val="21"/>
        </w:rPr>
      </w:pPr>
      <w:r w:rsidRPr="00EF66A7">
        <w:rPr>
          <w:rFonts w:ascii="Lucida Sans Unicode" w:hAnsi="Lucida Sans Unicode" w:cs="Lucida Sans Unicode"/>
          <w:sz w:val="21"/>
          <w:szCs w:val="21"/>
        </w:rPr>
        <w:t xml:space="preserve">Miguel Godínez </w:t>
      </w:r>
      <w:proofErr w:type="spellStart"/>
      <w:r w:rsidRPr="00EF66A7">
        <w:rPr>
          <w:rFonts w:ascii="Lucida Sans Unicode" w:hAnsi="Lucida Sans Unicode" w:cs="Lucida Sans Unicode"/>
          <w:sz w:val="21"/>
          <w:szCs w:val="21"/>
        </w:rPr>
        <w:t>Terríquez</w:t>
      </w:r>
      <w:proofErr w:type="spellEnd"/>
      <w:r w:rsidRPr="00EF66A7">
        <w:rPr>
          <w:rFonts w:ascii="Lucida Sans Unicode" w:hAnsi="Lucida Sans Unicode" w:cs="Lucida Sans Unicode"/>
          <w:sz w:val="21"/>
          <w:szCs w:val="21"/>
        </w:rPr>
        <w:t>,</w:t>
      </w:r>
      <w:r w:rsidR="00420BDD" w:rsidRPr="00EF66A7">
        <w:rPr>
          <w:rFonts w:ascii="Lucida Sans Unicode" w:hAnsi="Lucida Sans Unicode" w:cs="Lucida Sans Unicode"/>
          <w:sz w:val="21"/>
          <w:szCs w:val="21"/>
        </w:rPr>
        <w:t xml:space="preserve"> </w:t>
      </w:r>
      <w:r w:rsidRPr="00EF66A7">
        <w:rPr>
          <w:rFonts w:ascii="Lucida Sans Unicode" w:hAnsi="Lucida Sans Unicode" w:cs="Lucida Sans Unicode"/>
          <w:sz w:val="21"/>
          <w:szCs w:val="21"/>
        </w:rPr>
        <w:t xml:space="preserve">consejero electoral integrante y </w:t>
      </w:r>
    </w:p>
    <w:p w14:paraId="2AC834FC" w14:textId="442C5063" w:rsidR="00420BDD" w:rsidRPr="00EF66A7" w:rsidRDefault="00420BDD" w:rsidP="008A2BFA">
      <w:pPr>
        <w:pStyle w:val="Prrafodelista"/>
        <w:numPr>
          <w:ilvl w:val="0"/>
          <w:numId w:val="2"/>
        </w:numPr>
        <w:spacing w:after="0"/>
        <w:jc w:val="both"/>
        <w:rPr>
          <w:rFonts w:ascii="Lucida Sans Unicode" w:hAnsi="Lucida Sans Unicode" w:cs="Lucida Sans Unicode"/>
          <w:sz w:val="21"/>
          <w:szCs w:val="21"/>
        </w:rPr>
      </w:pPr>
      <w:r w:rsidRPr="00EF66A7">
        <w:rPr>
          <w:rFonts w:ascii="Lucida Sans Unicode" w:hAnsi="Lucida Sans Unicode" w:cs="Lucida Sans Unicode"/>
          <w:sz w:val="21"/>
          <w:szCs w:val="21"/>
        </w:rPr>
        <w:t>Catalina Moreno Trillo</w:t>
      </w:r>
      <w:r w:rsidR="008A2BFA" w:rsidRPr="00EF66A7">
        <w:rPr>
          <w:rFonts w:ascii="Lucida Sans Unicode" w:hAnsi="Lucida Sans Unicode" w:cs="Lucida Sans Unicode"/>
          <w:sz w:val="21"/>
          <w:szCs w:val="21"/>
        </w:rPr>
        <w:t>,</w:t>
      </w:r>
      <w:r w:rsidRPr="00EF66A7">
        <w:rPr>
          <w:rFonts w:ascii="Lucida Sans Unicode" w:hAnsi="Lucida Sans Unicode" w:cs="Lucida Sans Unicode"/>
          <w:sz w:val="21"/>
          <w:szCs w:val="21"/>
        </w:rPr>
        <w:t xml:space="preserve"> </w:t>
      </w:r>
      <w:proofErr w:type="gramStart"/>
      <w:r w:rsidRPr="00EF66A7">
        <w:rPr>
          <w:rFonts w:ascii="Lucida Sans Unicode" w:hAnsi="Lucida Sans Unicode" w:cs="Lucida Sans Unicode"/>
          <w:sz w:val="21"/>
          <w:szCs w:val="21"/>
        </w:rPr>
        <w:t>Directora</w:t>
      </w:r>
      <w:proofErr w:type="gramEnd"/>
      <w:r w:rsidRPr="00EF66A7">
        <w:rPr>
          <w:rFonts w:ascii="Lucida Sans Unicode" w:hAnsi="Lucida Sans Unicode" w:cs="Lucida Sans Unicode"/>
          <w:sz w:val="21"/>
          <w:szCs w:val="21"/>
        </w:rPr>
        <w:t xml:space="preserve"> </w:t>
      </w:r>
      <w:r w:rsidR="00886D25" w:rsidRPr="00EF66A7">
        <w:rPr>
          <w:rFonts w:ascii="Lucida Sans Unicode" w:hAnsi="Lucida Sans Unicode" w:cs="Lucida Sans Unicode"/>
          <w:sz w:val="21"/>
          <w:szCs w:val="21"/>
        </w:rPr>
        <w:t>jurídica</w:t>
      </w:r>
      <w:r w:rsidR="008A2BFA" w:rsidRPr="00EF66A7">
        <w:rPr>
          <w:rFonts w:ascii="Lucida Sans Unicode" w:hAnsi="Lucida Sans Unicode" w:cs="Lucida Sans Unicode"/>
          <w:sz w:val="21"/>
          <w:szCs w:val="21"/>
        </w:rPr>
        <w:t>,</w:t>
      </w:r>
      <w:r w:rsidRPr="00EF66A7">
        <w:rPr>
          <w:rFonts w:ascii="Lucida Sans Unicode" w:hAnsi="Lucida Sans Unicode" w:cs="Lucida Sans Unicode"/>
          <w:sz w:val="21"/>
          <w:szCs w:val="21"/>
        </w:rPr>
        <w:t xml:space="preserve"> Secretaria Técnica de la Comisión</w:t>
      </w:r>
    </w:p>
    <w:p w14:paraId="5DA568F5" w14:textId="77777777" w:rsidR="00420BDD" w:rsidRPr="00EF66A7" w:rsidRDefault="00420BDD" w:rsidP="001C28EC">
      <w:pPr>
        <w:spacing w:after="0"/>
        <w:jc w:val="both"/>
        <w:rPr>
          <w:rFonts w:ascii="Lucida Sans Unicode" w:hAnsi="Lucida Sans Unicode" w:cs="Lucida Sans Unicode"/>
          <w:sz w:val="21"/>
          <w:szCs w:val="21"/>
        </w:rPr>
      </w:pPr>
    </w:p>
    <w:p w14:paraId="2DB86ECC" w14:textId="77777777" w:rsidR="00420BDD" w:rsidRPr="00EF66A7" w:rsidRDefault="00420BDD" w:rsidP="001C28EC">
      <w:pPr>
        <w:spacing w:after="0"/>
        <w:jc w:val="center"/>
        <w:rPr>
          <w:rFonts w:ascii="Lucida Sans Unicode" w:hAnsi="Lucida Sans Unicode" w:cs="Lucida Sans Unicode"/>
          <w:b/>
          <w:bCs/>
          <w:sz w:val="21"/>
          <w:szCs w:val="21"/>
        </w:rPr>
      </w:pPr>
      <w:r w:rsidRPr="00EF66A7">
        <w:rPr>
          <w:rFonts w:ascii="Lucida Sans Unicode" w:hAnsi="Lucida Sans Unicode" w:cs="Lucida Sans Unicode"/>
          <w:b/>
          <w:bCs/>
          <w:sz w:val="21"/>
          <w:szCs w:val="21"/>
        </w:rPr>
        <w:t>OBJETIVOS</w:t>
      </w:r>
    </w:p>
    <w:p w14:paraId="03A7BA7F" w14:textId="77777777" w:rsidR="008A2BFA" w:rsidRPr="00EF66A7" w:rsidRDefault="008A2BFA" w:rsidP="001C28EC">
      <w:pPr>
        <w:spacing w:after="0"/>
        <w:rPr>
          <w:rFonts w:ascii="Lucida Sans Unicode" w:hAnsi="Lucida Sans Unicode" w:cs="Lucida Sans Unicode"/>
          <w:b/>
          <w:bCs/>
          <w:sz w:val="21"/>
          <w:szCs w:val="21"/>
        </w:rPr>
      </w:pPr>
    </w:p>
    <w:p w14:paraId="0CE8F86F" w14:textId="7F9EA187" w:rsidR="00420BDD" w:rsidRPr="00EF66A7" w:rsidRDefault="00420BDD" w:rsidP="001C28EC">
      <w:pPr>
        <w:spacing w:after="0"/>
        <w:rPr>
          <w:rFonts w:ascii="Lucida Sans Unicode" w:hAnsi="Lucida Sans Unicode" w:cs="Lucida Sans Unicode"/>
          <w:b/>
          <w:bCs/>
          <w:sz w:val="21"/>
          <w:szCs w:val="21"/>
        </w:rPr>
      </w:pPr>
      <w:r w:rsidRPr="00EF66A7">
        <w:rPr>
          <w:rFonts w:ascii="Lucida Sans Unicode" w:hAnsi="Lucida Sans Unicode" w:cs="Lucida Sans Unicode"/>
          <w:b/>
          <w:bCs/>
          <w:sz w:val="21"/>
          <w:szCs w:val="21"/>
        </w:rPr>
        <w:t>OBJETIVO GENERAL</w:t>
      </w:r>
    </w:p>
    <w:p w14:paraId="7822B0FC" w14:textId="77777777" w:rsidR="00FA011A" w:rsidRPr="00EF66A7" w:rsidRDefault="00FA011A" w:rsidP="001C28EC">
      <w:pPr>
        <w:spacing w:after="0"/>
        <w:rPr>
          <w:rFonts w:ascii="Lucida Sans Unicode" w:hAnsi="Lucida Sans Unicode" w:cs="Lucida Sans Unicode"/>
          <w:b/>
          <w:bCs/>
          <w:sz w:val="21"/>
          <w:szCs w:val="21"/>
        </w:rPr>
      </w:pPr>
    </w:p>
    <w:p w14:paraId="7CAA3E27" w14:textId="77777777" w:rsidR="00420BDD" w:rsidRPr="00EF66A7" w:rsidRDefault="00420BDD" w:rsidP="001C28EC">
      <w:pPr>
        <w:spacing w:after="0"/>
        <w:rPr>
          <w:rFonts w:ascii="Lucida Sans Unicode" w:hAnsi="Lucida Sans Unicode" w:cs="Lucida Sans Unicode"/>
          <w:sz w:val="21"/>
          <w:szCs w:val="21"/>
        </w:rPr>
      </w:pPr>
      <w:r w:rsidRPr="00EF66A7">
        <w:rPr>
          <w:rFonts w:ascii="Lucida Sans Unicode" w:hAnsi="Lucida Sans Unicode" w:cs="Lucida Sans Unicode"/>
          <w:sz w:val="21"/>
          <w:szCs w:val="21"/>
        </w:rPr>
        <w:t>Coadyuvar, proponer y dar seguimiento al cumplimiento de las obligaciones legales que tiene esta Comisión.</w:t>
      </w:r>
    </w:p>
    <w:p w14:paraId="2A1F6890" w14:textId="77777777" w:rsidR="00420BDD" w:rsidRPr="00EF66A7" w:rsidRDefault="00420BDD" w:rsidP="001C28EC">
      <w:pPr>
        <w:spacing w:after="0"/>
        <w:rPr>
          <w:rFonts w:ascii="Lucida Sans Unicode" w:hAnsi="Lucida Sans Unicode" w:cs="Lucida Sans Unicode"/>
          <w:sz w:val="21"/>
          <w:szCs w:val="21"/>
        </w:rPr>
      </w:pPr>
    </w:p>
    <w:p w14:paraId="11FB22AC" w14:textId="77777777" w:rsidR="00420BDD" w:rsidRPr="00EF66A7" w:rsidRDefault="00420BDD" w:rsidP="001C28EC">
      <w:pPr>
        <w:spacing w:after="0"/>
        <w:rPr>
          <w:rFonts w:ascii="Lucida Sans Unicode" w:hAnsi="Lucida Sans Unicode" w:cs="Lucida Sans Unicode"/>
          <w:b/>
          <w:bCs/>
          <w:sz w:val="21"/>
          <w:szCs w:val="21"/>
        </w:rPr>
      </w:pPr>
      <w:r w:rsidRPr="00EF66A7">
        <w:rPr>
          <w:rFonts w:ascii="Lucida Sans Unicode" w:hAnsi="Lucida Sans Unicode" w:cs="Lucida Sans Unicode"/>
          <w:b/>
          <w:bCs/>
          <w:sz w:val="21"/>
          <w:szCs w:val="21"/>
        </w:rPr>
        <w:t>OBJETIVOS ESPECÍFICOS</w:t>
      </w:r>
    </w:p>
    <w:p w14:paraId="0980BEAD" w14:textId="77777777" w:rsidR="00FA011A" w:rsidRPr="00EF66A7" w:rsidRDefault="00FA011A" w:rsidP="001C28EC">
      <w:pPr>
        <w:spacing w:after="0"/>
        <w:rPr>
          <w:rFonts w:ascii="Lucida Sans Unicode" w:hAnsi="Lucida Sans Unicode" w:cs="Lucida Sans Unicode"/>
          <w:b/>
          <w:bCs/>
          <w:sz w:val="21"/>
          <w:szCs w:val="21"/>
        </w:rPr>
      </w:pPr>
    </w:p>
    <w:p w14:paraId="15A250ED" w14:textId="7B092867" w:rsidR="00420BDD" w:rsidRPr="00EF66A7" w:rsidRDefault="00420BDD" w:rsidP="001C28EC">
      <w:pPr>
        <w:spacing w:after="0"/>
        <w:jc w:val="both"/>
        <w:rPr>
          <w:rFonts w:ascii="Lucida Sans Unicode" w:hAnsi="Lucida Sans Unicode" w:cs="Lucida Sans Unicode"/>
          <w:sz w:val="21"/>
          <w:szCs w:val="21"/>
        </w:rPr>
      </w:pPr>
      <w:r w:rsidRPr="00EF66A7">
        <w:rPr>
          <w:rFonts w:ascii="Lucida Sans Unicode" w:hAnsi="Lucida Sans Unicode" w:cs="Lucida Sans Unicode"/>
          <w:b/>
          <w:bCs/>
          <w:sz w:val="21"/>
          <w:szCs w:val="21"/>
        </w:rPr>
        <w:t>1.</w:t>
      </w:r>
      <w:r w:rsidRPr="00EF66A7">
        <w:rPr>
          <w:rFonts w:ascii="Lucida Sans Unicode" w:hAnsi="Lucida Sans Unicode" w:cs="Lucida Sans Unicode"/>
          <w:sz w:val="21"/>
          <w:szCs w:val="21"/>
        </w:rPr>
        <w:t xml:space="preserve"> </w:t>
      </w:r>
      <w:r w:rsidR="00FA011A" w:rsidRPr="00EF66A7">
        <w:rPr>
          <w:rFonts w:ascii="Lucida Sans Unicode" w:hAnsi="Lucida Sans Unicode" w:cs="Lucida Sans Unicode"/>
          <w:sz w:val="21"/>
          <w:szCs w:val="21"/>
        </w:rPr>
        <w:t xml:space="preserve">Continuar el impulso procesal de los procedimientos sancionadores ordinarios relacionados con las faltas administrativas de la materia que han sido denunciados ante este Instituto, a efecto que sean concluidos de manera pronta y expedita. </w:t>
      </w:r>
    </w:p>
    <w:p w14:paraId="46B3DDAB" w14:textId="77777777" w:rsidR="00FA011A" w:rsidRPr="00EF66A7" w:rsidRDefault="00FA011A" w:rsidP="001C28EC">
      <w:pPr>
        <w:spacing w:after="0"/>
        <w:jc w:val="both"/>
        <w:rPr>
          <w:rFonts w:ascii="Lucida Sans Unicode" w:hAnsi="Lucida Sans Unicode" w:cs="Lucida Sans Unicode"/>
          <w:sz w:val="21"/>
          <w:szCs w:val="21"/>
        </w:rPr>
      </w:pPr>
    </w:p>
    <w:p w14:paraId="263A799A" w14:textId="0C6368A2" w:rsidR="00420BDD" w:rsidRPr="00EF66A7" w:rsidRDefault="00420BDD" w:rsidP="001C28EC">
      <w:pPr>
        <w:spacing w:after="0"/>
        <w:jc w:val="both"/>
        <w:rPr>
          <w:rFonts w:ascii="Lucida Sans Unicode" w:hAnsi="Lucida Sans Unicode" w:cs="Lucida Sans Unicode"/>
          <w:sz w:val="21"/>
          <w:szCs w:val="21"/>
        </w:rPr>
      </w:pPr>
      <w:r w:rsidRPr="00EF66A7">
        <w:rPr>
          <w:rFonts w:ascii="Lucida Sans Unicode" w:hAnsi="Lucida Sans Unicode" w:cs="Lucida Sans Unicode"/>
          <w:b/>
          <w:bCs/>
          <w:sz w:val="21"/>
          <w:szCs w:val="21"/>
        </w:rPr>
        <w:t>2.</w:t>
      </w:r>
      <w:r w:rsidRPr="00EF66A7">
        <w:rPr>
          <w:rFonts w:ascii="Lucida Sans Unicode" w:hAnsi="Lucida Sans Unicode" w:cs="Lucida Sans Unicode"/>
          <w:sz w:val="21"/>
          <w:szCs w:val="21"/>
        </w:rPr>
        <w:t xml:space="preserve"> Atención con perspectiva de género en las medidas cautelares que se soliciten en los procedimientos sancionadores especiales en materia de VPMRG</w:t>
      </w:r>
      <w:r w:rsidR="00886D25" w:rsidRPr="00EF66A7">
        <w:rPr>
          <w:rFonts w:ascii="Lucida Sans Unicode" w:hAnsi="Lucida Sans Unicode" w:cs="Lucida Sans Unicode"/>
          <w:sz w:val="21"/>
          <w:szCs w:val="21"/>
        </w:rPr>
        <w:t>.</w:t>
      </w:r>
    </w:p>
    <w:p w14:paraId="5D8BF429" w14:textId="77777777" w:rsidR="00FA011A" w:rsidRPr="00EF66A7" w:rsidRDefault="00FA011A" w:rsidP="001C28EC">
      <w:pPr>
        <w:spacing w:after="0"/>
        <w:jc w:val="both"/>
        <w:rPr>
          <w:rFonts w:ascii="Lucida Sans Unicode" w:hAnsi="Lucida Sans Unicode" w:cs="Lucida Sans Unicode"/>
          <w:sz w:val="21"/>
          <w:szCs w:val="21"/>
        </w:rPr>
      </w:pPr>
    </w:p>
    <w:p w14:paraId="535972A9" w14:textId="165719CE" w:rsidR="00420BDD" w:rsidRPr="00EF66A7" w:rsidRDefault="00420BDD" w:rsidP="001C28EC">
      <w:pPr>
        <w:spacing w:after="0"/>
        <w:jc w:val="both"/>
        <w:rPr>
          <w:rFonts w:ascii="Lucida Sans Unicode" w:hAnsi="Lucida Sans Unicode" w:cs="Lucida Sans Unicode"/>
          <w:sz w:val="21"/>
          <w:szCs w:val="21"/>
        </w:rPr>
      </w:pPr>
      <w:r w:rsidRPr="00EF66A7">
        <w:rPr>
          <w:rFonts w:ascii="Lucida Sans Unicode" w:hAnsi="Lucida Sans Unicode" w:cs="Lucida Sans Unicode"/>
          <w:b/>
          <w:bCs/>
          <w:sz w:val="21"/>
          <w:szCs w:val="21"/>
        </w:rPr>
        <w:t>3</w:t>
      </w:r>
      <w:r w:rsidRPr="00EF66A7">
        <w:rPr>
          <w:rFonts w:ascii="Lucida Sans Unicode" w:hAnsi="Lucida Sans Unicode" w:cs="Lucida Sans Unicode"/>
          <w:sz w:val="21"/>
          <w:szCs w:val="21"/>
        </w:rPr>
        <w:t xml:space="preserve">. En virtud de encontrarnos en </w:t>
      </w:r>
      <w:r w:rsidR="00FA011A" w:rsidRPr="00EF66A7">
        <w:rPr>
          <w:rFonts w:ascii="Lucida Sans Unicode" w:hAnsi="Lucida Sans Unicode" w:cs="Lucida Sans Unicode"/>
          <w:sz w:val="21"/>
          <w:szCs w:val="21"/>
        </w:rPr>
        <w:t>proceso electoral</w:t>
      </w:r>
      <w:r w:rsidRPr="00EF66A7">
        <w:rPr>
          <w:rFonts w:ascii="Lucida Sans Unicode" w:hAnsi="Lucida Sans Unicode" w:cs="Lucida Sans Unicode"/>
          <w:sz w:val="21"/>
          <w:szCs w:val="21"/>
        </w:rPr>
        <w:t xml:space="preserve">, </w:t>
      </w:r>
      <w:r w:rsidR="00FA011A" w:rsidRPr="00EF66A7">
        <w:rPr>
          <w:rFonts w:ascii="Lucida Sans Unicode" w:hAnsi="Lucida Sans Unicode" w:cs="Lucida Sans Unicode"/>
          <w:sz w:val="21"/>
          <w:szCs w:val="21"/>
        </w:rPr>
        <w:t xml:space="preserve">analizar y dictar de manera expedita a las resoluciones correspondientes de las medidas cautelares que se soliciten en los procedimientos sancionadores especiales que versen sobre la presunta comisión de conductas ilícitas que pudieran influir en el proceso electoral local.  </w:t>
      </w:r>
    </w:p>
    <w:p w14:paraId="161748F8" w14:textId="77777777" w:rsidR="00FA011A" w:rsidRPr="00EF66A7" w:rsidRDefault="00FA011A" w:rsidP="001C28EC">
      <w:pPr>
        <w:spacing w:after="0"/>
        <w:jc w:val="both"/>
        <w:rPr>
          <w:rFonts w:ascii="Lucida Sans Unicode" w:hAnsi="Lucida Sans Unicode" w:cs="Lucida Sans Unicode"/>
          <w:sz w:val="21"/>
          <w:szCs w:val="21"/>
        </w:rPr>
      </w:pPr>
    </w:p>
    <w:p w14:paraId="2B9C23BF" w14:textId="77777777" w:rsidR="00420BDD" w:rsidRPr="00EF66A7" w:rsidRDefault="00420BDD" w:rsidP="001C28EC">
      <w:pPr>
        <w:spacing w:after="0"/>
        <w:jc w:val="both"/>
        <w:rPr>
          <w:rFonts w:ascii="Lucida Sans Unicode" w:hAnsi="Lucida Sans Unicode" w:cs="Lucida Sans Unicode"/>
          <w:sz w:val="21"/>
          <w:szCs w:val="21"/>
        </w:rPr>
      </w:pPr>
      <w:r w:rsidRPr="00EF66A7">
        <w:rPr>
          <w:rFonts w:ascii="Lucida Sans Unicode" w:hAnsi="Lucida Sans Unicode" w:cs="Lucida Sans Unicode"/>
          <w:b/>
          <w:bCs/>
          <w:sz w:val="21"/>
          <w:szCs w:val="21"/>
        </w:rPr>
        <w:t>4.</w:t>
      </w:r>
      <w:r w:rsidRPr="00EF66A7">
        <w:rPr>
          <w:rFonts w:ascii="Lucida Sans Unicode" w:hAnsi="Lucida Sans Unicode" w:cs="Lucida Sans Unicode"/>
          <w:sz w:val="21"/>
          <w:szCs w:val="21"/>
        </w:rPr>
        <w:t xml:space="preserve"> Impulsar alianzas y mecanismos de coordinación interinstitucional para la mejora de la atención de las denuncias que se presenten por infracciones electorales.</w:t>
      </w:r>
    </w:p>
    <w:p w14:paraId="44768165" w14:textId="77777777" w:rsidR="00FA011A" w:rsidRPr="00EF66A7" w:rsidRDefault="00FA011A" w:rsidP="001C28EC">
      <w:pPr>
        <w:spacing w:after="0"/>
        <w:jc w:val="both"/>
        <w:rPr>
          <w:rFonts w:ascii="Lucida Sans Unicode" w:hAnsi="Lucida Sans Unicode" w:cs="Lucida Sans Unicode"/>
          <w:sz w:val="21"/>
          <w:szCs w:val="21"/>
        </w:rPr>
      </w:pPr>
    </w:p>
    <w:p w14:paraId="1B9F89B0" w14:textId="129E49D9" w:rsidR="00FA011A" w:rsidRPr="00EF66A7" w:rsidRDefault="00FA011A" w:rsidP="001C28EC">
      <w:pPr>
        <w:spacing w:after="0"/>
        <w:jc w:val="both"/>
        <w:rPr>
          <w:rFonts w:ascii="Lucida Sans Unicode" w:hAnsi="Lucida Sans Unicode" w:cs="Lucida Sans Unicode"/>
          <w:sz w:val="21"/>
          <w:szCs w:val="21"/>
        </w:rPr>
      </w:pPr>
      <w:r w:rsidRPr="00EF66A7">
        <w:rPr>
          <w:rFonts w:ascii="Lucida Sans Unicode" w:hAnsi="Lucida Sans Unicode" w:cs="Lucida Sans Unicode"/>
          <w:b/>
          <w:bCs/>
          <w:sz w:val="21"/>
          <w:szCs w:val="21"/>
        </w:rPr>
        <w:t xml:space="preserve">5. </w:t>
      </w:r>
      <w:r w:rsidRPr="00EF66A7">
        <w:rPr>
          <w:rFonts w:ascii="Lucida Sans Unicode" w:hAnsi="Lucida Sans Unicode" w:cs="Lucida Sans Unicode"/>
          <w:sz w:val="21"/>
          <w:szCs w:val="21"/>
        </w:rPr>
        <w:t xml:space="preserve">Llevar a cabo el seguimiento de los criterios relevantes en materia de VPMRG de la Sala Regional y Sala Superior del Tribunal Electoral del Poder Judicial de la Federación. </w:t>
      </w:r>
    </w:p>
    <w:p w14:paraId="6F7664FC" w14:textId="77777777" w:rsidR="00FA011A" w:rsidRPr="00EF66A7" w:rsidRDefault="00FA011A" w:rsidP="001C28EC">
      <w:pPr>
        <w:spacing w:after="0"/>
        <w:jc w:val="both"/>
        <w:rPr>
          <w:rFonts w:ascii="Lucida Sans Unicode" w:hAnsi="Lucida Sans Unicode" w:cs="Lucida Sans Unicode"/>
          <w:sz w:val="21"/>
          <w:szCs w:val="21"/>
        </w:rPr>
      </w:pPr>
    </w:p>
    <w:p w14:paraId="25C5460C" w14:textId="04C57713" w:rsidR="00FA011A" w:rsidRPr="00EF66A7" w:rsidRDefault="00420BDD" w:rsidP="001C28EC">
      <w:pPr>
        <w:spacing w:after="0"/>
        <w:jc w:val="both"/>
        <w:rPr>
          <w:rFonts w:ascii="Lucida Sans Unicode" w:hAnsi="Lucida Sans Unicode" w:cs="Lucida Sans Unicode"/>
          <w:b/>
          <w:bCs/>
          <w:sz w:val="21"/>
          <w:szCs w:val="21"/>
        </w:rPr>
      </w:pPr>
      <w:r w:rsidRPr="00EF66A7">
        <w:rPr>
          <w:rFonts w:ascii="Lucida Sans Unicode" w:hAnsi="Lucida Sans Unicode" w:cs="Lucida Sans Unicode"/>
          <w:b/>
          <w:bCs/>
          <w:sz w:val="21"/>
          <w:szCs w:val="21"/>
        </w:rPr>
        <w:t>V.</w:t>
      </w:r>
      <w:r w:rsidR="001704ED" w:rsidRPr="00EF66A7">
        <w:rPr>
          <w:rFonts w:ascii="Lucida Sans Unicode" w:hAnsi="Lucida Sans Unicode" w:cs="Lucida Sans Unicode"/>
          <w:b/>
          <w:bCs/>
          <w:sz w:val="21"/>
          <w:szCs w:val="21"/>
        </w:rPr>
        <w:t xml:space="preserve"> </w:t>
      </w:r>
      <w:r w:rsidRPr="00EF66A7">
        <w:rPr>
          <w:rFonts w:ascii="Lucida Sans Unicode" w:hAnsi="Lucida Sans Unicode" w:cs="Lucida Sans Unicode"/>
          <w:b/>
          <w:bCs/>
          <w:sz w:val="21"/>
          <w:szCs w:val="21"/>
        </w:rPr>
        <w:t>AGENDA CONFORME CON LOS EJES TEMÁTICOS</w:t>
      </w:r>
    </w:p>
    <w:p w14:paraId="1999C0CC" w14:textId="77777777" w:rsidR="001150DA" w:rsidRPr="00EF66A7" w:rsidRDefault="001150DA" w:rsidP="001C28EC">
      <w:pPr>
        <w:spacing w:after="0"/>
        <w:rPr>
          <w:rFonts w:ascii="Lucida Sans Unicode" w:hAnsi="Lucida Sans Unicode" w:cs="Lucida Sans Unicode"/>
          <w:sz w:val="21"/>
          <w:szCs w:val="21"/>
        </w:rPr>
      </w:pPr>
      <w:r w:rsidRPr="00EF66A7">
        <w:rPr>
          <w:rFonts w:ascii="Lucida Sans Unicode" w:hAnsi="Lucida Sans Unicode" w:cs="Lucida Sans Unicode"/>
          <w:sz w:val="21"/>
          <w:szCs w:val="21"/>
        </w:rPr>
        <w:tab/>
      </w:r>
    </w:p>
    <w:tbl>
      <w:tblPr>
        <w:tblStyle w:val="Tablaconcuadrcula"/>
        <w:tblpPr w:leftFromText="141" w:rightFromText="141" w:vertAnchor="text" w:tblpY="1"/>
        <w:tblOverlap w:val="never"/>
        <w:tblW w:w="0" w:type="auto"/>
        <w:tblLook w:val="04A0" w:firstRow="1" w:lastRow="0" w:firstColumn="1" w:lastColumn="0" w:noHBand="0" w:noVBand="1"/>
      </w:tblPr>
      <w:tblGrid>
        <w:gridCol w:w="1919"/>
        <w:gridCol w:w="1983"/>
        <w:gridCol w:w="1709"/>
        <w:gridCol w:w="1754"/>
        <w:gridCol w:w="1463"/>
      </w:tblGrid>
      <w:tr w:rsidR="001150DA" w:rsidRPr="00EF66A7" w14:paraId="75E228FD" w14:textId="77777777" w:rsidTr="00154613">
        <w:tc>
          <w:tcPr>
            <w:tcW w:w="1962" w:type="dxa"/>
            <w:shd w:val="clear" w:color="auto" w:fill="33CCCC"/>
            <w:vAlign w:val="center"/>
          </w:tcPr>
          <w:p w14:paraId="3A860669" w14:textId="77777777" w:rsidR="001150DA" w:rsidRPr="00EF66A7" w:rsidRDefault="001150DA" w:rsidP="00422612">
            <w:pPr>
              <w:jc w:val="center"/>
              <w:rPr>
                <w:b/>
                <w:bCs/>
                <w:sz w:val="21"/>
                <w:szCs w:val="21"/>
              </w:rPr>
            </w:pPr>
            <w:r w:rsidRPr="00EF66A7">
              <w:rPr>
                <w:b/>
                <w:bCs/>
                <w:sz w:val="21"/>
                <w:szCs w:val="21"/>
              </w:rPr>
              <w:t>Proyecto</w:t>
            </w:r>
          </w:p>
        </w:tc>
        <w:tc>
          <w:tcPr>
            <w:tcW w:w="1815" w:type="dxa"/>
            <w:shd w:val="clear" w:color="auto" w:fill="33CCCC"/>
            <w:vAlign w:val="center"/>
          </w:tcPr>
          <w:p w14:paraId="42B0BBBE" w14:textId="77777777" w:rsidR="001150DA" w:rsidRPr="00EF66A7" w:rsidRDefault="001150DA" w:rsidP="00422612">
            <w:pPr>
              <w:jc w:val="center"/>
              <w:rPr>
                <w:b/>
                <w:bCs/>
                <w:sz w:val="21"/>
                <w:szCs w:val="21"/>
              </w:rPr>
            </w:pPr>
            <w:r w:rsidRPr="00EF66A7">
              <w:rPr>
                <w:b/>
                <w:bCs/>
                <w:sz w:val="21"/>
                <w:szCs w:val="21"/>
              </w:rPr>
              <w:t>Actividades</w:t>
            </w:r>
          </w:p>
        </w:tc>
        <w:tc>
          <w:tcPr>
            <w:tcW w:w="1763" w:type="dxa"/>
            <w:shd w:val="clear" w:color="auto" w:fill="33CCCC"/>
            <w:vAlign w:val="center"/>
          </w:tcPr>
          <w:p w14:paraId="111F3A73" w14:textId="77777777" w:rsidR="001150DA" w:rsidRPr="00EF66A7" w:rsidRDefault="001150DA" w:rsidP="00422612">
            <w:pPr>
              <w:jc w:val="center"/>
              <w:rPr>
                <w:b/>
                <w:bCs/>
                <w:sz w:val="21"/>
                <w:szCs w:val="21"/>
              </w:rPr>
            </w:pPr>
            <w:r w:rsidRPr="00EF66A7">
              <w:rPr>
                <w:b/>
                <w:bCs/>
                <w:sz w:val="21"/>
                <w:szCs w:val="21"/>
              </w:rPr>
              <w:t>Periodo de ejecución</w:t>
            </w:r>
          </w:p>
        </w:tc>
        <w:tc>
          <w:tcPr>
            <w:tcW w:w="1773" w:type="dxa"/>
            <w:shd w:val="clear" w:color="auto" w:fill="33CCCC"/>
            <w:vAlign w:val="center"/>
          </w:tcPr>
          <w:p w14:paraId="7611F9C2" w14:textId="77777777" w:rsidR="001150DA" w:rsidRPr="00EF66A7" w:rsidRDefault="001150DA" w:rsidP="00422612">
            <w:pPr>
              <w:jc w:val="center"/>
              <w:rPr>
                <w:b/>
                <w:bCs/>
                <w:sz w:val="21"/>
                <w:szCs w:val="21"/>
              </w:rPr>
            </w:pPr>
            <w:r w:rsidRPr="00EF66A7">
              <w:rPr>
                <w:b/>
                <w:bCs/>
                <w:sz w:val="21"/>
                <w:szCs w:val="21"/>
              </w:rPr>
              <w:t>Producto</w:t>
            </w:r>
          </w:p>
        </w:tc>
        <w:tc>
          <w:tcPr>
            <w:tcW w:w="1515" w:type="dxa"/>
            <w:shd w:val="clear" w:color="auto" w:fill="33CCCC"/>
            <w:vAlign w:val="center"/>
          </w:tcPr>
          <w:p w14:paraId="2AA77938" w14:textId="77777777" w:rsidR="001150DA" w:rsidRPr="00EF66A7" w:rsidRDefault="001150DA" w:rsidP="00422612">
            <w:pPr>
              <w:jc w:val="center"/>
              <w:rPr>
                <w:b/>
                <w:bCs/>
                <w:sz w:val="21"/>
                <w:szCs w:val="21"/>
              </w:rPr>
            </w:pPr>
            <w:r w:rsidRPr="00EF66A7">
              <w:rPr>
                <w:b/>
                <w:bCs/>
                <w:sz w:val="21"/>
                <w:szCs w:val="21"/>
              </w:rPr>
              <w:t>Marco jurídico</w:t>
            </w:r>
          </w:p>
        </w:tc>
      </w:tr>
      <w:tr w:rsidR="001150DA" w:rsidRPr="00EF66A7" w14:paraId="62F91C72" w14:textId="77777777" w:rsidTr="00154613">
        <w:tc>
          <w:tcPr>
            <w:tcW w:w="1962" w:type="dxa"/>
          </w:tcPr>
          <w:p w14:paraId="004B7557" w14:textId="77777777" w:rsidR="001150DA" w:rsidRPr="00EF66A7" w:rsidRDefault="001150DA" w:rsidP="00422612">
            <w:pPr>
              <w:jc w:val="both"/>
              <w:rPr>
                <w:sz w:val="21"/>
                <w:szCs w:val="21"/>
              </w:rPr>
            </w:pPr>
            <w:r w:rsidRPr="00EF66A7">
              <w:rPr>
                <w:sz w:val="21"/>
                <w:szCs w:val="21"/>
              </w:rPr>
              <w:t xml:space="preserve">Agenda de trabajo de la comisión </w:t>
            </w:r>
          </w:p>
        </w:tc>
        <w:tc>
          <w:tcPr>
            <w:tcW w:w="1815" w:type="dxa"/>
          </w:tcPr>
          <w:p w14:paraId="69E12ECB" w14:textId="77777777" w:rsidR="001150DA" w:rsidRPr="00EF66A7" w:rsidRDefault="001150DA" w:rsidP="00422612">
            <w:pPr>
              <w:jc w:val="both"/>
              <w:rPr>
                <w:sz w:val="21"/>
                <w:szCs w:val="21"/>
              </w:rPr>
            </w:pPr>
            <w:r w:rsidRPr="00EF66A7">
              <w:rPr>
                <w:sz w:val="21"/>
                <w:szCs w:val="21"/>
              </w:rPr>
              <w:t xml:space="preserve">Proyección y calendarización integral de las actividades de la Comisión. </w:t>
            </w:r>
          </w:p>
        </w:tc>
        <w:tc>
          <w:tcPr>
            <w:tcW w:w="1763" w:type="dxa"/>
          </w:tcPr>
          <w:p w14:paraId="7ECD17AE" w14:textId="77777777" w:rsidR="001150DA" w:rsidRPr="00EF66A7" w:rsidRDefault="001150DA" w:rsidP="00422612">
            <w:pPr>
              <w:jc w:val="both"/>
              <w:rPr>
                <w:sz w:val="21"/>
                <w:szCs w:val="21"/>
              </w:rPr>
            </w:pPr>
            <w:r w:rsidRPr="00EF66A7">
              <w:rPr>
                <w:sz w:val="21"/>
                <w:szCs w:val="21"/>
              </w:rPr>
              <w:t>Noviembre 2023</w:t>
            </w:r>
          </w:p>
        </w:tc>
        <w:tc>
          <w:tcPr>
            <w:tcW w:w="1773" w:type="dxa"/>
          </w:tcPr>
          <w:p w14:paraId="1D12790E" w14:textId="77777777" w:rsidR="001150DA" w:rsidRPr="00EF66A7" w:rsidRDefault="001150DA" w:rsidP="00422612">
            <w:pPr>
              <w:jc w:val="both"/>
              <w:rPr>
                <w:sz w:val="21"/>
                <w:szCs w:val="21"/>
              </w:rPr>
            </w:pPr>
            <w:r w:rsidRPr="00EF66A7">
              <w:rPr>
                <w:sz w:val="21"/>
                <w:szCs w:val="21"/>
              </w:rPr>
              <w:t xml:space="preserve">Agenda de trabajo </w:t>
            </w:r>
          </w:p>
        </w:tc>
        <w:tc>
          <w:tcPr>
            <w:tcW w:w="1515" w:type="dxa"/>
          </w:tcPr>
          <w:p w14:paraId="68BAD7E3" w14:textId="77777777" w:rsidR="001150DA" w:rsidRPr="00EF66A7" w:rsidRDefault="001150DA" w:rsidP="00422612">
            <w:pPr>
              <w:jc w:val="both"/>
              <w:rPr>
                <w:sz w:val="21"/>
                <w:szCs w:val="21"/>
              </w:rPr>
            </w:pPr>
            <w:r w:rsidRPr="00EF66A7">
              <w:rPr>
                <w:sz w:val="21"/>
                <w:szCs w:val="21"/>
              </w:rPr>
              <w:t xml:space="preserve">Artículo 28 del Reglamento Interior del Instituto Electoral y de Participación Ciudadana del </w:t>
            </w:r>
            <w:r w:rsidRPr="00EF66A7">
              <w:rPr>
                <w:sz w:val="21"/>
                <w:szCs w:val="21"/>
              </w:rPr>
              <w:lastRenderedPageBreak/>
              <w:t>Estado de Jalisco.</w:t>
            </w:r>
          </w:p>
        </w:tc>
      </w:tr>
      <w:tr w:rsidR="001150DA" w:rsidRPr="00EF66A7" w14:paraId="7F485DA8" w14:textId="77777777" w:rsidTr="00154613">
        <w:tc>
          <w:tcPr>
            <w:tcW w:w="1962" w:type="dxa"/>
          </w:tcPr>
          <w:p w14:paraId="09C51A5C" w14:textId="77777777" w:rsidR="001150DA" w:rsidRPr="00EF66A7" w:rsidRDefault="001150DA" w:rsidP="00422612">
            <w:pPr>
              <w:rPr>
                <w:sz w:val="21"/>
                <w:szCs w:val="21"/>
              </w:rPr>
            </w:pPr>
            <w:r w:rsidRPr="00EF66A7">
              <w:rPr>
                <w:sz w:val="21"/>
                <w:szCs w:val="21"/>
              </w:rPr>
              <w:lastRenderedPageBreak/>
              <w:t xml:space="preserve">Sesiones de la Comisión </w:t>
            </w:r>
          </w:p>
        </w:tc>
        <w:tc>
          <w:tcPr>
            <w:tcW w:w="1815" w:type="dxa"/>
          </w:tcPr>
          <w:p w14:paraId="6990DFD6" w14:textId="77777777" w:rsidR="001150DA" w:rsidRPr="00EF66A7" w:rsidRDefault="001150DA" w:rsidP="00422612">
            <w:pPr>
              <w:jc w:val="both"/>
              <w:rPr>
                <w:sz w:val="21"/>
                <w:szCs w:val="21"/>
              </w:rPr>
            </w:pPr>
            <w:r w:rsidRPr="00EF66A7">
              <w:rPr>
                <w:sz w:val="21"/>
                <w:szCs w:val="21"/>
              </w:rPr>
              <w:t>Calendarización de las actividades de la Comisión.</w:t>
            </w:r>
          </w:p>
        </w:tc>
        <w:tc>
          <w:tcPr>
            <w:tcW w:w="1763" w:type="dxa"/>
          </w:tcPr>
          <w:p w14:paraId="75E7F938" w14:textId="77777777" w:rsidR="001150DA" w:rsidRPr="00EF66A7" w:rsidRDefault="001150DA" w:rsidP="00422612">
            <w:pPr>
              <w:jc w:val="both"/>
              <w:rPr>
                <w:sz w:val="21"/>
                <w:szCs w:val="21"/>
              </w:rPr>
            </w:pPr>
            <w:r w:rsidRPr="00EF66A7">
              <w:rPr>
                <w:sz w:val="21"/>
                <w:szCs w:val="21"/>
              </w:rPr>
              <w:t xml:space="preserve">Se llevarán a cabo sesiones ordinarias los meses de noviembre dos mil veintitrés, enero, marzo, mayo, julio y septiembre de dos mil veinticuatro. </w:t>
            </w:r>
          </w:p>
          <w:p w14:paraId="5F50C96F" w14:textId="77777777" w:rsidR="001150DA" w:rsidRPr="00EF66A7" w:rsidRDefault="001150DA" w:rsidP="00422612">
            <w:pPr>
              <w:jc w:val="both"/>
              <w:rPr>
                <w:sz w:val="21"/>
                <w:szCs w:val="21"/>
              </w:rPr>
            </w:pPr>
          </w:p>
          <w:p w14:paraId="394C9D56" w14:textId="77777777" w:rsidR="001150DA" w:rsidRPr="00EF66A7" w:rsidRDefault="001150DA" w:rsidP="00422612">
            <w:pPr>
              <w:jc w:val="both"/>
              <w:rPr>
                <w:sz w:val="21"/>
                <w:szCs w:val="21"/>
              </w:rPr>
            </w:pPr>
            <w:r w:rsidRPr="00EF66A7">
              <w:rPr>
                <w:sz w:val="21"/>
                <w:szCs w:val="21"/>
              </w:rPr>
              <w:t>Adicionalmente se celebrarán las Sesiones extraordinarias cuando lo considere conveniente la Presidencia y/o sus integrantes</w:t>
            </w:r>
          </w:p>
        </w:tc>
        <w:tc>
          <w:tcPr>
            <w:tcW w:w="1773" w:type="dxa"/>
          </w:tcPr>
          <w:p w14:paraId="4B3CC94E" w14:textId="77777777" w:rsidR="001150DA" w:rsidRPr="00EF66A7" w:rsidRDefault="001150DA" w:rsidP="00422612">
            <w:pPr>
              <w:rPr>
                <w:sz w:val="21"/>
                <w:szCs w:val="21"/>
              </w:rPr>
            </w:pPr>
            <w:r w:rsidRPr="00EF66A7">
              <w:rPr>
                <w:sz w:val="21"/>
                <w:szCs w:val="21"/>
              </w:rPr>
              <w:t>Actas de Sesiones</w:t>
            </w:r>
          </w:p>
        </w:tc>
        <w:tc>
          <w:tcPr>
            <w:tcW w:w="1515" w:type="dxa"/>
          </w:tcPr>
          <w:p w14:paraId="76037FBD" w14:textId="77777777" w:rsidR="001150DA" w:rsidRPr="00EF66A7" w:rsidRDefault="001150DA" w:rsidP="00422612">
            <w:pPr>
              <w:jc w:val="both"/>
              <w:rPr>
                <w:sz w:val="21"/>
                <w:szCs w:val="21"/>
              </w:rPr>
            </w:pPr>
            <w:r w:rsidRPr="00EF66A7">
              <w:rPr>
                <w:sz w:val="21"/>
                <w:szCs w:val="21"/>
              </w:rPr>
              <w:t>Artículo 11 del Reglamento Interior del Instituto Electoral y de Participación Ciudadana del Estado de Jalisco.</w:t>
            </w:r>
          </w:p>
        </w:tc>
      </w:tr>
      <w:tr w:rsidR="001150DA" w:rsidRPr="00EF66A7" w14:paraId="0CED804F" w14:textId="77777777" w:rsidTr="00154613">
        <w:tc>
          <w:tcPr>
            <w:tcW w:w="1962" w:type="dxa"/>
          </w:tcPr>
          <w:p w14:paraId="163DFABB" w14:textId="77777777" w:rsidR="001150DA" w:rsidRPr="00EF66A7" w:rsidRDefault="001150DA" w:rsidP="00422612">
            <w:pPr>
              <w:rPr>
                <w:sz w:val="21"/>
                <w:szCs w:val="21"/>
              </w:rPr>
            </w:pPr>
            <w:r w:rsidRPr="00EF66A7">
              <w:rPr>
                <w:sz w:val="21"/>
                <w:szCs w:val="21"/>
              </w:rPr>
              <w:t xml:space="preserve">Informes de la </w:t>
            </w:r>
            <w:proofErr w:type="gramStart"/>
            <w:r w:rsidRPr="00EF66A7">
              <w:rPr>
                <w:sz w:val="21"/>
                <w:szCs w:val="21"/>
              </w:rPr>
              <w:t>Secretaria Técnica</w:t>
            </w:r>
            <w:proofErr w:type="gramEnd"/>
            <w:r w:rsidRPr="00EF66A7">
              <w:rPr>
                <w:sz w:val="21"/>
                <w:szCs w:val="21"/>
              </w:rPr>
              <w:t xml:space="preserve">, la Dirección Jurídica y la dirección de igualdad de Género y no Discriminación. </w:t>
            </w:r>
          </w:p>
        </w:tc>
        <w:tc>
          <w:tcPr>
            <w:tcW w:w="1815" w:type="dxa"/>
          </w:tcPr>
          <w:p w14:paraId="62C8A5C8" w14:textId="77777777" w:rsidR="001150DA" w:rsidRPr="00EF66A7" w:rsidRDefault="001150DA" w:rsidP="00422612">
            <w:pPr>
              <w:jc w:val="both"/>
              <w:rPr>
                <w:sz w:val="21"/>
                <w:szCs w:val="21"/>
              </w:rPr>
            </w:pPr>
            <w:r w:rsidRPr="00EF66A7">
              <w:rPr>
                <w:sz w:val="21"/>
                <w:szCs w:val="21"/>
              </w:rPr>
              <w:t>Recepción de informe de actividades</w:t>
            </w:r>
          </w:p>
        </w:tc>
        <w:tc>
          <w:tcPr>
            <w:tcW w:w="1763" w:type="dxa"/>
          </w:tcPr>
          <w:p w14:paraId="468CDF4B" w14:textId="77777777" w:rsidR="001150DA" w:rsidRPr="00EF66A7" w:rsidRDefault="001150DA" w:rsidP="00422612">
            <w:pPr>
              <w:jc w:val="both"/>
              <w:rPr>
                <w:sz w:val="21"/>
                <w:szCs w:val="21"/>
              </w:rPr>
            </w:pPr>
            <w:r w:rsidRPr="00EF66A7">
              <w:rPr>
                <w:sz w:val="21"/>
                <w:szCs w:val="21"/>
              </w:rPr>
              <w:t xml:space="preserve">De forma ordinaria todos los días treinta de cada mes. </w:t>
            </w:r>
          </w:p>
        </w:tc>
        <w:tc>
          <w:tcPr>
            <w:tcW w:w="1773" w:type="dxa"/>
          </w:tcPr>
          <w:p w14:paraId="255F20D5" w14:textId="77777777" w:rsidR="001150DA" w:rsidRPr="00EF66A7" w:rsidRDefault="001150DA" w:rsidP="00422612">
            <w:pPr>
              <w:rPr>
                <w:sz w:val="21"/>
                <w:szCs w:val="21"/>
              </w:rPr>
            </w:pPr>
            <w:r w:rsidRPr="00EF66A7">
              <w:rPr>
                <w:sz w:val="21"/>
                <w:szCs w:val="21"/>
              </w:rPr>
              <w:t>Informes de actividades y oficios con los soportes documentales correspondientes según corresponda</w:t>
            </w:r>
          </w:p>
        </w:tc>
        <w:tc>
          <w:tcPr>
            <w:tcW w:w="1515" w:type="dxa"/>
          </w:tcPr>
          <w:p w14:paraId="4D7B4406" w14:textId="71D4DD09" w:rsidR="001150DA" w:rsidRPr="00EF66A7" w:rsidRDefault="00422612" w:rsidP="00422612">
            <w:pPr>
              <w:jc w:val="both"/>
              <w:rPr>
                <w:sz w:val="21"/>
                <w:szCs w:val="21"/>
              </w:rPr>
            </w:pPr>
            <w:r w:rsidRPr="00EF66A7">
              <w:rPr>
                <w:sz w:val="21"/>
                <w:szCs w:val="21"/>
              </w:rPr>
              <w:t>Artículo</w:t>
            </w:r>
            <w:r w:rsidR="001150DA" w:rsidRPr="00EF66A7">
              <w:rPr>
                <w:sz w:val="21"/>
                <w:szCs w:val="21"/>
              </w:rPr>
              <w:t xml:space="preserve"> </w:t>
            </w:r>
            <w:r w:rsidRPr="00EF66A7">
              <w:rPr>
                <w:sz w:val="21"/>
                <w:szCs w:val="21"/>
              </w:rPr>
              <w:t xml:space="preserve">22, párrafo 1, fracción IX; 24, párrafo 1, fracción X; </w:t>
            </w:r>
            <w:r w:rsidR="001150DA" w:rsidRPr="00EF66A7">
              <w:rPr>
                <w:sz w:val="21"/>
                <w:szCs w:val="21"/>
              </w:rPr>
              <w:t>del Reglamento Interior del Instituto Electoral y de Participación Ciudadana del Estado de Jalisco.</w:t>
            </w:r>
          </w:p>
        </w:tc>
      </w:tr>
      <w:tr w:rsidR="001150DA" w:rsidRPr="00EF66A7" w14:paraId="792B8636" w14:textId="77777777" w:rsidTr="00154613">
        <w:tc>
          <w:tcPr>
            <w:tcW w:w="1962" w:type="dxa"/>
          </w:tcPr>
          <w:p w14:paraId="0E602048" w14:textId="77777777" w:rsidR="001150DA" w:rsidRPr="00EF66A7" w:rsidRDefault="001150DA" w:rsidP="00422612">
            <w:pPr>
              <w:jc w:val="both"/>
              <w:rPr>
                <w:sz w:val="21"/>
                <w:szCs w:val="21"/>
              </w:rPr>
            </w:pPr>
            <w:r w:rsidRPr="00EF66A7">
              <w:rPr>
                <w:sz w:val="21"/>
                <w:szCs w:val="21"/>
              </w:rPr>
              <w:t xml:space="preserve">Procedimientos sancionadores ordinarios, se busca el cumplimiento y profesionalización en la atención y proyección de resoluciones que se sometan a </w:t>
            </w:r>
            <w:r w:rsidRPr="00EF66A7">
              <w:rPr>
                <w:sz w:val="21"/>
                <w:szCs w:val="21"/>
              </w:rPr>
              <w:lastRenderedPageBreak/>
              <w:t>consideración del Consejo General</w:t>
            </w:r>
          </w:p>
        </w:tc>
        <w:tc>
          <w:tcPr>
            <w:tcW w:w="1815" w:type="dxa"/>
          </w:tcPr>
          <w:p w14:paraId="18C32BDF" w14:textId="77777777" w:rsidR="001150DA" w:rsidRPr="00EF66A7" w:rsidRDefault="001150DA" w:rsidP="00422612">
            <w:pPr>
              <w:jc w:val="both"/>
              <w:rPr>
                <w:sz w:val="21"/>
                <w:szCs w:val="21"/>
              </w:rPr>
            </w:pPr>
            <w:r w:rsidRPr="00EF66A7">
              <w:rPr>
                <w:sz w:val="21"/>
                <w:szCs w:val="21"/>
              </w:rPr>
              <w:lastRenderedPageBreak/>
              <w:t xml:space="preserve">Analizar, valorar, y acordar oportunamente los proyectos de resolución relativos a los procedimientos sancionadores ordinarios que formule la secretaria </w:t>
            </w:r>
            <w:r w:rsidRPr="00EF66A7">
              <w:rPr>
                <w:sz w:val="21"/>
                <w:szCs w:val="21"/>
              </w:rPr>
              <w:lastRenderedPageBreak/>
              <w:t xml:space="preserve">ejecutiva, para ponerlo a disposición del Consejo General. </w:t>
            </w:r>
          </w:p>
        </w:tc>
        <w:tc>
          <w:tcPr>
            <w:tcW w:w="1763" w:type="dxa"/>
          </w:tcPr>
          <w:p w14:paraId="1276C8F4" w14:textId="6AC0D508" w:rsidR="001150DA" w:rsidRPr="00EF66A7" w:rsidRDefault="001150DA" w:rsidP="00422612">
            <w:pPr>
              <w:jc w:val="both"/>
              <w:rPr>
                <w:sz w:val="21"/>
                <w:szCs w:val="21"/>
              </w:rPr>
            </w:pPr>
            <w:r w:rsidRPr="00EF66A7">
              <w:rPr>
                <w:sz w:val="21"/>
                <w:szCs w:val="21"/>
              </w:rPr>
              <w:lastRenderedPageBreak/>
              <w:t xml:space="preserve">Noviembre 2023 a </w:t>
            </w:r>
            <w:proofErr w:type="gramStart"/>
            <w:r w:rsidR="00085E6E" w:rsidRPr="00EF66A7">
              <w:rPr>
                <w:sz w:val="21"/>
                <w:szCs w:val="21"/>
              </w:rPr>
              <w:t>Septiembre</w:t>
            </w:r>
            <w:proofErr w:type="gramEnd"/>
            <w:r w:rsidRPr="00EF66A7">
              <w:rPr>
                <w:sz w:val="21"/>
                <w:szCs w:val="21"/>
              </w:rPr>
              <w:t xml:space="preserve"> de 2024</w:t>
            </w:r>
          </w:p>
        </w:tc>
        <w:tc>
          <w:tcPr>
            <w:tcW w:w="1773" w:type="dxa"/>
          </w:tcPr>
          <w:p w14:paraId="7208024B" w14:textId="77777777" w:rsidR="001150DA" w:rsidRPr="00EF66A7" w:rsidRDefault="001150DA" w:rsidP="00422612">
            <w:pPr>
              <w:jc w:val="both"/>
              <w:rPr>
                <w:sz w:val="21"/>
                <w:szCs w:val="21"/>
              </w:rPr>
            </w:pPr>
            <w:r w:rsidRPr="00EF66A7">
              <w:rPr>
                <w:sz w:val="21"/>
                <w:szCs w:val="21"/>
              </w:rPr>
              <w:t xml:space="preserve">Actas de sesiones de la comisión y proyectos de resolución </w:t>
            </w:r>
          </w:p>
        </w:tc>
        <w:tc>
          <w:tcPr>
            <w:tcW w:w="1515" w:type="dxa"/>
          </w:tcPr>
          <w:p w14:paraId="384CE64A" w14:textId="77777777" w:rsidR="001150DA" w:rsidRPr="00EF66A7" w:rsidRDefault="001150DA" w:rsidP="00422612">
            <w:pPr>
              <w:jc w:val="both"/>
              <w:rPr>
                <w:sz w:val="21"/>
                <w:szCs w:val="21"/>
              </w:rPr>
            </w:pPr>
            <w:r w:rsidRPr="00EF66A7">
              <w:rPr>
                <w:sz w:val="21"/>
                <w:szCs w:val="21"/>
              </w:rPr>
              <w:t>Artículo 470 del Código Electoral del Estado de Jalisco.</w:t>
            </w:r>
          </w:p>
        </w:tc>
      </w:tr>
      <w:tr w:rsidR="001150DA" w:rsidRPr="00EF66A7" w14:paraId="3B82767F" w14:textId="77777777" w:rsidTr="00154613">
        <w:tc>
          <w:tcPr>
            <w:tcW w:w="1962" w:type="dxa"/>
          </w:tcPr>
          <w:p w14:paraId="15C8C3F3" w14:textId="77777777" w:rsidR="001150DA" w:rsidRPr="00EF66A7" w:rsidRDefault="001150DA" w:rsidP="00422612">
            <w:pPr>
              <w:rPr>
                <w:sz w:val="21"/>
                <w:szCs w:val="21"/>
              </w:rPr>
            </w:pPr>
            <w:r w:rsidRPr="00EF66A7">
              <w:rPr>
                <w:sz w:val="21"/>
                <w:szCs w:val="21"/>
              </w:rPr>
              <w:t xml:space="preserve">Medidas cautelares que se soliciten en los procedimientos sancionadores en materia de Violencia Política Contra Mujeres </w:t>
            </w:r>
            <w:proofErr w:type="gramStart"/>
            <w:r w:rsidRPr="00EF66A7">
              <w:rPr>
                <w:sz w:val="21"/>
                <w:szCs w:val="21"/>
              </w:rPr>
              <w:t>en Razón de</w:t>
            </w:r>
            <w:proofErr w:type="gramEnd"/>
            <w:r w:rsidRPr="00EF66A7">
              <w:rPr>
                <w:sz w:val="21"/>
                <w:szCs w:val="21"/>
              </w:rPr>
              <w:t xml:space="preserve"> Genero.</w:t>
            </w:r>
          </w:p>
        </w:tc>
        <w:tc>
          <w:tcPr>
            <w:tcW w:w="1815" w:type="dxa"/>
          </w:tcPr>
          <w:p w14:paraId="5211FE58" w14:textId="77777777" w:rsidR="001150DA" w:rsidRPr="00EF66A7" w:rsidRDefault="001150DA" w:rsidP="00422612">
            <w:pPr>
              <w:jc w:val="both"/>
              <w:rPr>
                <w:sz w:val="21"/>
                <w:szCs w:val="21"/>
              </w:rPr>
            </w:pPr>
            <w:r w:rsidRPr="00EF66A7">
              <w:rPr>
                <w:sz w:val="21"/>
                <w:szCs w:val="21"/>
              </w:rPr>
              <w:t>Valorar y dictar oportunamente las medidas cautelares que sean solicitadas por las personas denunciantes o propuestas por la secretaria ejecutiva</w:t>
            </w:r>
          </w:p>
        </w:tc>
        <w:tc>
          <w:tcPr>
            <w:tcW w:w="1763" w:type="dxa"/>
          </w:tcPr>
          <w:p w14:paraId="1757513C" w14:textId="655BC2C6" w:rsidR="001150DA" w:rsidRPr="00EF66A7" w:rsidRDefault="001150DA" w:rsidP="00422612">
            <w:pPr>
              <w:jc w:val="both"/>
              <w:rPr>
                <w:sz w:val="21"/>
                <w:szCs w:val="21"/>
              </w:rPr>
            </w:pPr>
            <w:r w:rsidRPr="00EF66A7">
              <w:rPr>
                <w:sz w:val="21"/>
                <w:szCs w:val="21"/>
              </w:rPr>
              <w:t xml:space="preserve">Noviembre 2023 a </w:t>
            </w:r>
            <w:proofErr w:type="gramStart"/>
            <w:r w:rsidR="00085E6E" w:rsidRPr="00EF66A7">
              <w:rPr>
                <w:sz w:val="21"/>
                <w:szCs w:val="21"/>
              </w:rPr>
              <w:t>Septiemb</w:t>
            </w:r>
            <w:r w:rsidRPr="00EF66A7">
              <w:rPr>
                <w:sz w:val="21"/>
                <w:szCs w:val="21"/>
              </w:rPr>
              <w:t>re</w:t>
            </w:r>
            <w:proofErr w:type="gramEnd"/>
            <w:r w:rsidRPr="00EF66A7">
              <w:rPr>
                <w:sz w:val="21"/>
                <w:szCs w:val="21"/>
              </w:rPr>
              <w:t xml:space="preserve"> de 2024</w:t>
            </w:r>
          </w:p>
        </w:tc>
        <w:tc>
          <w:tcPr>
            <w:tcW w:w="1773" w:type="dxa"/>
          </w:tcPr>
          <w:p w14:paraId="0BD4276B" w14:textId="77777777" w:rsidR="001150DA" w:rsidRPr="00EF66A7" w:rsidRDefault="001150DA" w:rsidP="00422612">
            <w:pPr>
              <w:jc w:val="both"/>
              <w:rPr>
                <w:sz w:val="21"/>
                <w:szCs w:val="21"/>
              </w:rPr>
            </w:pPr>
            <w:r w:rsidRPr="00EF66A7">
              <w:rPr>
                <w:sz w:val="21"/>
                <w:szCs w:val="21"/>
              </w:rPr>
              <w:t>Actas de sesiones de la comisión y resoluciones de medidas cautelares</w:t>
            </w:r>
          </w:p>
        </w:tc>
        <w:tc>
          <w:tcPr>
            <w:tcW w:w="1515" w:type="dxa"/>
          </w:tcPr>
          <w:p w14:paraId="64F8E552" w14:textId="05B342DE" w:rsidR="001150DA" w:rsidRPr="00EF66A7" w:rsidRDefault="00422612" w:rsidP="00422612">
            <w:pPr>
              <w:jc w:val="both"/>
              <w:rPr>
                <w:sz w:val="21"/>
                <w:szCs w:val="21"/>
              </w:rPr>
            </w:pPr>
            <w:r w:rsidRPr="00EF66A7">
              <w:rPr>
                <w:sz w:val="21"/>
                <w:szCs w:val="21"/>
              </w:rPr>
              <w:t>Artículo 456 bis del Código Electoral del Estado de Jalisco; y a</w:t>
            </w:r>
            <w:r w:rsidR="001150DA" w:rsidRPr="00EF66A7">
              <w:rPr>
                <w:sz w:val="21"/>
                <w:szCs w:val="21"/>
              </w:rPr>
              <w:t>rticulo 11, 41 Bis fracción II Y III de la Ley de Acceso de las Mujeres a Una Vida Libre de Violencia del Estado de Jalisco.</w:t>
            </w:r>
          </w:p>
        </w:tc>
      </w:tr>
      <w:tr w:rsidR="001150DA" w:rsidRPr="00EF66A7" w14:paraId="749B41A7" w14:textId="77777777" w:rsidTr="00154613">
        <w:tc>
          <w:tcPr>
            <w:tcW w:w="1962" w:type="dxa"/>
          </w:tcPr>
          <w:p w14:paraId="1708BBB5" w14:textId="77777777" w:rsidR="001150DA" w:rsidRPr="00EF66A7" w:rsidRDefault="001150DA" w:rsidP="00422612">
            <w:pPr>
              <w:jc w:val="both"/>
              <w:rPr>
                <w:sz w:val="21"/>
                <w:szCs w:val="21"/>
              </w:rPr>
            </w:pPr>
            <w:r w:rsidRPr="00EF66A7">
              <w:rPr>
                <w:sz w:val="21"/>
                <w:szCs w:val="21"/>
              </w:rPr>
              <w:t>Celebrar convenios con las diversas autoridades a que hace referencia la ley de acceso a las mujeres a una vida libre de violencia del estado de jalisco, para la implementación y el dictado de los acuerdos correspondientes relativos al otorgamiento de medidas de protección a víctimas de VPMRG.</w:t>
            </w:r>
          </w:p>
        </w:tc>
        <w:tc>
          <w:tcPr>
            <w:tcW w:w="1815" w:type="dxa"/>
          </w:tcPr>
          <w:p w14:paraId="4515D2DD" w14:textId="77777777" w:rsidR="001150DA" w:rsidRPr="00EF66A7" w:rsidRDefault="001150DA" w:rsidP="00422612">
            <w:pPr>
              <w:jc w:val="both"/>
              <w:rPr>
                <w:sz w:val="21"/>
                <w:szCs w:val="21"/>
              </w:rPr>
            </w:pPr>
            <w:r w:rsidRPr="00EF66A7">
              <w:rPr>
                <w:sz w:val="21"/>
                <w:szCs w:val="21"/>
              </w:rPr>
              <w:t xml:space="preserve">Gestionar la elaboración de convenios de colaboración con las autoridades competentes para el otorgamiento de medidas de protección, así como para la atención de primer contacto a las </w:t>
            </w:r>
            <w:proofErr w:type="spellStart"/>
            <w:r w:rsidRPr="00EF66A7">
              <w:rPr>
                <w:sz w:val="21"/>
                <w:szCs w:val="21"/>
              </w:rPr>
              <w:t>victimas</w:t>
            </w:r>
            <w:proofErr w:type="spellEnd"/>
            <w:r w:rsidRPr="00EF66A7">
              <w:rPr>
                <w:sz w:val="21"/>
                <w:szCs w:val="21"/>
              </w:rPr>
              <w:t xml:space="preserve"> de violencia política, (Art. 57, párrafos primero y segundo de la ley de Acceso a las Mujeres para una Vida Libre de Violencia del estado de Jalisco.</w:t>
            </w:r>
          </w:p>
        </w:tc>
        <w:tc>
          <w:tcPr>
            <w:tcW w:w="1763" w:type="dxa"/>
          </w:tcPr>
          <w:p w14:paraId="71474664" w14:textId="6593E37D" w:rsidR="001150DA" w:rsidRPr="00EF66A7" w:rsidRDefault="00150FB2" w:rsidP="00422612">
            <w:pPr>
              <w:jc w:val="both"/>
              <w:rPr>
                <w:sz w:val="21"/>
                <w:szCs w:val="21"/>
              </w:rPr>
            </w:pPr>
            <w:r w:rsidRPr="00EF66A7">
              <w:rPr>
                <w:sz w:val="21"/>
                <w:szCs w:val="21"/>
              </w:rPr>
              <w:t>Noviembre</w:t>
            </w:r>
            <w:r w:rsidR="001150DA" w:rsidRPr="00EF66A7">
              <w:rPr>
                <w:sz w:val="21"/>
                <w:szCs w:val="21"/>
              </w:rPr>
              <w:t xml:space="preserve"> 2023 a </w:t>
            </w:r>
            <w:proofErr w:type="gramStart"/>
            <w:r w:rsidRPr="00EF66A7">
              <w:rPr>
                <w:sz w:val="21"/>
                <w:szCs w:val="21"/>
              </w:rPr>
              <w:t>Septiembre</w:t>
            </w:r>
            <w:proofErr w:type="gramEnd"/>
            <w:r w:rsidR="001150DA" w:rsidRPr="00EF66A7">
              <w:rPr>
                <w:sz w:val="21"/>
                <w:szCs w:val="21"/>
              </w:rPr>
              <w:t xml:space="preserve"> de 2024</w:t>
            </w:r>
          </w:p>
        </w:tc>
        <w:tc>
          <w:tcPr>
            <w:tcW w:w="1773" w:type="dxa"/>
          </w:tcPr>
          <w:p w14:paraId="56646FED" w14:textId="77777777" w:rsidR="001150DA" w:rsidRPr="00EF66A7" w:rsidRDefault="001150DA" w:rsidP="00422612">
            <w:pPr>
              <w:rPr>
                <w:sz w:val="21"/>
                <w:szCs w:val="21"/>
              </w:rPr>
            </w:pPr>
            <w:r w:rsidRPr="00EF66A7">
              <w:rPr>
                <w:sz w:val="21"/>
                <w:szCs w:val="21"/>
              </w:rPr>
              <w:t xml:space="preserve">Convenios de colaboración. </w:t>
            </w:r>
          </w:p>
        </w:tc>
        <w:tc>
          <w:tcPr>
            <w:tcW w:w="1515" w:type="dxa"/>
          </w:tcPr>
          <w:p w14:paraId="6626ABD7" w14:textId="4B661DF3" w:rsidR="001150DA" w:rsidRPr="00EF66A7" w:rsidRDefault="001150DA" w:rsidP="00422612">
            <w:pPr>
              <w:jc w:val="both"/>
              <w:rPr>
                <w:sz w:val="21"/>
                <w:szCs w:val="21"/>
              </w:rPr>
            </w:pPr>
            <w:r w:rsidRPr="00EF66A7">
              <w:rPr>
                <w:sz w:val="21"/>
                <w:szCs w:val="21"/>
              </w:rPr>
              <w:t>Artículos 134 fracción XLVIII, 143 fracción XXXIV inciso C) Y 223 del Código Electoral del Estado de Jalisco; Articulo 11, 41 Bis fracción II Y III de la Ley de Acceso de las Mujeres a Una Vida Libre de Violencia del Estado de Jalisco.</w:t>
            </w:r>
          </w:p>
        </w:tc>
      </w:tr>
      <w:tr w:rsidR="001150DA" w:rsidRPr="00EF66A7" w14:paraId="689EA61F" w14:textId="77777777" w:rsidTr="00154613">
        <w:tc>
          <w:tcPr>
            <w:tcW w:w="1962" w:type="dxa"/>
          </w:tcPr>
          <w:p w14:paraId="033288C0" w14:textId="77777777" w:rsidR="001150DA" w:rsidRPr="00EF66A7" w:rsidRDefault="001150DA" w:rsidP="00422612">
            <w:pPr>
              <w:jc w:val="both"/>
              <w:rPr>
                <w:sz w:val="21"/>
                <w:szCs w:val="21"/>
              </w:rPr>
            </w:pPr>
            <w:r w:rsidRPr="00EF66A7">
              <w:rPr>
                <w:sz w:val="21"/>
                <w:szCs w:val="21"/>
              </w:rPr>
              <w:t>Coadyuvar, proponer y dar seguimiento al cumplimiento de las obligaciones legales que tiene esta Comisión.</w:t>
            </w:r>
          </w:p>
        </w:tc>
        <w:tc>
          <w:tcPr>
            <w:tcW w:w="1815" w:type="dxa"/>
          </w:tcPr>
          <w:p w14:paraId="44B4E293" w14:textId="77777777" w:rsidR="001150DA" w:rsidRPr="00EF66A7" w:rsidRDefault="001150DA" w:rsidP="00422612">
            <w:pPr>
              <w:rPr>
                <w:sz w:val="21"/>
                <w:szCs w:val="21"/>
              </w:rPr>
            </w:pPr>
            <w:r w:rsidRPr="00EF66A7">
              <w:rPr>
                <w:sz w:val="21"/>
                <w:szCs w:val="21"/>
              </w:rPr>
              <w:t>Gestionar de manera oportuna el procedimiento correspondiente a cada una de las obligaciones que sostiene esta Comisión.</w:t>
            </w:r>
          </w:p>
        </w:tc>
        <w:tc>
          <w:tcPr>
            <w:tcW w:w="1763" w:type="dxa"/>
          </w:tcPr>
          <w:p w14:paraId="6A64FD6A" w14:textId="0CB1391B" w:rsidR="001150DA" w:rsidRPr="00EF66A7" w:rsidRDefault="001150DA" w:rsidP="00422612">
            <w:pPr>
              <w:rPr>
                <w:sz w:val="21"/>
                <w:szCs w:val="21"/>
              </w:rPr>
            </w:pPr>
            <w:r w:rsidRPr="00EF66A7">
              <w:rPr>
                <w:sz w:val="21"/>
                <w:szCs w:val="21"/>
              </w:rPr>
              <w:t xml:space="preserve">Noviembre 2023 a </w:t>
            </w:r>
            <w:proofErr w:type="gramStart"/>
            <w:r w:rsidR="00E63DB8" w:rsidRPr="00EF66A7">
              <w:rPr>
                <w:sz w:val="21"/>
                <w:szCs w:val="21"/>
              </w:rPr>
              <w:t>Septiembre</w:t>
            </w:r>
            <w:proofErr w:type="gramEnd"/>
            <w:r w:rsidRPr="00EF66A7">
              <w:rPr>
                <w:sz w:val="21"/>
                <w:szCs w:val="21"/>
              </w:rPr>
              <w:t xml:space="preserve"> de 2024</w:t>
            </w:r>
          </w:p>
        </w:tc>
        <w:tc>
          <w:tcPr>
            <w:tcW w:w="1773" w:type="dxa"/>
          </w:tcPr>
          <w:p w14:paraId="3F5ABE73" w14:textId="77777777" w:rsidR="001150DA" w:rsidRPr="00EF66A7" w:rsidRDefault="001150DA" w:rsidP="00422612">
            <w:pPr>
              <w:jc w:val="both"/>
              <w:rPr>
                <w:sz w:val="21"/>
                <w:szCs w:val="21"/>
              </w:rPr>
            </w:pPr>
            <w:r w:rsidRPr="00EF66A7">
              <w:rPr>
                <w:sz w:val="21"/>
                <w:szCs w:val="21"/>
              </w:rPr>
              <w:t>Actas de sesiones de la comisión.</w:t>
            </w:r>
          </w:p>
        </w:tc>
        <w:tc>
          <w:tcPr>
            <w:tcW w:w="1515" w:type="dxa"/>
          </w:tcPr>
          <w:p w14:paraId="17490DAF" w14:textId="77777777" w:rsidR="001150DA" w:rsidRPr="00EF66A7" w:rsidRDefault="001150DA" w:rsidP="00422612">
            <w:pPr>
              <w:rPr>
                <w:sz w:val="21"/>
                <w:szCs w:val="21"/>
              </w:rPr>
            </w:pPr>
            <w:r w:rsidRPr="00EF66A7">
              <w:rPr>
                <w:sz w:val="21"/>
                <w:szCs w:val="21"/>
              </w:rPr>
              <w:t xml:space="preserve">Artículo 35 del reglamento de quejas y denuncias del Instituto Electoral y de Participación ciudadana del </w:t>
            </w:r>
            <w:r w:rsidRPr="00EF66A7">
              <w:rPr>
                <w:sz w:val="21"/>
                <w:szCs w:val="21"/>
              </w:rPr>
              <w:lastRenderedPageBreak/>
              <w:t>estado de Jalisco.</w:t>
            </w:r>
          </w:p>
        </w:tc>
      </w:tr>
      <w:tr w:rsidR="001150DA" w:rsidRPr="00EF66A7" w14:paraId="66118FAB" w14:textId="77777777" w:rsidTr="00154613">
        <w:tc>
          <w:tcPr>
            <w:tcW w:w="1962" w:type="dxa"/>
          </w:tcPr>
          <w:p w14:paraId="2957F244" w14:textId="77777777" w:rsidR="001150DA" w:rsidRPr="00EF66A7" w:rsidRDefault="001150DA" w:rsidP="00422612">
            <w:pPr>
              <w:jc w:val="both"/>
              <w:rPr>
                <w:sz w:val="21"/>
                <w:szCs w:val="21"/>
              </w:rPr>
            </w:pPr>
            <w:r w:rsidRPr="00EF66A7">
              <w:rPr>
                <w:rFonts w:ascii="Lucida Sans Unicode" w:hAnsi="Lucida Sans Unicode" w:cs="Lucida Sans Unicode"/>
                <w:sz w:val="21"/>
                <w:szCs w:val="21"/>
              </w:rPr>
              <w:lastRenderedPageBreak/>
              <w:t>Continuar el impulso procesal de los procedimientos sancionadores ordinarios relacionados con las faltas administrativas de la materia que han sido denunciados ante este Instituto, a efecto que sean concluidos de manera pronta y expedita.</w:t>
            </w:r>
          </w:p>
        </w:tc>
        <w:tc>
          <w:tcPr>
            <w:tcW w:w="1815" w:type="dxa"/>
          </w:tcPr>
          <w:p w14:paraId="2DF5EFF9" w14:textId="77777777" w:rsidR="001150DA" w:rsidRPr="00EF66A7" w:rsidRDefault="001150DA" w:rsidP="00422612">
            <w:pPr>
              <w:jc w:val="both"/>
              <w:rPr>
                <w:sz w:val="21"/>
                <w:szCs w:val="21"/>
              </w:rPr>
            </w:pPr>
            <w:r w:rsidRPr="00EF66A7">
              <w:rPr>
                <w:sz w:val="21"/>
                <w:szCs w:val="21"/>
              </w:rPr>
              <w:t>Analizar, valorar, y acordar oportunamente los proyectos de resolución relativos a los procedimientos sancionadores ordinarios que formule la secretaria ejecutiva, para ponerlo a disposición del Consejo General.</w:t>
            </w:r>
          </w:p>
        </w:tc>
        <w:tc>
          <w:tcPr>
            <w:tcW w:w="1763" w:type="dxa"/>
          </w:tcPr>
          <w:p w14:paraId="4F03F20E" w14:textId="555C954C" w:rsidR="001150DA" w:rsidRPr="00EF66A7" w:rsidRDefault="001150DA" w:rsidP="00422612">
            <w:pPr>
              <w:rPr>
                <w:sz w:val="21"/>
                <w:szCs w:val="21"/>
              </w:rPr>
            </w:pPr>
            <w:r w:rsidRPr="00EF66A7">
              <w:rPr>
                <w:sz w:val="21"/>
                <w:szCs w:val="21"/>
              </w:rPr>
              <w:t>Noviembre 2023 a</w:t>
            </w:r>
            <w:r w:rsidR="00F16FB0" w:rsidRPr="00EF66A7">
              <w:rPr>
                <w:sz w:val="21"/>
                <w:szCs w:val="21"/>
              </w:rPr>
              <w:t xml:space="preserve"> septiembre de 2024</w:t>
            </w:r>
          </w:p>
        </w:tc>
        <w:tc>
          <w:tcPr>
            <w:tcW w:w="1773" w:type="dxa"/>
          </w:tcPr>
          <w:p w14:paraId="6569F1AE" w14:textId="77777777" w:rsidR="001150DA" w:rsidRPr="00EF66A7" w:rsidRDefault="001150DA" w:rsidP="00422612">
            <w:pPr>
              <w:rPr>
                <w:sz w:val="21"/>
                <w:szCs w:val="21"/>
              </w:rPr>
            </w:pPr>
            <w:r w:rsidRPr="00EF66A7">
              <w:rPr>
                <w:sz w:val="21"/>
                <w:szCs w:val="21"/>
              </w:rPr>
              <w:t>Actas de sesiones de la comisión y proyectos de resolución</w:t>
            </w:r>
          </w:p>
        </w:tc>
        <w:tc>
          <w:tcPr>
            <w:tcW w:w="1515" w:type="dxa"/>
          </w:tcPr>
          <w:p w14:paraId="2C697DF3" w14:textId="77777777" w:rsidR="001150DA" w:rsidRPr="00EF66A7" w:rsidRDefault="001150DA" w:rsidP="00422612">
            <w:pPr>
              <w:rPr>
                <w:sz w:val="21"/>
                <w:szCs w:val="21"/>
              </w:rPr>
            </w:pPr>
            <w:r w:rsidRPr="00EF66A7">
              <w:rPr>
                <w:sz w:val="21"/>
                <w:szCs w:val="21"/>
              </w:rPr>
              <w:t>Artículo 470 del Código Electoral del Estado de Jalisco y 35 fracción II del reglamento interior   del Instituto Electoral y de Participación Ciudadana del Estado de Jalisco.</w:t>
            </w:r>
          </w:p>
        </w:tc>
      </w:tr>
      <w:tr w:rsidR="001150DA" w:rsidRPr="00EF66A7" w14:paraId="530B7C5D" w14:textId="77777777" w:rsidTr="00154613">
        <w:tc>
          <w:tcPr>
            <w:tcW w:w="1962" w:type="dxa"/>
          </w:tcPr>
          <w:p w14:paraId="4AC17C65" w14:textId="77777777" w:rsidR="001150DA" w:rsidRPr="00EF66A7" w:rsidRDefault="001150DA" w:rsidP="00422612">
            <w:pPr>
              <w:jc w:val="both"/>
              <w:rPr>
                <w:rFonts w:ascii="Lucida Sans Unicode" w:hAnsi="Lucida Sans Unicode" w:cs="Lucida Sans Unicode"/>
                <w:sz w:val="21"/>
                <w:szCs w:val="21"/>
              </w:rPr>
            </w:pPr>
            <w:r w:rsidRPr="00EF66A7">
              <w:rPr>
                <w:rFonts w:ascii="Lucida Sans Unicode" w:hAnsi="Lucida Sans Unicode" w:cs="Lucida Sans Unicode"/>
                <w:sz w:val="21"/>
                <w:szCs w:val="21"/>
              </w:rPr>
              <w:t>Atención con perspectiva de género en las medidas cautelares que se soliciten en los procedimientos sancionadores especiales en materia de VPMRG.</w:t>
            </w:r>
          </w:p>
        </w:tc>
        <w:tc>
          <w:tcPr>
            <w:tcW w:w="1815" w:type="dxa"/>
          </w:tcPr>
          <w:p w14:paraId="7BCE1065" w14:textId="77777777" w:rsidR="001150DA" w:rsidRPr="00EF66A7" w:rsidRDefault="001150DA" w:rsidP="00422612">
            <w:pPr>
              <w:rPr>
                <w:sz w:val="21"/>
                <w:szCs w:val="21"/>
              </w:rPr>
            </w:pPr>
            <w:r w:rsidRPr="00EF66A7">
              <w:rPr>
                <w:sz w:val="21"/>
                <w:szCs w:val="21"/>
              </w:rPr>
              <w:t xml:space="preserve">Revisar la legislación aplicable nacional, estatal y convencional en materia de violencia política Contra Mujeres </w:t>
            </w:r>
            <w:proofErr w:type="gramStart"/>
            <w:r w:rsidRPr="00EF66A7">
              <w:rPr>
                <w:sz w:val="21"/>
                <w:szCs w:val="21"/>
              </w:rPr>
              <w:t>en Razón de</w:t>
            </w:r>
            <w:proofErr w:type="gramEnd"/>
            <w:r w:rsidRPr="00EF66A7">
              <w:rPr>
                <w:sz w:val="21"/>
                <w:szCs w:val="21"/>
              </w:rPr>
              <w:t xml:space="preserve"> Genero con la finalidad de establecer criterios que permitan la adopción de medidas cautelares y de protección acordes con el nivel de riesgo de la víctima.</w:t>
            </w:r>
          </w:p>
        </w:tc>
        <w:tc>
          <w:tcPr>
            <w:tcW w:w="1763" w:type="dxa"/>
          </w:tcPr>
          <w:p w14:paraId="2B57ED80" w14:textId="1A9D8E1E" w:rsidR="001150DA" w:rsidRPr="00EF66A7" w:rsidRDefault="001150DA" w:rsidP="00422612">
            <w:pPr>
              <w:rPr>
                <w:sz w:val="21"/>
                <w:szCs w:val="21"/>
              </w:rPr>
            </w:pPr>
            <w:r w:rsidRPr="00EF66A7">
              <w:rPr>
                <w:sz w:val="21"/>
                <w:szCs w:val="21"/>
              </w:rPr>
              <w:t xml:space="preserve">Noviembre 2023 a </w:t>
            </w:r>
            <w:proofErr w:type="gramStart"/>
            <w:r w:rsidR="004E3D9F" w:rsidRPr="00EF66A7">
              <w:rPr>
                <w:sz w:val="21"/>
                <w:szCs w:val="21"/>
              </w:rPr>
              <w:t>Septiembre</w:t>
            </w:r>
            <w:proofErr w:type="gramEnd"/>
            <w:r w:rsidRPr="00EF66A7">
              <w:rPr>
                <w:sz w:val="21"/>
                <w:szCs w:val="21"/>
              </w:rPr>
              <w:t xml:space="preserve"> de 2024</w:t>
            </w:r>
          </w:p>
        </w:tc>
        <w:tc>
          <w:tcPr>
            <w:tcW w:w="1773" w:type="dxa"/>
          </w:tcPr>
          <w:p w14:paraId="673F163F" w14:textId="77777777" w:rsidR="001150DA" w:rsidRPr="00EF66A7" w:rsidRDefault="001150DA" w:rsidP="00422612">
            <w:pPr>
              <w:rPr>
                <w:sz w:val="21"/>
                <w:szCs w:val="21"/>
              </w:rPr>
            </w:pPr>
            <w:r w:rsidRPr="00EF66A7">
              <w:rPr>
                <w:sz w:val="21"/>
                <w:szCs w:val="21"/>
              </w:rPr>
              <w:t>Actas de sesiones de la comisión y resoluciones de medidas cautelares</w:t>
            </w:r>
          </w:p>
        </w:tc>
        <w:tc>
          <w:tcPr>
            <w:tcW w:w="1515" w:type="dxa"/>
          </w:tcPr>
          <w:p w14:paraId="7A456B6A" w14:textId="77777777" w:rsidR="001150DA" w:rsidRPr="00EF66A7" w:rsidRDefault="001150DA" w:rsidP="00422612">
            <w:pPr>
              <w:jc w:val="both"/>
              <w:rPr>
                <w:sz w:val="21"/>
                <w:szCs w:val="21"/>
              </w:rPr>
            </w:pPr>
            <w:r w:rsidRPr="00EF66A7">
              <w:rPr>
                <w:sz w:val="21"/>
                <w:szCs w:val="21"/>
              </w:rPr>
              <w:t xml:space="preserve">Artículos 37, 40 y 42 de Reglamento de Quejas y Denuncias en Materia de Violencia Política contra las Mujeres </w:t>
            </w:r>
            <w:proofErr w:type="gramStart"/>
            <w:r w:rsidRPr="00EF66A7">
              <w:rPr>
                <w:sz w:val="21"/>
                <w:szCs w:val="21"/>
              </w:rPr>
              <w:t>en razón de</w:t>
            </w:r>
            <w:proofErr w:type="gramEnd"/>
            <w:r w:rsidRPr="00EF66A7">
              <w:rPr>
                <w:sz w:val="21"/>
                <w:szCs w:val="21"/>
              </w:rPr>
              <w:t xml:space="preserve"> Género del Instituto Electoral y de Participación Ciudadana del Estado de Jalisco. Artículo 11, 41 Bis fracción II Y III de la Ley de </w:t>
            </w:r>
            <w:r w:rsidRPr="00EF66A7">
              <w:rPr>
                <w:sz w:val="21"/>
                <w:szCs w:val="21"/>
              </w:rPr>
              <w:lastRenderedPageBreak/>
              <w:t>Acceso de las Mujeres a Una Vida Libre de Violencia del Estado de Jalisco.</w:t>
            </w:r>
          </w:p>
          <w:p w14:paraId="5436BD5D" w14:textId="77777777" w:rsidR="001150DA" w:rsidRPr="00EF66A7" w:rsidRDefault="001150DA" w:rsidP="00422612">
            <w:pPr>
              <w:rPr>
                <w:sz w:val="21"/>
                <w:szCs w:val="21"/>
              </w:rPr>
            </w:pPr>
          </w:p>
        </w:tc>
      </w:tr>
      <w:tr w:rsidR="001150DA" w:rsidRPr="00EF66A7" w14:paraId="46D69BE7" w14:textId="77777777" w:rsidTr="00154613">
        <w:tc>
          <w:tcPr>
            <w:tcW w:w="1962" w:type="dxa"/>
          </w:tcPr>
          <w:p w14:paraId="7AAEE4FB" w14:textId="77777777" w:rsidR="001150DA" w:rsidRPr="00EF66A7" w:rsidRDefault="001150DA" w:rsidP="00422612">
            <w:pPr>
              <w:jc w:val="both"/>
              <w:rPr>
                <w:rFonts w:ascii="Lucida Sans Unicode" w:hAnsi="Lucida Sans Unicode" w:cs="Lucida Sans Unicode"/>
                <w:sz w:val="21"/>
                <w:szCs w:val="21"/>
              </w:rPr>
            </w:pPr>
            <w:r w:rsidRPr="00EF66A7">
              <w:rPr>
                <w:rFonts w:ascii="Lucida Sans Unicode" w:hAnsi="Lucida Sans Unicode" w:cs="Lucida Sans Unicode"/>
                <w:sz w:val="21"/>
                <w:szCs w:val="21"/>
              </w:rPr>
              <w:lastRenderedPageBreak/>
              <w:t>Otorgamiento de medidas cautelares dentro de procedimientos sancionadores especiales, derivados de conductas que impacten en el proceso electoral local 2023-2024.</w:t>
            </w:r>
          </w:p>
          <w:p w14:paraId="2293724A" w14:textId="77777777" w:rsidR="001150DA" w:rsidRPr="00EF66A7" w:rsidRDefault="001150DA" w:rsidP="00422612">
            <w:pPr>
              <w:jc w:val="both"/>
              <w:rPr>
                <w:rFonts w:ascii="Lucida Sans Unicode" w:hAnsi="Lucida Sans Unicode" w:cs="Lucida Sans Unicode"/>
                <w:sz w:val="21"/>
                <w:szCs w:val="21"/>
              </w:rPr>
            </w:pPr>
          </w:p>
        </w:tc>
        <w:tc>
          <w:tcPr>
            <w:tcW w:w="1815" w:type="dxa"/>
          </w:tcPr>
          <w:p w14:paraId="0D94332A" w14:textId="067967B1" w:rsidR="001150DA" w:rsidRPr="00EF66A7" w:rsidRDefault="001150DA" w:rsidP="00422612">
            <w:pPr>
              <w:jc w:val="both"/>
              <w:rPr>
                <w:sz w:val="21"/>
                <w:szCs w:val="21"/>
              </w:rPr>
            </w:pPr>
            <w:r w:rsidRPr="00EF66A7">
              <w:rPr>
                <w:rFonts w:ascii="Lucida Sans Unicode" w:hAnsi="Lucida Sans Unicode" w:cs="Lucida Sans Unicode"/>
                <w:sz w:val="21"/>
                <w:szCs w:val="21"/>
              </w:rPr>
              <w:t xml:space="preserve">En virtud de encontrarnos en proceso electoral, analizar y dictar de manera </w:t>
            </w:r>
            <w:r w:rsidR="00235625" w:rsidRPr="00EF66A7">
              <w:rPr>
                <w:rFonts w:ascii="Lucida Sans Unicode" w:hAnsi="Lucida Sans Unicode" w:cs="Lucida Sans Unicode"/>
                <w:sz w:val="21"/>
                <w:szCs w:val="21"/>
              </w:rPr>
              <w:t>expedita las</w:t>
            </w:r>
            <w:r w:rsidRPr="00EF66A7">
              <w:rPr>
                <w:rFonts w:ascii="Lucida Sans Unicode" w:hAnsi="Lucida Sans Unicode" w:cs="Lucida Sans Unicode"/>
                <w:sz w:val="21"/>
                <w:szCs w:val="21"/>
              </w:rPr>
              <w:t xml:space="preserve"> resoluciones correspondientes de las medidas cautelares que se soliciten en los procedimientos sancionadores especiales que versen sobre la presunta comisión de conductas ilícitas que pudieran influir en el proceso electoral local.  </w:t>
            </w:r>
          </w:p>
        </w:tc>
        <w:tc>
          <w:tcPr>
            <w:tcW w:w="1763" w:type="dxa"/>
          </w:tcPr>
          <w:p w14:paraId="097B812B" w14:textId="466C665E" w:rsidR="001150DA" w:rsidRPr="00EF66A7" w:rsidRDefault="001150DA" w:rsidP="00422612">
            <w:pPr>
              <w:rPr>
                <w:sz w:val="21"/>
                <w:szCs w:val="21"/>
              </w:rPr>
            </w:pPr>
            <w:r w:rsidRPr="00EF66A7">
              <w:rPr>
                <w:sz w:val="21"/>
                <w:szCs w:val="21"/>
              </w:rPr>
              <w:t xml:space="preserve">Noviembre 2023 a </w:t>
            </w:r>
            <w:proofErr w:type="gramStart"/>
            <w:r w:rsidR="004E3D9F" w:rsidRPr="00EF66A7">
              <w:rPr>
                <w:sz w:val="21"/>
                <w:szCs w:val="21"/>
              </w:rPr>
              <w:t>Septiembre</w:t>
            </w:r>
            <w:proofErr w:type="gramEnd"/>
            <w:r w:rsidRPr="00EF66A7">
              <w:rPr>
                <w:sz w:val="21"/>
                <w:szCs w:val="21"/>
              </w:rPr>
              <w:t xml:space="preserve"> de 2024</w:t>
            </w:r>
          </w:p>
        </w:tc>
        <w:tc>
          <w:tcPr>
            <w:tcW w:w="1773" w:type="dxa"/>
          </w:tcPr>
          <w:p w14:paraId="6216F6DB" w14:textId="77777777" w:rsidR="001150DA" w:rsidRPr="00EF66A7" w:rsidRDefault="001150DA" w:rsidP="00422612">
            <w:pPr>
              <w:jc w:val="both"/>
              <w:rPr>
                <w:sz w:val="21"/>
                <w:szCs w:val="21"/>
              </w:rPr>
            </w:pPr>
            <w:r w:rsidRPr="00EF66A7">
              <w:rPr>
                <w:sz w:val="21"/>
                <w:szCs w:val="21"/>
              </w:rPr>
              <w:t>Actas de sesiones de la comisión y resoluciones de medidas cautelares</w:t>
            </w:r>
          </w:p>
        </w:tc>
        <w:tc>
          <w:tcPr>
            <w:tcW w:w="1515" w:type="dxa"/>
          </w:tcPr>
          <w:p w14:paraId="26091E28" w14:textId="77777777" w:rsidR="001150DA" w:rsidRPr="00EF66A7" w:rsidRDefault="001150DA" w:rsidP="00422612">
            <w:pPr>
              <w:rPr>
                <w:sz w:val="21"/>
                <w:szCs w:val="21"/>
              </w:rPr>
            </w:pPr>
            <w:r w:rsidRPr="00EF66A7">
              <w:rPr>
                <w:sz w:val="21"/>
                <w:szCs w:val="21"/>
              </w:rPr>
              <w:t>Artículo 35, fracción III del Reglamento Interior del Instituto Electoral y de Participación Ciudadana del Estado de Jalisco.</w:t>
            </w:r>
          </w:p>
        </w:tc>
      </w:tr>
      <w:tr w:rsidR="001150DA" w:rsidRPr="00EF66A7" w14:paraId="62E8CD76" w14:textId="77777777" w:rsidTr="00154613">
        <w:tc>
          <w:tcPr>
            <w:tcW w:w="1962" w:type="dxa"/>
          </w:tcPr>
          <w:p w14:paraId="3227CFAD" w14:textId="77777777" w:rsidR="001150DA" w:rsidRPr="00EF66A7" w:rsidRDefault="001150DA" w:rsidP="00422612">
            <w:pPr>
              <w:jc w:val="both"/>
              <w:rPr>
                <w:sz w:val="21"/>
                <w:szCs w:val="21"/>
              </w:rPr>
            </w:pPr>
            <w:r w:rsidRPr="00EF66A7">
              <w:rPr>
                <w:rFonts w:ascii="Lucida Sans Unicode" w:hAnsi="Lucida Sans Unicode" w:cs="Lucida Sans Unicode"/>
                <w:sz w:val="21"/>
                <w:szCs w:val="21"/>
              </w:rPr>
              <w:t xml:space="preserve">Llevar a cabo el seguimiento de los criterios relevantes en materia de VPMRG de la Sala Regional y Sala </w:t>
            </w:r>
            <w:r w:rsidRPr="00EF66A7">
              <w:rPr>
                <w:rFonts w:ascii="Lucida Sans Unicode" w:hAnsi="Lucida Sans Unicode" w:cs="Lucida Sans Unicode"/>
                <w:sz w:val="21"/>
                <w:szCs w:val="21"/>
              </w:rPr>
              <w:lastRenderedPageBreak/>
              <w:t>Superior del Tribunal Electoral del Poder Judicial de la Federación.</w:t>
            </w:r>
          </w:p>
        </w:tc>
        <w:tc>
          <w:tcPr>
            <w:tcW w:w="1815" w:type="dxa"/>
          </w:tcPr>
          <w:p w14:paraId="3C56E2C2" w14:textId="77777777" w:rsidR="001150DA" w:rsidRPr="00EF66A7" w:rsidRDefault="001150DA" w:rsidP="00422612">
            <w:pPr>
              <w:jc w:val="both"/>
              <w:rPr>
                <w:sz w:val="21"/>
                <w:szCs w:val="21"/>
              </w:rPr>
            </w:pPr>
            <w:r w:rsidRPr="00EF66A7">
              <w:rPr>
                <w:sz w:val="21"/>
                <w:szCs w:val="21"/>
              </w:rPr>
              <w:lastRenderedPageBreak/>
              <w:t xml:space="preserve">Monitoreo de sesiones de la Sala Regional y Sala Superior del Tribunal Electoral del Poder Judicial de la Federación, para brindar una atención </w:t>
            </w:r>
            <w:r w:rsidRPr="00EF66A7">
              <w:rPr>
                <w:sz w:val="21"/>
                <w:szCs w:val="21"/>
              </w:rPr>
              <w:lastRenderedPageBreak/>
              <w:t>eficaz y garantista de los casos de VPMRG.</w:t>
            </w:r>
          </w:p>
        </w:tc>
        <w:tc>
          <w:tcPr>
            <w:tcW w:w="1763" w:type="dxa"/>
          </w:tcPr>
          <w:p w14:paraId="6C460E2E" w14:textId="2586120B" w:rsidR="001150DA" w:rsidRPr="00EF66A7" w:rsidRDefault="001150DA" w:rsidP="00422612">
            <w:pPr>
              <w:rPr>
                <w:sz w:val="21"/>
                <w:szCs w:val="21"/>
              </w:rPr>
            </w:pPr>
            <w:r w:rsidRPr="00EF66A7">
              <w:rPr>
                <w:sz w:val="21"/>
                <w:szCs w:val="21"/>
              </w:rPr>
              <w:lastRenderedPageBreak/>
              <w:t xml:space="preserve">Noviembre 2023 a </w:t>
            </w:r>
            <w:proofErr w:type="gramStart"/>
            <w:r w:rsidR="00235625" w:rsidRPr="00EF66A7">
              <w:rPr>
                <w:sz w:val="21"/>
                <w:szCs w:val="21"/>
              </w:rPr>
              <w:t>Septiembre</w:t>
            </w:r>
            <w:proofErr w:type="gramEnd"/>
            <w:r w:rsidRPr="00EF66A7">
              <w:rPr>
                <w:sz w:val="21"/>
                <w:szCs w:val="21"/>
              </w:rPr>
              <w:t xml:space="preserve"> de 2024</w:t>
            </w:r>
          </w:p>
        </w:tc>
        <w:tc>
          <w:tcPr>
            <w:tcW w:w="1773" w:type="dxa"/>
          </w:tcPr>
          <w:p w14:paraId="569AF584" w14:textId="77777777" w:rsidR="001150DA" w:rsidRPr="00EF66A7" w:rsidRDefault="001150DA" w:rsidP="00422612">
            <w:pPr>
              <w:rPr>
                <w:sz w:val="21"/>
                <w:szCs w:val="21"/>
              </w:rPr>
            </w:pPr>
            <w:r w:rsidRPr="00EF66A7">
              <w:rPr>
                <w:sz w:val="21"/>
                <w:szCs w:val="21"/>
              </w:rPr>
              <w:t>Actas de sesiones de la comisión.</w:t>
            </w:r>
          </w:p>
        </w:tc>
        <w:tc>
          <w:tcPr>
            <w:tcW w:w="1515" w:type="dxa"/>
          </w:tcPr>
          <w:p w14:paraId="11C9BE12" w14:textId="77777777" w:rsidR="001150DA" w:rsidRPr="00EF66A7" w:rsidRDefault="001150DA" w:rsidP="00422612">
            <w:pPr>
              <w:jc w:val="both"/>
              <w:rPr>
                <w:sz w:val="21"/>
                <w:szCs w:val="21"/>
              </w:rPr>
            </w:pPr>
            <w:r w:rsidRPr="00EF66A7">
              <w:rPr>
                <w:sz w:val="21"/>
                <w:szCs w:val="21"/>
              </w:rPr>
              <w:t xml:space="preserve">Artículos 37, 40 y 42 de Reglamento de Quejas y Denuncias en Materia de Violencia Política contra las Mujeres </w:t>
            </w:r>
            <w:proofErr w:type="gramStart"/>
            <w:r w:rsidRPr="00EF66A7">
              <w:rPr>
                <w:sz w:val="21"/>
                <w:szCs w:val="21"/>
              </w:rPr>
              <w:t xml:space="preserve">en </w:t>
            </w:r>
            <w:r w:rsidRPr="00EF66A7">
              <w:rPr>
                <w:sz w:val="21"/>
                <w:szCs w:val="21"/>
              </w:rPr>
              <w:lastRenderedPageBreak/>
              <w:t>razón de</w:t>
            </w:r>
            <w:proofErr w:type="gramEnd"/>
            <w:r w:rsidRPr="00EF66A7">
              <w:rPr>
                <w:sz w:val="21"/>
                <w:szCs w:val="21"/>
              </w:rPr>
              <w:t xml:space="preserve"> Género del Instituto Electoral y de Participación Ciudadana del Estado de Jalisco. Artículo 11, 41 Bis fracción II Y III de la Ley de Acceso de las Mujeres a Una Vida Libre de Violencia del Estado de Jalisco.</w:t>
            </w:r>
          </w:p>
          <w:p w14:paraId="038D6859" w14:textId="77777777" w:rsidR="001150DA" w:rsidRPr="00EF66A7" w:rsidRDefault="001150DA" w:rsidP="00422612">
            <w:pPr>
              <w:rPr>
                <w:sz w:val="21"/>
                <w:szCs w:val="21"/>
              </w:rPr>
            </w:pPr>
          </w:p>
        </w:tc>
      </w:tr>
      <w:tr w:rsidR="001150DA" w:rsidRPr="00EF66A7" w14:paraId="6D6C0048" w14:textId="77777777" w:rsidTr="00154613">
        <w:tc>
          <w:tcPr>
            <w:tcW w:w="1962" w:type="dxa"/>
          </w:tcPr>
          <w:p w14:paraId="181F0B60" w14:textId="77777777" w:rsidR="001150DA" w:rsidRPr="00EF66A7" w:rsidRDefault="001150DA" w:rsidP="00422612">
            <w:pPr>
              <w:rPr>
                <w:rFonts w:ascii="Lucida Sans Unicode" w:hAnsi="Lucida Sans Unicode" w:cs="Lucida Sans Unicode"/>
                <w:sz w:val="21"/>
                <w:szCs w:val="21"/>
              </w:rPr>
            </w:pPr>
            <w:r w:rsidRPr="00EF66A7">
              <w:rPr>
                <w:rFonts w:ascii="Lucida Sans Unicode" w:hAnsi="Lucida Sans Unicode" w:cs="Lucida Sans Unicode"/>
                <w:sz w:val="21"/>
                <w:szCs w:val="21"/>
              </w:rPr>
              <w:lastRenderedPageBreak/>
              <w:t xml:space="preserve">Informe Anual de Actividades. </w:t>
            </w:r>
          </w:p>
        </w:tc>
        <w:tc>
          <w:tcPr>
            <w:tcW w:w="1815" w:type="dxa"/>
          </w:tcPr>
          <w:p w14:paraId="7A041DBD" w14:textId="77777777" w:rsidR="001150DA" w:rsidRPr="00EF66A7" w:rsidRDefault="001150DA" w:rsidP="00422612">
            <w:pPr>
              <w:rPr>
                <w:sz w:val="21"/>
                <w:szCs w:val="21"/>
              </w:rPr>
            </w:pPr>
            <w:r w:rsidRPr="00EF66A7">
              <w:rPr>
                <w:sz w:val="21"/>
                <w:szCs w:val="21"/>
              </w:rPr>
              <w:t xml:space="preserve">Presentar el informe anual de actividades de la Comisión, en el que se precisen las tareas desarrolladas y proponerlo al consejo General para su aprobación. </w:t>
            </w:r>
          </w:p>
        </w:tc>
        <w:tc>
          <w:tcPr>
            <w:tcW w:w="1763" w:type="dxa"/>
          </w:tcPr>
          <w:p w14:paraId="0AF5E0E3" w14:textId="4AD14C1D" w:rsidR="001150DA" w:rsidRPr="00EF66A7" w:rsidRDefault="001150DA" w:rsidP="00422612">
            <w:pPr>
              <w:rPr>
                <w:sz w:val="21"/>
                <w:szCs w:val="21"/>
              </w:rPr>
            </w:pPr>
            <w:r w:rsidRPr="00EF66A7">
              <w:rPr>
                <w:sz w:val="21"/>
                <w:szCs w:val="21"/>
              </w:rPr>
              <w:t>Septiembre 202</w:t>
            </w:r>
            <w:r w:rsidR="009D62AB" w:rsidRPr="00EF66A7">
              <w:rPr>
                <w:sz w:val="21"/>
                <w:szCs w:val="21"/>
              </w:rPr>
              <w:t>4</w:t>
            </w:r>
          </w:p>
        </w:tc>
        <w:tc>
          <w:tcPr>
            <w:tcW w:w="1773" w:type="dxa"/>
          </w:tcPr>
          <w:p w14:paraId="15C11672" w14:textId="77777777" w:rsidR="001150DA" w:rsidRPr="00EF66A7" w:rsidRDefault="001150DA" w:rsidP="00422612">
            <w:pPr>
              <w:rPr>
                <w:sz w:val="21"/>
                <w:szCs w:val="21"/>
              </w:rPr>
            </w:pPr>
            <w:r w:rsidRPr="00EF66A7">
              <w:rPr>
                <w:sz w:val="21"/>
                <w:szCs w:val="21"/>
              </w:rPr>
              <w:t>Informe anual de actividades.</w:t>
            </w:r>
          </w:p>
        </w:tc>
        <w:tc>
          <w:tcPr>
            <w:tcW w:w="1515" w:type="dxa"/>
          </w:tcPr>
          <w:p w14:paraId="2B86CCD0" w14:textId="77777777" w:rsidR="001150DA" w:rsidRPr="00EF66A7" w:rsidRDefault="001150DA" w:rsidP="00422612">
            <w:pPr>
              <w:rPr>
                <w:sz w:val="21"/>
                <w:szCs w:val="21"/>
              </w:rPr>
            </w:pPr>
            <w:r w:rsidRPr="00EF66A7">
              <w:rPr>
                <w:sz w:val="21"/>
                <w:szCs w:val="21"/>
              </w:rPr>
              <w:t>Artículo 28 del Reglamento Interior del Instituto Electoral y de Participación Ciudadana del Estado de Jalisco.</w:t>
            </w:r>
          </w:p>
        </w:tc>
      </w:tr>
    </w:tbl>
    <w:p w14:paraId="6353B740" w14:textId="77777777" w:rsidR="001150DA" w:rsidRPr="00EF66A7" w:rsidRDefault="001150DA" w:rsidP="001150DA">
      <w:pPr>
        <w:spacing w:line="240" w:lineRule="auto"/>
        <w:rPr>
          <w:sz w:val="21"/>
          <w:szCs w:val="21"/>
        </w:rPr>
      </w:pPr>
      <w:r w:rsidRPr="00EF66A7">
        <w:rPr>
          <w:sz w:val="21"/>
          <w:szCs w:val="21"/>
        </w:rPr>
        <w:br w:type="textWrapping" w:clear="all"/>
      </w:r>
    </w:p>
    <w:sectPr w:rsidR="001150DA" w:rsidRPr="00EF66A7">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2EC00" w14:textId="77777777" w:rsidR="001E6959" w:rsidRDefault="001E6959" w:rsidP="00C56F09">
      <w:pPr>
        <w:spacing w:after="0" w:line="240" w:lineRule="auto"/>
      </w:pPr>
      <w:r>
        <w:separator/>
      </w:r>
    </w:p>
  </w:endnote>
  <w:endnote w:type="continuationSeparator" w:id="0">
    <w:p w14:paraId="2C1DA335" w14:textId="77777777" w:rsidR="001E6959" w:rsidRDefault="001E6959" w:rsidP="00C56F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29EE3" w14:textId="77777777" w:rsidR="007D726B" w:rsidRDefault="007D726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86CE8" w14:textId="77777777" w:rsidR="008C02BE" w:rsidRDefault="008C02BE" w:rsidP="008C02BE">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F3B7D" w14:textId="77777777" w:rsidR="007D726B" w:rsidRDefault="007D726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EC26D" w14:textId="77777777" w:rsidR="001E6959" w:rsidRDefault="001E6959" w:rsidP="00C56F09">
      <w:pPr>
        <w:spacing w:after="0" w:line="240" w:lineRule="auto"/>
      </w:pPr>
      <w:r>
        <w:separator/>
      </w:r>
    </w:p>
  </w:footnote>
  <w:footnote w:type="continuationSeparator" w:id="0">
    <w:p w14:paraId="33E33E96" w14:textId="77777777" w:rsidR="001E6959" w:rsidRDefault="001E6959" w:rsidP="00C56F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96D6F" w14:textId="055B78CD" w:rsidR="007D726B" w:rsidRDefault="007D726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C9A66" w14:textId="213610FD" w:rsidR="00C56F09" w:rsidRDefault="00C56F09">
    <w:pPr>
      <w:pStyle w:val="Encabezado"/>
    </w:pPr>
    <w:r>
      <w:rPr>
        <w:rFonts w:ascii="Arial" w:hAnsi="Arial" w:cs="Arial"/>
        <w:noProof/>
        <w:lang w:eastAsia="es-MX"/>
      </w:rPr>
      <w:drawing>
        <wp:inline distT="0" distB="0" distL="0" distR="0" wp14:anchorId="775995C0" wp14:editId="63160E7F">
          <wp:extent cx="2131304" cy="1143000"/>
          <wp:effectExtent l="0" t="0" r="2540" b="0"/>
          <wp:docPr id="1649880203" name="Imagen 1649880203"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880203" name="Imagen 1649880203" descr="Logotipo, nombre de la empres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2169949" cy="1163725"/>
                  </a:xfrm>
                  <a:prstGeom prst="rect">
                    <a:avLst/>
                  </a:prstGeom>
                </pic:spPr>
              </pic:pic>
            </a:graphicData>
          </a:graphic>
        </wp:inline>
      </w:drawing>
    </w:r>
  </w:p>
  <w:p w14:paraId="57E8A7B3" w14:textId="77777777" w:rsidR="00C56F09" w:rsidRDefault="00C56F09">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7B1B3" w14:textId="2029F9A9" w:rsidR="007D726B" w:rsidRDefault="007D726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0D58F5"/>
    <w:multiLevelType w:val="hybridMultilevel"/>
    <w:tmpl w:val="F7AAFF0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64B11FA3"/>
    <w:multiLevelType w:val="hybridMultilevel"/>
    <w:tmpl w:val="D618F8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91971443">
    <w:abstractNumId w:val="0"/>
  </w:num>
  <w:num w:numId="2" w16cid:durableId="21155165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BDD"/>
    <w:rsid w:val="000046EB"/>
    <w:rsid w:val="00060F75"/>
    <w:rsid w:val="00085E6E"/>
    <w:rsid w:val="000C2D5C"/>
    <w:rsid w:val="00114D35"/>
    <w:rsid w:val="001150DA"/>
    <w:rsid w:val="00133559"/>
    <w:rsid w:val="00150FB2"/>
    <w:rsid w:val="001704ED"/>
    <w:rsid w:val="001C28EC"/>
    <w:rsid w:val="001E6959"/>
    <w:rsid w:val="00235625"/>
    <w:rsid w:val="00256C58"/>
    <w:rsid w:val="0028118F"/>
    <w:rsid w:val="00377122"/>
    <w:rsid w:val="003F336B"/>
    <w:rsid w:val="00420BDD"/>
    <w:rsid w:val="00422612"/>
    <w:rsid w:val="00451554"/>
    <w:rsid w:val="004C48F8"/>
    <w:rsid w:val="004E3D9F"/>
    <w:rsid w:val="005405AB"/>
    <w:rsid w:val="005D0E22"/>
    <w:rsid w:val="006C36CA"/>
    <w:rsid w:val="0076336D"/>
    <w:rsid w:val="00790C58"/>
    <w:rsid w:val="007B4678"/>
    <w:rsid w:val="007D726B"/>
    <w:rsid w:val="00886D25"/>
    <w:rsid w:val="00887783"/>
    <w:rsid w:val="008A2BFA"/>
    <w:rsid w:val="008C02BE"/>
    <w:rsid w:val="00900DEF"/>
    <w:rsid w:val="00930BEA"/>
    <w:rsid w:val="009D62AB"/>
    <w:rsid w:val="00A75F94"/>
    <w:rsid w:val="00AC73A7"/>
    <w:rsid w:val="00B24DE5"/>
    <w:rsid w:val="00BC04BC"/>
    <w:rsid w:val="00C4620C"/>
    <w:rsid w:val="00C56F09"/>
    <w:rsid w:val="00CB233E"/>
    <w:rsid w:val="00DA1DCC"/>
    <w:rsid w:val="00E527DB"/>
    <w:rsid w:val="00E60E71"/>
    <w:rsid w:val="00E63DB8"/>
    <w:rsid w:val="00E748B8"/>
    <w:rsid w:val="00EF66A7"/>
    <w:rsid w:val="00F16FB0"/>
    <w:rsid w:val="00F92474"/>
    <w:rsid w:val="00FA011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4C7D37E"/>
  <w15:chartTrackingRefBased/>
  <w15:docId w15:val="{0770F570-549A-4306-9AE3-70BFEF5AB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20BDD"/>
    <w:pPr>
      <w:ind w:left="720"/>
      <w:contextualSpacing/>
    </w:pPr>
  </w:style>
  <w:style w:type="paragraph" w:styleId="Textoindependiente">
    <w:name w:val="Body Text"/>
    <w:basedOn w:val="Normal"/>
    <w:link w:val="TextoindependienteCar"/>
    <w:uiPriority w:val="99"/>
    <w:semiHidden/>
    <w:unhideWhenUsed/>
    <w:rsid w:val="001C28EC"/>
    <w:pPr>
      <w:spacing w:after="120"/>
    </w:pPr>
  </w:style>
  <w:style w:type="character" w:customStyle="1" w:styleId="TextoindependienteCar">
    <w:name w:val="Texto independiente Car"/>
    <w:basedOn w:val="Fuentedeprrafopredeter"/>
    <w:link w:val="Textoindependiente"/>
    <w:uiPriority w:val="99"/>
    <w:semiHidden/>
    <w:rsid w:val="001C28EC"/>
  </w:style>
  <w:style w:type="character" w:styleId="Refdecomentario">
    <w:name w:val="annotation reference"/>
    <w:basedOn w:val="Fuentedeprrafopredeter"/>
    <w:uiPriority w:val="99"/>
    <w:semiHidden/>
    <w:unhideWhenUsed/>
    <w:rsid w:val="0076336D"/>
    <w:rPr>
      <w:sz w:val="16"/>
      <w:szCs w:val="16"/>
    </w:rPr>
  </w:style>
  <w:style w:type="paragraph" w:styleId="Textocomentario">
    <w:name w:val="annotation text"/>
    <w:basedOn w:val="Normal"/>
    <w:link w:val="TextocomentarioCar"/>
    <w:uiPriority w:val="99"/>
    <w:unhideWhenUsed/>
    <w:rsid w:val="0076336D"/>
    <w:pPr>
      <w:spacing w:line="240" w:lineRule="auto"/>
    </w:pPr>
    <w:rPr>
      <w:sz w:val="20"/>
      <w:szCs w:val="20"/>
    </w:rPr>
  </w:style>
  <w:style w:type="character" w:customStyle="1" w:styleId="TextocomentarioCar">
    <w:name w:val="Texto comentario Car"/>
    <w:basedOn w:val="Fuentedeprrafopredeter"/>
    <w:link w:val="Textocomentario"/>
    <w:uiPriority w:val="99"/>
    <w:rsid w:val="0076336D"/>
    <w:rPr>
      <w:sz w:val="20"/>
      <w:szCs w:val="20"/>
    </w:rPr>
  </w:style>
  <w:style w:type="paragraph" w:styleId="Asuntodelcomentario">
    <w:name w:val="annotation subject"/>
    <w:basedOn w:val="Textocomentario"/>
    <w:next w:val="Textocomentario"/>
    <w:link w:val="AsuntodelcomentarioCar"/>
    <w:uiPriority w:val="99"/>
    <w:semiHidden/>
    <w:unhideWhenUsed/>
    <w:rsid w:val="0076336D"/>
    <w:rPr>
      <w:b/>
      <w:bCs/>
    </w:rPr>
  </w:style>
  <w:style w:type="character" w:customStyle="1" w:styleId="AsuntodelcomentarioCar">
    <w:name w:val="Asunto del comentario Car"/>
    <w:basedOn w:val="TextocomentarioCar"/>
    <w:link w:val="Asuntodelcomentario"/>
    <w:uiPriority w:val="99"/>
    <w:semiHidden/>
    <w:rsid w:val="0076336D"/>
    <w:rPr>
      <w:b/>
      <w:bCs/>
      <w:sz w:val="20"/>
      <w:szCs w:val="20"/>
    </w:rPr>
  </w:style>
  <w:style w:type="paragraph" w:styleId="Encabezado">
    <w:name w:val="header"/>
    <w:basedOn w:val="Normal"/>
    <w:link w:val="EncabezadoCar"/>
    <w:uiPriority w:val="99"/>
    <w:unhideWhenUsed/>
    <w:rsid w:val="00C56F0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56F09"/>
  </w:style>
  <w:style w:type="paragraph" w:styleId="Piedepgina">
    <w:name w:val="footer"/>
    <w:basedOn w:val="Normal"/>
    <w:link w:val="PiedepginaCar"/>
    <w:uiPriority w:val="99"/>
    <w:unhideWhenUsed/>
    <w:rsid w:val="00C56F0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56F09"/>
  </w:style>
  <w:style w:type="table" w:styleId="Tablaconcuadrcula">
    <w:name w:val="Table Grid"/>
    <w:basedOn w:val="Tablanormal"/>
    <w:uiPriority w:val="39"/>
    <w:rsid w:val="001150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3505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1859</Words>
  <Characters>10225</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Fernanda Lizeth Pérez Pérez</dc:creator>
  <cp:keywords/>
  <dc:description/>
  <cp:lastModifiedBy>Yesenia Montiel Llamas</cp:lastModifiedBy>
  <cp:revision>8</cp:revision>
  <cp:lastPrinted>2023-12-07T17:19:00Z</cp:lastPrinted>
  <dcterms:created xsi:type="dcterms:W3CDTF">2023-11-28T21:50:00Z</dcterms:created>
  <dcterms:modified xsi:type="dcterms:W3CDTF">2023-12-07T17:19:00Z</dcterms:modified>
</cp:coreProperties>
</file>