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975A" w14:textId="16FD95BF" w:rsidR="00ED2C7E" w:rsidRPr="00CE4F51" w:rsidRDefault="00ED2C7E" w:rsidP="006E2158">
      <w:pPr>
        <w:spacing w:after="0" w:line="360" w:lineRule="auto"/>
        <w:ind w:right="-144"/>
        <w:jc w:val="both"/>
        <w:rPr>
          <w:rFonts w:ascii="Century Gothic" w:hAnsi="Century Gothic"/>
          <w:b/>
          <w:bCs/>
          <w:sz w:val="24"/>
          <w:szCs w:val="24"/>
        </w:rPr>
      </w:pPr>
      <w:r w:rsidRPr="00CE4F51">
        <w:rPr>
          <w:rFonts w:ascii="Century Gothic" w:hAnsi="Century Gothic"/>
          <w:b/>
          <w:bCs/>
          <w:sz w:val="24"/>
          <w:szCs w:val="24"/>
        </w:rPr>
        <w:t>VOTO PARTICULAR QUE EMITE LA CONSEJERA SILVIA GUADALUPE BUSTOS VÁSQUEZ</w:t>
      </w:r>
      <w:r w:rsidRPr="00CE4F51">
        <w:rPr>
          <w:rFonts w:ascii="Century Gothic" w:hAnsi="Century Gothic"/>
          <w:sz w:val="24"/>
          <w:szCs w:val="24"/>
        </w:rPr>
        <w:t xml:space="preserve"> </w:t>
      </w:r>
      <w:r w:rsidRPr="00CE4F51">
        <w:rPr>
          <w:rFonts w:ascii="Century Gothic" w:hAnsi="Century Gothic"/>
          <w:b/>
          <w:bCs/>
          <w:sz w:val="24"/>
          <w:szCs w:val="24"/>
        </w:rPr>
        <w:t xml:space="preserve">RESPECTO DE LOS </w:t>
      </w:r>
      <w:r w:rsidRPr="00CE4F51">
        <w:rPr>
          <w:rFonts w:ascii="Century Gothic" w:eastAsia="Trebuchet MS" w:hAnsi="Century Gothic" w:cs="Trebuchet MS"/>
          <w:b/>
          <w:bCs/>
          <w:sz w:val="24"/>
          <w:szCs w:val="24"/>
        </w:rPr>
        <w:t>LINEAMIENTOS</w:t>
      </w:r>
      <w:r w:rsidR="009327EB">
        <w:rPr>
          <w:rFonts w:ascii="Century Gothic" w:eastAsia="Trebuchet MS" w:hAnsi="Century Gothic" w:cs="Trebuchet MS"/>
          <w:b/>
          <w:bCs/>
          <w:sz w:val="24"/>
          <w:szCs w:val="24"/>
        </w:rPr>
        <w:t xml:space="preserve"> PARA LA DESIGNACIÓN DE CONSEJERÍAS DISTRITALES Y MUNICIPALES ELECTORALES, PARA EL PROCESO ELECTORAL LOCAL CONCURRENTE 2023-2024</w:t>
      </w:r>
      <w:r w:rsidRPr="00CE4F51">
        <w:rPr>
          <w:rFonts w:ascii="Century Gothic" w:hAnsi="Century Gothic"/>
          <w:b/>
          <w:bCs/>
          <w:sz w:val="24"/>
          <w:szCs w:val="24"/>
        </w:rPr>
        <w:t xml:space="preserve">. </w:t>
      </w:r>
    </w:p>
    <w:p w14:paraId="77151BF4" w14:textId="77777777" w:rsidR="00ED2C7E" w:rsidRPr="00CE4F51" w:rsidRDefault="00ED2C7E" w:rsidP="006E2158">
      <w:pPr>
        <w:spacing w:after="0" w:line="360" w:lineRule="auto"/>
        <w:ind w:right="-144"/>
        <w:jc w:val="both"/>
        <w:rPr>
          <w:rFonts w:ascii="Century Gothic" w:hAnsi="Century Gothic"/>
          <w:b/>
          <w:bCs/>
          <w:sz w:val="24"/>
          <w:szCs w:val="24"/>
        </w:rPr>
      </w:pPr>
    </w:p>
    <w:p w14:paraId="7FDE4BAF" w14:textId="4036FAAF" w:rsidR="00ED2C7E" w:rsidRPr="00CE4F51" w:rsidRDefault="00ED2C7E" w:rsidP="006E2158">
      <w:pPr>
        <w:spacing w:after="0" w:line="360" w:lineRule="auto"/>
        <w:ind w:right="-144"/>
        <w:jc w:val="both"/>
        <w:rPr>
          <w:rFonts w:ascii="Century Gothic" w:hAnsi="Century Gothic"/>
          <w:sz w:val="24"/>
          <w:szCs w:val="24"/>
        </w:rPr>
      </w:pPr>
      <w:r w:rsidRPr="00CE4F51">
        <w:rPr>
          <w:rFonts w:ascii="Century Gothic" w:hAnsi="Century Gothic"/>
          <w:sz w:val="24"/>
          <w:szCs w:val="24"/>
        </w:rPr>
        <w:t xml:space="preserve">De conformidad con el artículo 50, párrafos 1 y 4 del Reglamento de sesiones del Consejo Electoral y de Participación Ciudadana del Estado de Jalisco, la suscrita Consejera Silvia Guadalupe Bustos Vásquez emito </w:t>
      </w:r>
      <w:r w:rsidRPr="00CE4F51">
        <w:rPr>
          <w:rFonts w:ascii="Century Gothic" w:hAnsi="Century Gothic"/>
          <w:b/>
          <w:bCs/>
          <w:sz w:val="24"/>
          <w:szCs w:val="24"/>
        </w:rPr>
        <w:t>VOTO PARTICULAR</w:t>
      </w:r>
      <w:r w:rsidRPr="00CE4F51">
        <w:rPr>
          <w:rFonts w:ascii="Century Gothic" w:hAnsi="Century Gothic"/>
          <w:sz w:val="24"/>
          <w:szCs w:val="24"/>
        </w:rPr>
        <w:t xml:space="preserve"> respecto de los </w:t>
      </w:r>
      <w:r w:rsidRPr="00CE4F51">
        <w:rPr>
          <w:rFonts w:ascii="Century Gothic" w:eastAsia="Trebuchet MS" w:hAnsi="Century Gothic" w:cs="Trebuchet MS"/>
          <w:b/>
          <w:bCs/>
          <w:iCs/>
          <w:sz w:val="24"/>
          <w:szCs w:val="24"/>
        </w:rPr>
        <w:t xml:space="preserve">LINEAMIENTOS </w:t>
      </w:r>
      <w:r w:rsidR="009327EB">
        <w:rPr>
          <w:rFonts w:ascii="Century Gothic" w:eastAsia="Trebuchet MS" w:hAnsi="Century Gothic" w:cs="Trebuchet MS"/>
          <w:b/>
          <w:bCs/>
          <w:sz w:val="24"/>
          <w:szCs w:val="24"/>
        </w:rPr>
        <w:t>PARA LA DESIGNACIÓN DE CONSEJERÍAS DISTRITALES Y MUNICIPALES ELECTORALES, PARA EL PROCESO ELECTORAL LOCAL CONCURRENTE 2023-2024</w:t>
      </w:r>
      <w:r w:rsidRPr="00CE4F51">
        <w:rPr>
          <w:rStyle w:val="FootnoteReference"/>
          <w:rFonts w:ascii="Century Gothic" w:eastAsia="Trebuchet MS" w:hAnsi="Century Gothic" w:cs="Trebuchet MS"/>
          <w:b/>
          <w:bCs/>
          <w:iCs/>
          <w:sz w:val="24"/>
          <w:szCs w:val="24"/>
        </w:rPr>
        <w:footnoteReference w:id="1"/>
      </w:r>
      <w:r w:rsidRPr="00CE4F51">
        <w:rPr>
          <w:rFonts w:ascii="Century Gothic" w:eastAsia="Trebuchet MS" w:hAnsi="Century Gothic" w:cs="Trebuchet MS"/>
          <w:b/>
          <w:bCs/>
          <w:i/>
          <w:iCs/>
          <w:sz w:val="24"/>
          <w:szCs w:val="24"/>
        </w:rPr>
        <w:t xml:space="preserve">, </w:t>
      </w:r>
      <w:r w:rsidRPr="00CE4F51">
        <w:rPr>
          <w:rFonts w:ascii="Century Gothic" w:eastAsia="Trebuchet MS" w:hAnsi="Century Gothic" w:cs="Trebuchet MS"/>
          <w:bCs/>
          <w:iCs/>
          <w:sz w:val="24"/>
          <w:szCs w:val="24"/>
        </w:rPr>
        <w:t>aprobado por mayoría de</w:t>
      </w:r>
      <w:r w:rsidR="009327EB">
        <w:rPr>
          <w:rFonts w:ascii="Century Gothic" w:eastAsia="Trebuchet MS" w:hAnsi="Century Gothic" w:cs="Trebuchet MS"/>
          <w:bCs/>
          <w:iCs/>
          <w:sz w:val="24"/>
          <w:szCs w:val="24"/>
        </w:rPr>
        <w:t xml:space="preserve"> las consejerías presentes y que forma parte del acuerdo de aprobación emitido en la décimo cuarta sesión </w:t>
      </w:r>
      <w:r w:rsidRPr="00CE4F51">
        <w:rPr>
          <w:rFonts w:ascii="Century Gothic" w:eastAsia="Trebuchet MS" w:hAnsi="Century Gothic" w:cs="Trebuchet MS"/>
          <w:bCs/>
          <w:iCs/>
          <w:sz w:val="24"/>
          <w:szCs w:val="24"/>
        </w:rPr>
        <w:t xml:space="preserve">extraordinaria de </w:t>
      </w:r>
      <w:r w:rsidR="009327EB">
        <w:rPr>
          <w:rFonts w:ascii="Century Gothic" w:eastAsia="Trebuchet MS" w:hAnsi="Century Gothic" w:cs="Trebuchet MS"/>
          <w:bCs/>
          <w:iCs/>
          <w:sz w:val="24"/>
          <w:szCs w:val="24"/>
        </w:rPr>
        <w:t>dieci</w:t>
      </w:r>
      <w:r w:rsidRPr="00CE4F51">
        <w:rPr>
          <w:rFonts w:ascii="Century Gothic" w:eastAsia="Trebuchet MS" w:hAnsi="Century Gothic" w:cs="Trebuchet MS"/>
          <w:bCs/>
          <w:iCs/>
          <w:sz w:val="24"/>
          <w:szCs w:val="24"/>
        </w:rPr>
        <w:t>ocho de septiembre de dos mil veintitrés.</w:t>
      </w:r>
    </w:p>
    <w:p w14:paraId="0E0A7615" w14:textId="77777777" w:rsidR="00ED2C7E" w:rsidRPr="00CE4F51" w:rsidRDefault="00ED2C7E" w:rsidP="006E2158">
      <w:pPr>
        <w:spacing w:after="0" w:line="360" w:lineRule="auto"/>
        <w:ind w:right="-144"/>
        <w:jc w:val="both"/>
        <w:rPr>
          <w:rFonts w:ascii="Century Gothic" w:hAnsi="Century Gothic"/>
          <w:b/>
          <w:bCs/>
          <w:sz w:val="24"/>
          <w:szCs w:val="24"/>
        </w:rPr>
      </w:pPr>
    </w:p>
    <w:p w14:paraId="19BDAFE7" w14:textId="27353C4C" w:rsidR="00675C74" w:rsidRDefault="009327EB" w:rsidP="006E2158">
      <w:pPr>
        <w:spacing w:after="0" w:line="360" w:lineRule="auto"/>
        <w:ind w:right="-144"/>
        <w:jc w:val="both"/>
        <w:rPr>
          <w:rFonts w:ascii="Century Gothic" w:eastAsia="Trebuchet MS" w:hAnsi="Century Gothic" w:cs="Trebuchet MS"/>
          <w:iCs/>
          <w:sz w:val="24"/>
          <w:szCs w:val="24"/>
        </w:rPr>
      </w:pPr>
      <w:r>
        <w:rPr>
          <w:rFonts w:ascii="Century Gothic" w:eastAsiaTheme="minorEastAsia" w:hAnsi="Century Gothic"/>
          <w:bCs/>
          <w:sz w:val="24"/>
          <w:szCs w:val="24"/>
          <w:lang w:eastAsia="es-MX"/>
        </w:rPr>
        <w:t xml:space="preserve">El presente documento es la exposición del voto particular respecto a dos artículos, en </w:t>
      </w:r>
      <w:r w:rsidR="00684D28">
        <w:rPr>
          <w:rFonts w:ascii="Century Gothic" w:eastAsiaTheme="minorEastAsia" w:hAnsi="Century Gothic"/>
          <w:bCs/>
          <w:sz w:val="24"/>
          <w:szCs w:val="24"/>
          <w:lang w:eastAsia="es-MX"/>
        </w:rPr>
        <w:t>especial</w:t>
      </w:r>
      <w:r>
        <w:rPr>
          <w:rFonts w:ascii="Century Gothic" w:eastAsiaTheme="minorEastAsia" w:hAnsi="Century Gothic"/>
          <w:bCs/>
          <w:sz w:val="24"/>
          <w:szCs w:val="24"/>
          <w:lang w:eastAsia="es-MX"/>
        </w:rPr>
        <w:t xml:space="preserve">, contenidos en los citados </w:t>
      </w:r>
      <w:r w:rsidRPr="00CE4F51">
        <w:rPr>
          <w:rFonts w:ascii="Century Gothic" w:eastAsia="Trebuchet MS" w:hAnsi="Century Gothic" w:cs="Trebuchet MS"/>
          <w:b/>
          <w:bCs/>
          <w:iCs/>
          <w:sz w:val="24"/>
          <w:szCs w:val="24"/>
        </w:rPr>
        <w:t>Lineamientos</w:t>
      </w:r>
      <w:r>
        <w:rPr>
          <w:rFonts w:ascii="Century Gothic" w:eastAsia="Trebuchet MS" w:hAnsi="Century Gothic" w:cs="Trebuchet MS"/>
          <w:iCs/>
          <w:sz w:val="24"/>
          <w:szCs w:val="24"/>
        </w:rPr>
        <w:t>: la porción normativa del artículo 3</w:t>
      </w:r>
      <w:r w:rsidR="00675C74">
        <w:rPr>
          <w:rFonts w:ascii="Century Gothic" w:eastAsia="Trebuchet MS" w:hAnsi="Century Gothic" w:cs="Trebuchet MS"/>
          <w:iCs/>
          <w:sz w:val="24"/>
          <w:szCs w:val="24"/>
        </w:rPr>
        <w:t>, fracción IV y el 23, párrafo 2, incisos b), c) y d); por tal razón a continuación se desarrolla lo respectivo en los siguientes dos apartados.</w:t>
      </w:r>
    </w:p>
    <w:p w14:paraId="538D7BB0" w14:textId="77777777" w:rsidR="00675C74" w:rsidRDefault="00675C74" w:rsidP="006E2158">
      <w:pPr>
        <w:spacing w:after="0" w:line="360" w:lineRule="auto"/>
        <w:ind w:right="-144"/>
        <w:jc w:val="both"/>
        <w:rPr>
          <w:rFonts w:ascii="Century Gothic" w:eastAsia="Trebuchet MS" w:hAnsi="Century Gothic" w:cs="Trebuchet MS"/>
          <w:iCs/>
          <w:sz w:val="24"/>
          <w:szCs w:val="24"/>
        </w:rPr>
      </w:pPr>
    </w:p>
    <w:p w14:paraId="2B39533B" w14:textId="7F62A2A7" w:rsidR="00675C74" w:rsidRDefault="00675C74" w:rsidP="006E2158">
      <w:pPr>
        <w:spacing w:after="0" w:line="360" w:lineRule="auto"/>
        <w:ind w:right="-144"/>
        <w:jc w:val="both"/>
        <w:rPr>
          <w:rFonts w:ascii="Century Gothic" w:eastAsia="Trebuchet MS" w:hAnsi="Century Gothic" w:cs="Trebuchet MS"/>
          <w:b/>
          <w:bCs/>
          <w:iCs/>
          <w:sz w:val="24"/>
          <w:szCs w:val="24"/>
        </w:rPr>
      </w:pPr>
      <w:r>
        <w:rPr>
          <w:rFonts w:ascii="Century Gothic" w:eastAsia="Trebuchet MS" w:hAnsi="Century Gothic" w:cs="Trebuchet MS"/>
          <w:b/>
          <w:bCs/>
          <w:iCs/>
          <w:sz w:val="24"/>
          <w:szCs w:val="24"/>
        </w:rPr>
        <w:t>1. Artículo 3, fracción IV</w:t>
      </w:r>
      <w:r w:rsidR="00684D28">
        <w:rPr>
          <w:rFonts w:ascii="Century Gothic" w:eastAsia="Trebuchet MS" w:hAnsi="Century Gothic" w:cs="Trebuchet MS"/>
          <w:b/>
          <w:bCs/>
          <w:iCs/>
          <w:sz w:val="24"/>
          <w:szCs w:val="24"/>
        </w:rPr>
        <w:t xml:space="preserve"> de los lineamientos. </w:t>
      </w:r>
      <w:proofErr w:type="gramStart"/>
      <w:r>
        <w:rPr>
          <w:rFonts w:ascii="Century Gothic" w:eastAsia="Trebuchet MS" w:hAnsi="Century Gothic" w:cs="Trebuchet MS"/>
          <w:b/>
          <w:bCs/>
          <w:iCs/>
          <w:sz w:val="24"/>
          <w:szCs w:val="24"/>
        </w:rPr>
        <w:t>Requisito relativo a incluir</w:t>
      </w:r>
      <w:proofErr w:type="gramEnd"/>
      <w:r>
        <w:rPr>
          <w:rFonts w:ascii="Century Gothic" w:eastAsia="Trebuchet MS" w:hAnsi="Century Gothic" w:cs="Trebuchet MS"/>
          <w:b/>
          <w:bCs/>
          <w:iCs/>
          <w:sz w:val="24"/>
          <w:szCs w:val="24"/>
        </w:rPr>
        <w:t xml:space="preserve"> en la redacción de los requisitos y condicionantes para aspirar a una consejería electoral lo concerniente a la reforma al artículo 38, fracción VII de la Constitución Política de los Estados Unidos Mexicanos.</w:t>
      </w:r>
    </w:p>
    <w:p w14:paraId="411A5D6D" w14:textId="7A5D67FA" w:rsidR="009718CE" w:rsidRDefault="00747741" w:rsidP="006E2158">
      <w:pPr>
        <w:spacing w:after="0" w:line="360" w:lineRule="auto"/>
        <w:ind w:right="-144"/>
        <w:jc w:val="both"/>
        <w:rPr>
          <w:rFonts w:ascii="Century Gothic" w:hAnsi="Century Gothic"/>
          <w:sz w:val="24"/>
          <w:szCs w:val="24"/>
        </w:rPr>
      </w:pPr>
      <w:r>
        <w:rPr>
          <w:rFonts w:ascii="Century Gothic" w:eastAsia="Trebuchet MS" w:hAnsi="Century Gothic" w:cs="Trebuchet MS"/>
          <w:iCs/>
          <w:sz w:val="24"/>
          <w:szCs w:val="24"/>
        </w:rPr>
        <w:t xml:space="preserve">Al respecto, </w:t>
      </w:r>
      <w:r w:rsidR="00684D28">
        <w:rPr>
          <w:rFonts w:ascii="Century Gothic" w:eastAsia="Trebuchet MS" w:hAnsi="Century Gothic" w:cs="Trebuchet MS"/>
          <w:iCs/>
          <w:sz w:val="24"/>
          <w:szCs w:val="24"/>
        </w:rPr>
        <w:t xml:space="preserve">en </w:t>
      </w:r>
      <w:r w:rsidR="009718CE">
        <w:rPr>
          <w:rFonts w:ascii="Century Gothic" w:eastAsia="Trebuchet MS" w:hAnsi="Century Gothic" w:cs="Trebuchet MS"/>
          <w:iCs/>
          <w:sz w:val="24"/>
          <w:szCs w:val="24"/>
        </w:rPr>
        <w:t xml:space="preserve">el artículo citado al rubro se dispone la presentación de una </w:t>
      </w:r>
      <w:r w:rsidR="009718CE" w:rsidRPr="00FB29C2">
        <w:rPr>
          <w:rFonts w:ascii="Century Gothic" w:hAnsi="Century Gothic"/>
          <w:sz w:val="24"/>
          <w:szCs w:val="24"/>
        </w:rPr>
        <w:t>declaración bajo protesta de decir verdad, en la que se manifiesta, entre otras condiciones, lo relativo a no hacer sido o tener condenas o sentencias</w:t>
      </w:r>
      <w:r w:rsidR="009718CE">
        <w:rPr>
          <w:rFonts w:ascii="Century Gothic" w:hAnsi="Century Gothic"/>
          <w:sz w:val="24"/>
          <w:szCs w:val="24"/>
        </w:rPr>
        <w:t>.</w:t>
      </w:r>
    </w:p>
    <w:p w14:paraId="6C6ADE59" w14:textId="77777777" w:rsidR="009B4AB4" w:rsidRDefault="009B4AB4" w:rsidP="006E2158">
      <w:pPr>
        <w:spacing w:after="0" w:line="360" w:lineRule="auto"/>
        <w:ind w:right="-144"/>
        <w:jc w:val="both"/>
        <w:rPr>
          <w:rFonts w:ascii="Century Gothic" w:hAnsi="Century Gothic"/>
          <w:sz w:val="24"/>
          <w:szCs w:val="24"/>
        </w:rPr>
      </w:pPr>
    </w:p>
    <w:p w14:paraId="63DE4D86" w14:textId="3F84895D" w:rsidR="009718CE" w:rsidRDefault="009718CE" w:rsidP="006E2158">
      <w:pPr>
        <w:spacing w:after="0" w:line="360" w:lineRule="auto"/>
        <w:ind w:right="-144"/>
        <w:jc w:val="both"/>
        <w:rPr>
          <w:rFonts w:ascii="Century Gothic" w:hAnsi="Century Gothic"/>
          <w:sz w:val="24"/>
          <w:szCs w:val="24"/>
        </w:rPr>
      </w:pPr>
      <w:r>
        <w:rPr>
          <w:rFonts w:ascii="Century Gothic" w:hAnsi="Century Gothic"/>
          <w:sz w:val="24"/>
          <w:szCs w:val="24"/>
        </w:rPr>
        <w:lastRenderedPageBreak/>
        <w:t xml:space="preserve">En este tenor, mi postura radica </w:t>
      </w:r>
      <w:r w:rsidR="00684D28">
        <w:rPr>
          <w:rFonts w:ascii="Century Gothic" w:hAnsi="Century Gothic"/>
          <w:sz w:val="24"/>
          <w:szCs w:val="24"/>
        </w:rPr>
        <w:t xml:space="preserve">en </w:t>
      </w:r>
      <w:r>
        <w:rPr>
          <w:rFonts w:ascii="Century Gothic" w:hAnsi="Century Gothic"/>
          <w:sz w:val="24"/>
          <w:szCs w:val="24"/>
        </w:rPr>
        <w:t xml:space="preserve">contemplar dentro del formato de cuenta, expresamente lo relativo a la reciente reforma al artículo </w:t>
      </w:r>
      <w:r w:rsidRPr="009718CE">
        <w:rPr>
          <w:rFonts w:ascii="Century Gothic" w:hAnsi="Century Gothic"/>
          <w:sz w:val="24"/>
          <w:szCs w:val="24"/>
        </w:rPr>
        <w:t>38, fracción VII de la C</w:t>
      </w:r>
      <w:r>
        <w:rPr>
          <w:rFonts w:ascii="Century Gothic" w:hAnsi="Century Gothic"/>
          <w:sz w:val="24"/>
          <w:szCs w:val="24"/>
        </w:rPr>
        <w:t>onstitución Política de los Estados Unidos Mexicanos</w:t>
      </w:r>
      <w:r w:rsidR="004F70C7">
        <w:rPr>
          <w:rFonts w:ascii="Century Gothic" w:hAnsi="Century Gothic"/>
          <w:sz w:val="24"/>
          <w:szCs w:val="24"/>
        </w:rPr>
        <w:t xml:space="preserve">, </w:t>
      </w:r>
      <w:r w:rsidR="004F70C7" w:rsidRPr="00FB29C2">
        <w:rPr>
          <w:rFonts w:ascii="Century Gothic" w:hAnsi="Century Gothic"/>
          <w:sz w:val="24"/>
          <w:szCs w:val="24"/>
        </w:rPr>
        <w:t>aprobada</w:t>
      </w:r>
      <w:r w:rsidR="004F70C7">
        <w:rPr>
          <w:rFonts w:ascii="Century Gothic" w:hAnsi="Century Gothic"/>
          <w:sz w:val="24"/>
          <w:szCs w:val="24"/>
        </w:rPr>
        <w:t xml:space="preserve"> el veintinueve de mayo del año que transcurre</w:t>
      </w:r>
      <w:r w:rsidR="004F70C7">
        <w:rPr>
          <w:rStyle w:val="FootnoteReference"/>
          <w:rFonts w:ascii="Century Gothic" w:hAnsi="Century Gothic"/>
          <w:sz w:val="24"/>
          <w:szCs w:val="24"/>
        </w:rPr>
        <w:footnoteReference w:id="2"/>
      </w:r>
      <w:r w:rsidR="004829DA">
        <w:rPr>
          <w:rFonts w:ascii="Century Gothic" w:hAnsi="Century Gothic"/>
          <w:sz w:val="24"/>
          <w:szCs w:val="24"/>
        </w:rPr>
        <w:t xml:space="preserve"> y </w:t>
      </w:r>
      <w:r>
        <w:rPr>
          <w:rFonts w:ascii="Century Gothic" w:hAnsi="Century Gothic"/>
          <w:sz w:val="24"/>
          <w:szCs w:val="24"/>
        </w:rPr>
        <w:t>que textualmente señala lo siguiente</w:t>
      </w:r>
      <w:r w:rsidRPr="009718CE">
        <w:rPr>
          <w:rFonts w:ascii="Century Gothic" w:hAnsi="Century Gothic"/>
          <w:sz w:val="24"/>
          <w:szCs w:val="24"/>
        </w:rPr>
        <w:t xml:space="preserve">:                                  </w:t>
      </w:r>
    </w:p>
    <w:p w14:paraId="41FC80F9" w14:textId="77777777" w:rsidR="004829DA" w:rsidRPr="009718CE" w:rsidRDefault="004829DA" w:rsidP="006E2158">
      <w:pPr>
        <w:spacing w:after="0" w:line="360" w:lineRule="auto"/>
        <w:ind w:right="-144"/>
        <w:jc w:val="both"/>
        <w:rPr>
          <w:rFonts w:ascii="Century Gothic" w:hAnsi="Century Gothic"/>
          <w:sz w:val="24"/>
          <w:szCs w:val="24"/>
        </w:rPr>
      </w:pPr>
    </w:p>
    <w:p w14:paraId="52F34367" w14:textId="016AB79B" w:rsidR="009718CE" w:rsidRPr="004829DA" w:rsidRDefault="009718CE" w:rsidP="006E2158">
      <w:pPr>
        <w:spacing w:after="0" w:line="240" w:lineRule="auto"/>
        <w:ind w:left="1134" w:right="565"/>
        <w:jc w:val="both"/>
        <w:rPr>
          <w:rFonts w:ascii="Century Gothic" w:hAnsi="Century Gothic"/>
          <w:sz w:val="20"/>
          <w:szCs w:val="20"/>
        </w:rPr>
      </w:pPr>
      <w:r w:rsidRPr="004829DA">
        <w:rPr>
          <w:rFonts w:ascii="Century Gothic" w:hAnsi="Century Gothic"/>
          <w:sz w:val="20"/>
          <w:szCs w:val="20"/>
        </w:rPr>
        <w:t>“Los derechos ciudadanos se suspenden:</w:t>
      </w:r>
    </w:p>
    <w:p w14:paraId="76125659" w14:textId="39BCE167" w:rsidR="009718CE" w:rsidRPr="004829DA" w:rsidRDefault="009718CE" w:rsidP="006E2158">
      <w:pPr>
        <w:spacing w:after="0" w:line="240" w:lineRule="auto"/>
        <w:ind w:left="1134" w:right="565"/>
        <w:jc w:val="both"/>
        <w:rPr>
          <w:rFonts w:ascii="Century Gothic" w:hAnsi="Century Gothic"/>
          <w:sz w:val="20"/>
          <w:szCs w:val="20"/>
        </w:rPr>
      </w:pPr>
      <w:r w:rsidRPr="004829DA">
        <w:rPr>
          <w:rFonts w:ascii="Century Gothic" w:hAnsi="Century Gothic"/>
          <w:sz w:val="20"/>
          <w:szCs w:val="20"/>
        </w:rPr>
        <w:t>(…)</w:t>
      </w:r>
    </w:p>
    <w:p w14:paraId="4DED6007" w14:textId="49C5311A" w:rsidR="009718CE" w:rsidRDefault="009718CE" w:rsidP="006E2158">
      <w:pPr>
        <w:spacing w:after="0" w:line="240" w:lineRule="auto"/>
        <w:ind w:left="1134" w:right="565"/>
        <w:jc w:val="both"/>
        <w:rPr>
          <w:rFonts w:ascii="Century Gothic" w:hAnsi="Century Gothic"/>
          <w:sz w:val="20"/>
          <w:szCs w:val="20"/>
        </w:rPr>
      </w:pPr>
      <w:r w:rsidRPr="004829DA">
        <w:rPr>
          <w:rFonts w:ascii="Century Gothic" w:hAnsi="Century Gothic"/>
          <w:sz w:val="20"/>
          <w:szCs w:val="20"/>
        </w:rPr>
        <w:t xml:space="preserve">VII.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4829DA">
        <w:rPr>
          <w:rFonts w:ascii="Century Gothic" w:hAnsi="Century Gothic"/>
          <w:sz w:val="20"/>
          <w:szCs w:val="20"/>
        </w:rPr>
        <w:t>en razón de</w:t>
      </w:r>
      <w:proofErr w:type="gramEnd"/>
      <w:r w:rsidRPr="004829DA">
        <w:rPr>
          <w:rFonts w:ascii="Century Gothic" w:hAnsi="Century Gothic"/>
          <w:sz w:val="20"/>
          <w:szCs w:val="20"/>
        </w:rPr>
        <w:t xml:space="preserve"> género, en cualquiera de sus modalidades y tipos.</w:t>
      </w:r>
    </w:p>
    <w:p w14:paraId="2CF99487" w14:textId="77777777" w:rsidR="006E2158" w:rsidRPr="004829DA" w:rsidRDefault="006E2158" w:rsidP="006E2158">
      <w:pPr>
        <w:spacing w:after="0" w:line="240" w:lineRule="auto"/>
        <w:ind w:left="1134" w:right="565"/>
        <w:jc w:val="both"/>
        <w:rPr>
          <w:rFonts w:ascii="Century Gothic" w:hAnsi="Century Gothic"/>
          <w:sz w:val="20"/>
          <w:szCs w:val="20"/>
        </w:rPr>
      </w:pPr>
    </w:p>
    <w:p w14:paraId="58AB7E80" w14:textId="1E20085B" w:rsidR="009718CE" w:rsidRPr="004829DA" w:rsidRDefault="009718CE" w:rsidP="006E2158">
      <w:pPr>
        <w:spacing w:after="0" w:line="240" w:lineRule="auto"/>
        <w:ind w:left="1134" w:right="565"/>
        <w:jc w:val="both"/>
        <w:rPr>
          <w:rFonts w:ascii="Century Gothic" w:hAnsi="Century Gothic"/>
          <w:sz w:val="20"/>
          <w:szCs w:val="20"/>
        </w:rPr>
      </w:pPr>
      <w:r w:rsidRPr="004829DA">
        <w:rPr>
          <w:rFonts w:ascii="Century Gothic" w:hAnsi="Century Gothic"/>
          <w:sz w:val="20"/>
          <w:szCs w:val="20"/>
        </w:rPr>
        <w:t>Por ser declarada como persona deudora alimentaria morosa.</w:t>
      </w:r>
    </w:p>
    <w:p w14:paraId="0E6FB092" w14:textId="77777777" w:rsidR="009718CE" w:rsidRPr="004829DA" w:rsidRDefault="009718CE" w:rsidP="006E2158">
      <w:pPr>
        <w:spacing w:after="0" w:line="240" w:lineRule="auto"/>
        <w:ind w:left="1134" w:right="565"/>
        <w:jc w:val="both"/>
        <w:rPr>
          <w:rFonts w:ascii="Century Gothic" w:hAnsi="Century Gothic"/>
          <w:sz w:val="20"/>
          <w:szCs w:val="20"/>
        </w:rPr>
      </w:pPr>
    </w:p>
    <w:p w14:paraId="7098492A" w14:textId="77777777" w:rsidR="009718CE" w:rsidRPr="004829DA" w:rsidRDefault="009718CE" w:rsidP="006E2158">
      <w:pPr>
        <w:spacing w:after="0" w:line="240" w:lineRule="auto"/>
        <w:ind w:left="1134" w:right="565"/>
        <w:jc w:val="both"/>
        <w:rPr>
          <w:rFonts w:ascii="Century Gothic" w:hAnsi="Century Gothic"/>
          <w:sz w:val="20"/>
          <w:szCs w:val="20"/>
        </w:rPr>
      </w:pPr>
      <w:r w:rsidRPr="004829DA">
        <w:rPr>
          <w:rFonts w:ascii="Century Gothic" w:hAnsi="Century Gothic"/>
          <w:sz w:val="20"/>
          <w:szCs w:val="20"/>
        </w:rPr>
        <w:t xml:space="preserve">En los supuestos de esta fracción, la persona no podrá ser registrada como candidata para cualquier cargo de elección popular, ni ser nombrada para empleo, cargo o comisión en el servicio público. </w:t>
      </w:r>
      <w:bookmarkStart w:id="0" w:name="_Hlk145687787"/>
    </w:p>
    <w:p w14:paraId="171E5A35" w14:textId="77777777" w:rsidR="009718CE" w:rsidRPr="006E2158" w:rsidRDefault="009718CE" w:rsidP="006E2158">
      <w:pPr>
        <w:spacing w:after="0" w:line="360" w:lineRule="auto"/>
        <w:ind w:right="-144"/>
        <w:jc w:val="both"/>
        <w:rPr>
          <w:rFonts w:ascii="Century Gothic" w:hAnsi="Century Gothic"/>
          <w:sz w:val="32"/>
          <w:szCs w:val="32"/>
        </w:rPr>
      </w:pPr>
    </w:p>
    <w:p w14:paraId="00ECDF6C" w14:textId="51C05694" w:rsidR="004F70C7" w:rsidRDefault="004F70C7" w:rsidP="006E2158">
      <w:pPr>
        <w:spacing w:after="0" w:line="360" w:lineRule="auto"/>
        <w:ind w:right="-144"/>
        <w:jc w:val="both"/>
        <w:rPr>
          <w:rFonts w:ascii="Century Gothic" w:eastAsia="Trebuchet MS" w:hAnsi="Century Gothic" w:cs="Trebuchet MS"/>
          <w:b/>
          <w:bCs/>
          <w:iCs/>
          <w:sz w:val="24"/>
          <w:szCs w:val="24"/>
        </w:rPr>
      </w:pPr>
      <w:r>
        <w:rPr>
          <w:rFonts w:ascii="Century Gothic" w:hAnsi="Century Gothic"/>
          <w:sz w:val="24"/>
          <w:szCs w:val="24"/>
        </w:rPr>
        <w:t>Lo anterior, porque si bien es cierto</w:t>
      </w:r>
      <w:r w:rsidR="004829DA">
        <w:rPr>
          <w:rFonts w:ascii="Century Gothic" w:hAnsi="Century Gothic"/>
          <w:sz w:val="24"/>
          <w:szCs w:val="24"/>
        </w:rPr>
        <w:t xml:space="preserve"> la suspensión </w:t>
      </w:r>
      <w:r>
        <w:rPr>
          <w:rFonts w:ascii="Century Gothic" w:hAnsi="Century Gothic"/>
          <w:sz w:val="24"/>
          <w:szCs w:val="24"/>
        </w:rPr>
        <w:t xml:space="preserve">se establece desde el rango constitucional adquiriendo el carácter de norma obligatoria, ello no obsta para que se disponga como una manifestación expresa de las personas aspirantes a los cargos de elección popular en vía de condicionante para el registro de las candidaturas haciendo visible </w:t>
      </w:r>
      <w:r w:rsidR="004829DA">
        <w:rPr>
          <w:rFonts w:ascii="Century Gothic" w:hAnsi="Century Gothic"/>
          <w:sz w:val="24"/>
          <w:szCs w:val="24"/>
        </w:rPr>
        <w:t xml:space="preserve">desde este Instituto Electoral </w:t>
      </w:r>
      <w:r>
        <w:rPr>
          <w:rFonts w:ascii="Century Gothic" w:hAnsi="Century Gothic"/>
          <w:sz w:val="24"/>
          <w:szCs w:val="24"/>
        </w:rPr>
        <w:t>el rechazo a todas las formas de violencia.</w:t>
      </w:r>
      <w:bookmarkEnd w:id="0"/>
    </w:p>
    <w:p w14:paraId="387D180D" w14:textId="77777777" w:rsidR="004F70C7" w:rsidRDefault="004F70C7" w:rsidP="006E2158">
      <w:pPr>
        <w:spacing w:after="0" w:line="360" w:lineRule="auto"/>
        <w:ind w:right="-144"/>
        <w:jc w:val="both"/>
        <w:rPr>
          <w:rFonts w:ascii="Century Gothic" w:eastAsia="Trebuchet MS" w:hAnsi="Century Gothic" w:cs="Trebuchet MS"/>
          <w:b/>
          <w:bCs/>
          <w:iCs/>
          <w:sz w:val="24"/>
          <w:szCs w:val="24"/>
        </w:rPr>
      </w:pPr>
    </w:p>
    <w:p w14:paraId="728321C6" w14:textId="25DCD659" w:rsidR="00675C74" w:rsidRDefault="00675C74" w:rsidP="006E2158">
      <w:pPr>
        <w:spacing w:after="0" w:line="360" w:lineRule="auto"/>
        <w:ind w:right="-144"/>
        <w:jc w:val="both"/>
        <w:rPr>
          <w:rFonts w:ascii="Century Gothic" w:eastAsia="Trebuchet MS" w:hAnsi="Century Gothic" w:cs="Trebuchet MS"/>
          <w:b/>
          <w:bCs/>
          <w:iCs/>
          <w:sz w:val="24"/>
          <w:szCs w:val="24"/>
        </w:rPr>
      </w:pPr>
      <w:r>
        <w:rPr>
          <w:rFonts w:ascii="Century Gothic" w:eastAsia="Trebuchet MS" w:hAnsi="Century Gothic" w:cs="Trebuchet MS"/>
          <w:b/>
          <w:bCs/>
          <w:iCs/>
          <w:sz w:val="24"/>
          <w:szCs w:val="24"/>
        </w:rPr>
        <w:t>2. Artículo 23, párrafo 2, incisos b), c) y d)</w:t>
      </w:r>
      <w:r w:rsidR="00684D28">
        <w:rPr>
          <w:rFonts w:ascii="Century Gothic" w:eastAsia="Trebuchet MS" w:hAnsi="Century Gothic" w:cs="Trebuchet MS"/>
          <w:b/>
          <w:bCs/>
          <w:iCs/>
          <w:sz w:val="24"/>
          <w:szCs w:val="24"/>
        </w:rPr>
        <w:t xml:space="preserve"> de los lineamientos</w:t>
      </w:r>
      <w:r>
        <w:rPr>
          <w:rFonts w:ascii="Century Gothic" w:eastAsia="Trebuchet MS" w:hAnsi="Century Gothic" w:cs="Trebuchet MS"/>
          <w:b/>
          <w:bCs/>
          <w:iCs/>
          <w:sz w:val="24"/>
          <w:szCs w:val="24"/>
        </w:rPr>
        <w:t>. Progresividad en las reglas para la inclusión de grupos de personas históricamente vulneradas para garantizar su participación política en su faceta de integrar los órganos desconcentrados de este órgano público local electoral.</w:t>
      </w:r>
    </w:p>
    <w:p w14:paraId="56698340" w14:textId="5FA1451C" w:rsidR="00694AB1" w:rsidRPr="0075492C" w:rsidRDefault="00694AB1" w:rsidP="006E2158">
      <w:pPr>
        <w:spacing w:after="0" w:line="360" w:lineRule="auto"/>
        <w:ind w:right="-144"/>
        <w:jc w:val="both"/>
        <w:rPr>
          <w:rFonts w:ascii="Century Gothic" w:hAnsi="Century Gothic"/>
          <w:sz w:val="24"/>
          <w:szCs w:val="24"/>
        </w:rPr>
      </w:pPr>
      <w:r>
        <w:rPr>
          <w:rFonts w:ascii="Century Gothic" w:hAnsi="Century Gothic"/>
          <w:sz w:val="24"/>
          <w:szCs w:val="24"/>
        </w:rPr>
        <w:t xml:space="preserve">En primer término, </w:t>
      </w:r>
      <w:r w:rsidRPr="0075492C">
        <w:rPr>
          <w:rFonts w:ascii="Century Gothic" w:hAnsi="Century Gothic"/>
          <w:sz w:val="24"/>
          <w:szCs w:val="24"/>
        </w:rPr>
        <w:t>recono</w:t>
      </w:r>
      <w:r>
        <w:rPr>
          <w:rFonts w:ascii="Century Gothic" w:hAnsi="Century Gothic"/>
          <w:sz w:val="24"/>
          <w:szCs w:val="24"/>
        </w:rPr>
        <w:t>zco</w:t>
      </w:r>
      <w:r w:rsidRPr="0075492C">
        <w:rPr>
          <w:rFonts w:ascii="Century Gothic" w:hAnsi="Century Gothic"/>
          <w:sz w:val="24"/>
          <w:szCs w:val="24"/>
        </w:rPr>
        <w:t xml:space="preserve"> y celebr</w:t>
      </w:r>
      <w:r>
        <w:rPr>
          <w:rFonts w:ascii="Century Gothic" w:hAnsi="Century Gothic"/>
          <w:sz w:val="24"/>
          <w:szCs w:val="24"/>
        </w:rPr>
        <w:t>o</w:t>
      </w:r>
      <w:r w:rsidRPr="0075492C">
        <w:rPr>
          <w:rFonts w:ascii="Century Gothic" w:hAnsi="Century Gothic"/>
          <w:sz w:val="24"/>
          <w:szCs w:val="24"/>
        </w:rPr>
        <w:t xml:space="preserve"> la </w:t>
      </w:r>
      <w:r>
        <w:rPr>
          <w:rFonts w:ascii="Century Gothic" w:hAnsi="Century Gothic"/>
          <w:sz w:val="24"/>
          <w:szCs w:val="24"/>
        </w:rPr>
        <w:t>propuesta</w:t>
      </w:r>
      <w:r w:rsidRPr="0075492C">
        <w:rPr>
          <w:rFonts w:ascii="Century Gothic" w:hAnsi="Century Gothic"/>
          <w:sz w:val="24"/>
          <w:szCs w:val="24"/>
        </w:rPr>
        <w:t xml:space="preserve"> de </w:t>
      </w:r>
      <w:r>
        <w:rPr>
          <w:rFonts w:ascii="Century Gothic" w:hAnsi="Century Gothic"/>
          <w:sz w:val="24"/>
          <w:szCs w:val="24"/>
        </w:rPr>
        <w:t xml:space="preserve">la mayoría de </w:t>
      </w:r>
      <w:r w:rsidRPr="0075492C">
        <w:rPr>
          <w:rFonts w:ascii="Century Gothic" w:hAnsi="Century Gothic"/>
          <w:sz w:val="24"/>
          <w:szCs w:val="24"/>
        </w:rPr>
        <w:t xml:space="preserve">este Consejo General para dotar de operatividad y sentido a la paridad y la inclusión en el proceso de integración de los órganos desconcentrados, </w:t>
      </w:r>
      <w:r>
        <w:rPr>
          <w:rFonts w:ascii="Century Gothic" w:hAnsi="Century Gothic"/>
          <w:sz w:val="24"/>
          <w:szCs w:val="24"/>
        </w:rPr>
        <w:t xml:space="preserve">por lo que </w:t>
      </w:r>
      <w:r w:rsidRPr="0075492C">
        <w:rPr>
          <w:rFonts w:ascii="Century Gothic" w:hAnsi="Century Gothic"/>
          <w:sz w:val="24"/>
          <w:szCs w:val="24"/>
        </w:rPr>
        <w:lastRenderedPageBreak/>
        <w:t>destac</w:t>
      </w:r>
      <w:r>
        <w:rPr>
          <w:rFonts w:ascii="Century Gothic" w:hAnsi="Century Gothic"/>
          <w:sz w:val="24"/>
          <w:szCs w:val="24"/>
        </w:rPr>
        <w:t>o</w:t>
      </w:r>
      <w:r w:rsidRPr="0075492C">
        <w:rPr>
          <w:rFonts w:ascii="Century Gothic" w:hAnsi="Century Gothic"/>
          <w:sz w:val="24"/>
          <w:szCs w:val="24"/>
        </w:rPr>
        <w:t xml:space="preserve"> que, desde este Pleno, de forma inédita y sin precedentes</w:t>
      </w:r>
      <w:r>
        <w:rPr>
          <w:rFonts w:ascii="Century Gothic" w:hAnsi="Century Gothic"/>
          <w:sz w:val="24"/>
          <w:szCs w:val="24"/>
        </w:rPr>
        <w:t xml:space="preserve"> </w:t>
      </w:r>
      <w:r w:rsidRPr="0075492C">
        <w:rPr>
          <w:rFonts w:ascii="Century Gothic" w:hAnsi="Century Gothic"/>
          <w:sz w:val="24"/>
          <w:szCs w:val="24"/>
        </w:rPr>
        <w:t>se ha trabajado para generar reglas y medidas claras para la participación de las mujeres y de las personas pertenecientes a los diversos grupos históricamente vulnerados</w:t>
      </w:r>
      <w:r>
        <w:rPr>
          <w:rFonts w:ascii="Century Gothic" w:hAnsi="Century Gothic"/>
          <w:sz w:val="24"/>
          <w:szCs w:val="24"/>
        </w:rPr>
        <w:t xml:space="preserve"> como lo son las personas que viven en alguna situación de discapacidad, las personas de la diversidad e indígenas, así como las juventudes.</w:t>
      </w:r>
    </w:p>
    <w:p w14:paraId="28DD1B33" w14:textId="77777777" w:rsidR="00694AB1" w:rsidRPr="0075492C" w:rsidRDefault="00694AB1" w:rsidP="006E2158">
      <w:pPr>
        <w:spacing w:after="0" w:line="360" w:lineRule="auto"/>
        <w:ind w:right="-144"/>
        <w:jc w:val="both"/>
        <w:rPr>
          <w:rFonts w:ascii="Century Gothic" w:hAnsi="Century Gothic"/>
          <w:sz w:val="24"/>
          <w:szCs w:val="24"/>
        </w:rPr>
      </w:pPr>
    </w:p>
    <w:p w14:paraId="27E3356C" w14:textId="1D00D1F3" w:rsidR="00823370" w:rsidRDefault="00694AB1" w:rsidP="006E2158">
      <w:pPr>
        <w:spacing w:after="0" w:line="360" w:lineRule="auto"/>
        <w:ind w:right="-144"/>
        <w:jc w:val="both"/>
        <w:rPr>
          <w:rFonts w:ascii="Century Gothic" w:hAnsi="Century Gothic"/>
          <w:sz w:val="24"/>
          <w:szCs w:val="24"/>
        </w:rPr>
      </w:pPr>
      <w:r>
        <w:rPr>
          <w:rFonts w:ascii="Century Gothic" w:hAnsi="Century Gothic"/>
          <w:sz w:val="24"/>
          <w:szCs w:val="24"/>
        </w:rPr>
        <w:t xml:space="preserve">De ahí que, por convicción, congruencia y en aras de </w:t>
      </w:r>
      <w:r w:rsidR="00823370">
        <w:rPr>
          <w:rFonts w:ascii="Century Gothic" w:hAnsi="Century Gothic"/>
          <w:sz w:val="24"/>
          <w:szCs w:val="24"/>
        </w:rPr>
        <w:t>integrar un órgano colegiado que fundamenta sus decisiones, criterio y determinaciones en una verdadera progresividad de los derechos humanos, me separo de la propuesta de la mayoría prevista en los incisos b), c) y d), párrafo 2, del artículo 23 del instrumento reglamentario en cita.</w:t>
      </w:r>
    </w:p>
    <w:p w14:paraId="5A4D1C8E" w14:textId="77777777" w:rsidR="00823370" w:rsidRDefault="00823370" w:rsidP="006E2158">
      <w:pPr>
        <w:spacing w:after="0" w:line="360" w:lineRule="auto"/>
        <w:ind w:right="-144"/>
        <w:jc w:val="both"/>
        <w:rPr>
          <w:rFonts w:ascii="Century Gothic" w:hAnsi="Century Gothic"/>
          <w:sz w:val="24"/>
          <w:szCs w:val="24"/>
        </w:rPr>
      </w:pPr>
    </w:p>
    <w:p w14:paraId="45692B0D" w14:textId="19C2377A" w:rsidR="00694AB1" w:rsidRPr="0075492C" w:rsidRDefault="00823370" w:rsidP="006E2158">
      <w:pPr>
        <w:spacing w:after="0" w:line="360" w:lineRule="auto"/>
        <w:ind w:right="-144"/>
        <w:jc w:val="both"/>
        <w:rPr>
          <w:rFonts w:ascii="Century Gothic" w:hAnsi="Century Gothic"/>
          <w:sz w:val="24"/>
          <w:szCs w:val="24"/>
        </w:rPr>
      </w:pPr>
      <w:r>
        <w:rPr>
          <w:rFonts w:ascii="Century Gothic" w:hAnsi="Century Gothic"/>
          <w:sz w:val="24"/>
          <w:szCs w:val="24"/>
        </w:rPr>
        <w:t xml:space="preserve">Lo anterior en virtud de que, </w:t>
      </w:r>
      <w:r w:rsidR="00694AB1" w:rsidRPr="0075492C">
        <w:rPr>
          <w:rFonts w:ascii="Century Gothic" w:hAnsi="Century Gothic"/>
          <w:sz w:val="24"/>
          <w:szCs w:val="24"/>
        </w:rPr>
        <w:t>con mucho respeto</w:t>
      </w:r>
      <w:r>
        <w:rPr>
          <w:rFonts w:ascii="Century Gothic" w:hAnsi="Century Gothic"/>
          <w:sz w:val="24"/>
          <w:szCs w:val="24"/>
        </w:rPr>
        <w:t xml:space="preserve"> hacía la opinión de la mayoría del Consejo General, debe considerarse </w:t>
      </w:r>
      <w:r w:rsidR="00694AB1" w:rsidRPr="0075492C">
        <w:rPr>
          <w:rFonts w:ascii="Century Gothic" w:hAnsi="Century Gothic"/>
          <w:sz w:val="24"/>
          <w:szCs w:val="24"/>
        </w:rPr>
        <w:t>que, tomando en consideración que este Instituto Electoral es la casa de la democracia en Jalisco y que en este sentido toda la ciudadanía debe sentirse plenamente identificada y representada a través de nuestro trabajo que</w:t>
      </w:r>
      <w:r>
        <w:rPr>
          <w:rFonts w:ascii="Century Gothic" w:hAnsi="Century Gothic"/>
          <w:sz w:val="24"/>
          <w:szCs w:val="24"/>
        </w:rPr>
        <w:t>,</w:t>
      </w:r>
      <w:r w:rsidR="00694AB1" w:rsidRPr="0075492C">
        <w:rPr>
          <w:rFonts w:ascii="Century Gothic" w:hAnsi="Century Gothic"/>
          <w:sz w:val="24"/>
          <w:szCs w:val="24"/>
        </w:rPr>
        <w:t xml:space="preserve"> esencialmente</w:t>
      </w:r>
      <w:r>
        <w:rPr>
          <w:rFonts w:ascii="Century Gothic" w:hAnsi="Century Gothic"/>
          <w:sz w:val="24"/>
          <w:szCs w:val="24"/>
        </w:rPr>
        <w:t>,</w:t>
      </w:r>
      <w:r w:rsidR="00694AB1" w:rsidRPr="0075492C">
        <w:rPr>
          <w:rFonts w:ascii="Century Gothic" w:hAnsi="Century Gothic"/>
          <w:sz w:val="24"/>
          <w:szCs w:val="24"/>
        </w:rPr>
        <w:t xml:space="preserve"> consiste y </w:t>
      </w:r>
      <w:r>
        <w:rPr>
          <w:rFonts w:ascii="Century Gothic" w:hAnsi="Century Gothic"/>
          <w:sz w:val="24"/>
          <w:szCs w:val="24"/>
        </w:rPr>
        <w:t>se</w:t>
      </w:r>
      <w:r w:rsidR="00694AB1" w:rsidRPr="0075492C">
        <w:rPr>
          <w:rFonts w:ascii="Century Gothic" w:hAnsi="Century Gothic"/>
          <w:sz w:val="24"/>
          <w:szCs w:val="24"/>
        </w:rPr>
        <w:t xml:space="preserve"> dedica al ejercicio sustancial de la participación política de las y los jaliscienses en todas sus facetas y caras; y aunado a que no solo </w:t>
      </w:r>
      <w:r>
        <w:rPr>
          <w:rFonts w:ascii="Century Gothic" w:hAnsi="Century Gothic"/>
          <w:sz w:val="24"/>
          <w:szCs w:val="24"/>
        </w:rPr>
        <w:t xml:space="preserve">desde este órgano se </w:t>
      </w:r>
      <w:r w:rsidR="00694AB1" w:rsidRPr="0075492C">
        <w:rPr>
          <w:rFonts w:ascii="Century Gothic" w:hAnsi="Century Gothic"/>
          <w:sz w:val="24"/>
          <w:szCs w:val="24"/>
        </w:rPr>
        <w:t>emit</w:t>
      </w:r>
      <w:r>
        <w:rPr>
          <w:rFonts w:ascii="Century Gothic" w:hAnsi="Century Gothic"/>
          <w:sz w:val="24"/>
          <w:szCs w:val="24"/>
        </w:rPr>
        <w:t xml:space="preserve">en </w:t>
      </w:r>
      <w:r w:rsidR="00694AB1" w:rsidRPr="0075492C">
        <w:rPr>
          <w:rFonts w:ascii="Century Gothic" w:hAnsi="Century Gothic"/>
          <w:sz w:val="24"/>
          <w:szCs w:val="24"/>
        </w:rPr>
        <w:t xml:space="preserve">lineamientos aplicables a partidos políticos y candidaturas independientes para </w:t>
      </w:r>
      <w:r>
        <w:rPr>
          <w:rFonts w:ascii="Century Gothic" w:hAnsi="Century Gothic"/>
          <w:sz w:val="24"/>
          <w:szCs w:val="24"/>
        </w:rPr>
        <w:t>el</w:t>
      </w:r>
      <w:r w:rsidR="00694AB1" w:rsidRPr="0075492C">
        <w:rPr>
          <w:rFonts w:ascii="Century Gothic" w:hAnsi="Century Gothic"/>
          <w:sz w:val="24"/>
          <w:szCs w:val="24"/>
        </w:rPr>
        <w:t xml:space="preserve"> cumpl</w:t>
      </w:r>
      <w:r>
        <w:rPr>
          <w:rFonts w:ascii="Century Gothic" w:hAnsi="Century Gothic"/>
          <w:sz w:val="24"/>
          <w:szCs w:val="24"/>
        </w:rPr>
        <w:t>imiento</w:t>
      </w:r>
      <w:r w:rsidR="00694AB1" w:rsidRPr="0075492C">
        <w:rPr>
          <w:rFonts w:ascii="Century Gothic" w:hAnsi="Century Gothic"/>
          <w:sz w:val="24"/>
          <w:szCs w:val="24"/>
        </w:rPr>
        <w:t xml:space="preserve"> con paridad e inclusión en </w:t>
      </w:r>
      <w:r>
        <w:rPr>
          <w:rFonts w:ascii="Century Gothic" w:hAnsi="Century Gothic"/>
          <w:sz w:val="24"/>
          <w:szCs w:val="24"/>
        </w:rPr>
        <w:t>los</w:t>
      </w:r>
      <w:r w:rsidR="00694AB1" w:rsidRPr="0075492C">
        <w:rPr>
          <w:rFonts w:ascii="Century Gothic" w:hAnsi="Century Gothic"/>
          <w:sz w:val="24"/>
          <w:szCs w:val="24"/>
        </w:rPr>
        <w:t xml:space="preserve"> proceso de candidaturas; si no que </w:t>
      </w:r>
      <w:r>
        <w:rPr>
          <w:rFonts w:ascii="Century Gothic" w:hAnsi="Century Gothic"/>
          <w:sz w:val="24"/>
          <w:szCs w:val="24"/>
        </w:rPr>
        <w:t xml:space="preserve">al interior de este Instituto se realiza </w:t>
      </w:r>
      <w:r w:rsidR="00694AB1" w:rsidRPr="0075492C">
        <w:rPr>
          <w:rFonts w:ascii="Century Gothic" w:hAnsi="Century Gothic"/>
          <w:sz w:val="24"/>
          <w:szCs w:val="24"/>
        </w:rPr>
        <w:t xml:space="preserve">lo propio; </w:t>
      </w:r>
      <w:r>
        <w:rPr>
          <w:rFonts w:ascii="Century Gothic" w:hAnsi="Century Gothic"/>
          <w:sz w:val="24"/>
          <w:szCs w:val="24"/>
        </w:rPr>
        <w:t xml:space="preserve">las reglas para garantizar la integración de las personas pertenecientes a los grupos históricamente vulnerados referidos deben sembrar </w:t>
      </w:r>
      <w:r w:rsidR="00694AB1" w:rsidRPr="0075492C">
        <w:rPr>
          <w:rFonts w:ascii="Century Gothic" w:hAnsi="Century Gothic"/>
          <w:sz w:val="24"/>
          <w:szCs w:val="24"/>
        </w:rPr>
        <w:t>la pauta, abr</w:t>
      </w:r>
      <w:r>
        <w:rPr>
          <w:rFonts w:ascii="Century Gothic" w:hAnsi="Century Gothic"/>
          <w:sz w:val="24"/>
          <w:szCs w:val="24"/>
        </w:rPr>
        <w:t xml:space="preserve">ir </w:t>
      </w:r>
      <w:r w:rsidR="00694AB1" w:rsidRPr="0075492C">
        <w:rPr>
          <w:rFonts w:ascii="Century Gothic" w:hAnsi="Century Gothic"/>
          <w:sz w:val="24"/>
          <w:szCs w:val="24"/>
        </w:rPr>
        <w:t>más el camino</w:t>
      </w:r>
      <w:r>
        <w:rPr>
          <w:rFonts w:ascii="Century Gothic" w:hAnsi="Century Gothic"/>
          <w:sz w:val="24"/>
          <w:szCs w:val="24"/>
        </w:rPr>
        <w:t xml:space="preserve"> y ser más garantistas para no, solamente “conceder” </w:t>
      </w:r>
      <w:r w:rsidR="00694AB1" w:rsidRPr="0075492C">
        <w:rPr>
          <w:rFonts w:ascii="Century Gothic" w:hAnsi="Century Gothic"/>
          <w:sz w:val="24"/>
          <w:szCs w:val="24"/>
        </w:rPr>
        <w:t xml:space="preserve">acciones afirmativas que pudieran considerarse cortas o de pequeño alcance; si no que </w:t>
      </w:r>
      <w:r>
        <w:rPr>
          <w:rFonts w:ascii="Century Gothic" w:hAnsi="Century Gothic"/>
          <w:sz w:val="24"/>
          <w:szCs w:val="24"/>
        </w:rPr>
        <w:t xml:space="preserve">al proyectarlas se debe aprovechar la </w:t>
      </w:r>
      <w:r w:rsidR="00694AB1" w:rsidRPr="0075492C">
        <w:rPr>
          <w:rFonts w:ascii="Century Gothic" w:hAnsi="Century Gothic"/>
          <w:sz w:val="24"/>
          <w:szCs w:val="24"/>
        </w:rPr>
        <w:t xml:space="preserve">oportunidad para ir más allá </w:t>
      </w:r>
      <w:r>
        <w:rPr>
          <w:rFonts w:ascii="Century Gothic" w:hAnsi="Century Gothic"/>
          <w:sz w:val="24"/>
          <w:szCs w:val="24"/>
        </w:rPr>
        <w:t xml:space="preserve">y </w:t>
      </w:r>
      <w:r w:rsidR="00694AB1" w:rsidRPr="0075492C">
        <w:rPr>
          <w:rFonts w:ascii="Century Gothic" w:hAnsi="Century Gothic"/>
          <w:sz w:val="24"/>
          <w:szCs w:val="24"/>
        </w:rPr>
        <w:t xml:space="preserve">hacer lo posible </w:t>
      </w:r>
      <w:r>
        <w:rPr>
          <w:rFonts w:ascii="Century Gothic" w:hAnsi="Century Gothic"/>
          <w:sz w:val="24"/>
          <w:szCs w:val="24"/>
        </w:rPr>
        <w:t>sustancialmente su inclusión en</w:t>
      </w:r>
      <w:r w:rsidR="00694AB1" w:rsidRPr="0075492C">
        <w:rPr>
          <w:rFonts w:ascii="Century Gothic" w:hAnsi="Century Gothic"/>
          <w:sz w:val="24"/>
          <w:szCs w:val="24"/>
        </w:rPr>
        <w:t xml:space="preserve"> los órganos que serán </w:t>
      </w:r>
      <w:r>
        <w:rPr>
          <w:rFonts w:ascii="Century Gothic" w:hAnsi="Century Gothic"/>
          <w:sz w:val="24"/>
          <w:szCs w:val="24"/>
        </w:rPr>
        <w:t xml:space="preserve">el </w:t>
      </w:r>
      <w:r w:rsidR="00694AB1" w:rsidRPr="0075492C">
        <w:rPr>
          <w:rFonts w:ascii="Century Gothic" w:hAnsi="Century Gothic"/>
          <w:sz w:val="24"/>
          <w:szCs w:val="24"/>
        </w:rPr>
        <w:t xml:space="preserve">músculo de arbitraje electoral </w:t>
      </w:r>
      <w:r w:rsidR="00E90142">
        <w:rPr>
          <w:rFonts w:ascii="Century Gothic" w:hAnsi="Century Gothic"/>
          <w:sz w:val="24"/>
          <w:szCs w:val="24"/>
        </w:rPr>
        <w:t>disperso en</w:t>
      </w:r>
      <w:r>
        <w:rPr>
          <w:rFonts w:ascii="Century Gothic" w:hAnsi="Century Gothic"/>
          <w:sz w:val="24"/>
          <w:szCs w:val="24"/>
        </w:rPr>
        <w:t xml:space="preserve"> el territorio de la entidad, el cual </w:t>
      </w:r>
      <w:r w:rsidR="00E90142">
        <w:rPr>
          <w:rFonts w:ascii="Century Gothic" w:hAnsi="Century Gothic"/>
          <w:sz w:val="24"/>
          <w:szCs w:val="24"/>
        </w:rPr>
        <w:t xml:space="preserve">se integrará por </w:t>
      </w:r>
      <w:r w:rsidR="00694AB1" w:rsidRPr="0075492C">
        <w:rPr>
          <w:rFonts w:ascii="Century Gothic" w:hAnsi="Century Gothic"/>
          <w:sz w:val="24"/>
          <w:szCs w:val="24"/>
        </w:rPr>
        <w:lastRenderedPageBreak/>
        <w:t xml:space="preserve">un cuerpo de 140 personas ocupando el cargo de consejería electoral </w:t>
      </w:r>
      <w:r w:rsidR="00E90142">
        <w:rPr>
          <w:rFonts w:ascii="Century Gothic" w:hAnsi="Century Gothic"/>
          <w:sz w:val="24"/>
          <w:szCs w:val="24"/>
        </w:rPr>
        <w:t xml:space="preserve">disgregados </w:t>
      </w:r>
      <w:r w:rsidR="00694AB1" w:rsidRPr="0075492C">
        <w:rPr>
          <w:rFonts w:ascii="Century Gothic" w:hAnsi="Century Gothic"/>
          <w:sz w:val="24"/>
          <w:szCs w:val="24"/>
        </w:rPr>
        <w:t xml:space="preserve">en los 20 distritos y </w:t>
      </w:r>
      <w:r w:rsidR="00E90142">
        <w:rPr>
          <w:rFonts w:ascii="Century Gothic" w:hAnsi="Century Gothic"/>
          <w:sz w:val="24"/>
          <w:szCs w:val="24"/>
        </w:rPr>
        <w:t xml:space="preserve">de </w:t>
      </w:r>
      <w:r w:rsidR="00694AB1" w:rsidRPr="0075492C">
        <w:rPr>
          <w:rFonts w:ascii="Century Gothic" w:hAnsi="Century Gothic"/>
          <w:sz w:val="24"/>
          <w:szCs w:val="24"/>
        </w:rPr>
        <w:t xml:space="preserve">635 ciudadanos distribuidos en los 125 consejos municipales </w:t>
      </w:r>
      <w:r w:rsidR="00E90142">
        <w:rPr>
          <w:rFonts w:ascii="Century Gothic" w:hAnsi="Century Gothic"/>
          <w:sz w:val="24"/>
          <w:szCs w:val="24"/>
        </w:rPr>
        <w:t>correlativos a cada municipio de Jalisco</w:t>
      </w:r>
      <w:r w:rsidR="00694AB1" w:rsidRPr="0075492C">
        <w:rPr>
          <w:rFonts w:ascii="Century Gothic" w:hAnsi="Century Gothic"/>
          <w:sz w:val="24"/>
          <w:szCs w:val="24"/>
        </w:rPr>
        <w:t xml:space="preserve">. </w:t>
      </w:r>
    </w:p>
    <w:p w14:paraId="6EA55C0D" w14:textId="77777777" w:rsidR="00694AB1" w:rsidRPr="0075492C" w:rsidRDefault="00694AB1" w:rsidP="006E2158">
      <w:pPr>
        <w:spacing w:after="0" w:line="360" w:lineRule="auto"/>
        <w:ind w:right="-144"/>
        <w:jc w:val="both"/>
        <w:rPr>
          <w:rFonts w:ascii="Century Gothic" w:hAnsi="Century Gothic"/>
          <w:sz w:val="24"/>
          <w:szCs w:val="24"/>
        </w:rPr>
      </w:pPr>
    </w:p>
    <w:p w14:paraId="58C93FC1" w14:textId="2093C2A7" w:rsidR="00694AB1" w:rsidRDefault="00E90142" w:rsidP="006E2158">
      <w:pPr>
        <w:spacing w:after="0" w:line="360" w:lineRule="auto"/>
        <w:ind w:right="-144"/>
        <w:jc w:val="both"/>
        <w:rPr>
          <w:rFonts w:ascii="Century Gothic" w:hAnsi="Century Gothic"/>
          <w:sz w:val="24"/>
          <w:szCs w:val="24"/>
        </w:rPr>
      </w:pPr>
      <w:r>
        <w:rPr>
          <w:rFonts w:ascii="Century Gothic" w:hAnsi="Century Gothic"/>
          <w:sz w:val="24"/>
          <w:szCs w:val="24"/>
        </w:rPr>
        <w:t xml:space="preserve">Efectivamente, se dice que </w:t>
      </w:r>
      <w:r w:rsidR="00694AB1" w:rsidRPr="0075492C">
        <w:rPr>
          <w:rFonts w:ascii="Century Gothic" w:hAnsi="Century Gothic"/>
          <w:sz w:val="24"/>
          <w:szCs w:val="24"/>
        </w:rPr>
        <w:t xml:space="preserve">somos un órgano que se conduce y actúa, con perspectiva de género, pero también </w:t>
      </w:r>
      <w:r>
        <w:rPr>
          <w:rFonts w:ascii="Century Gothic" w:hAnsi="Century Gothic"/>
          <w:sz w:val="24"/>
          <w:szCs w:val="24"/>
        </w:rPr>
        <w:t xml:space="preserve">de </w:t>
      </w:r>
      <w:r w:rsidR="00694AB1" w:rsidRPr="0075492C">
        <w:rPr>
          <w:rFonts w:ascii="Century Gothic" w:hAnsi="Century Gothic"/>
          <w:sz w:val="24"/>
          <w:szCs w:val="24"/>
        </w:rPr>
        <w:t xml:space="preserve">multiculturalidad </w:t>
      </w:r>
      <w:proofErr w:type="gramStart"/>
      <w:r>
        <w:rPr>
          <w:rFonts w:ascii="Century Gothic" w:hAnsi="Century Gothic"/>
          <w:sz w:val="24"/>
          <w:szCs w:val="24"/>
        </w:rPr>
        <w:t>y</w:t>
      </w:r>
      <w:proofErr w:type="gramEnd"/>
      <w:r>
        <w:rPr>
          <w:rFonts w:ascii="Century Gothic" w:hAnsi="Century Gothic"/>
          <w:sz w:val="24"/>
          <w:szCs w:val="24"/>
        </w:rPr>
        <w:t xml:space="preserve"> además, </w:t>
      </w:r>
      <w:r w:rsidR="00694AB1" w:rsidRPr="0075492C">
        <w:rPr>
          <w:rFonts w:ascii="Century Gothic" w:hAnsi="Century Gothic"/>
          <w:sz w:val="24"/>
          <w:szCs w:val="24"/>
        </w:rPr>
        <w:t>de inclusión;</w:t>
      </w:r>
      <w:r>
        <w:rPr>
          <w:rFonts w:ascii="Century Gothic" w:hAnsi="Century Gothic"/>
          <w:sz w:val="24"/>
          <w:szCs w:val="24"/>
        </w:rPr>
        <w:t xml:space="preserve"> de ahí que ampliar la regla de integración y designación de las futuras consejerías electorales distritales tocantes a los grupos históricamente vulnerables encuentra sustento proporcional, razonable y objetivo tal como se verá a continuación.</w:t>
      </w:r>
    </w:p>
    <w:p w14:paraId="1701E86A" w14:textId="77777777" w:rsidR="00E90142" w:rsidRDefault="00E90142" w:rsidP="006E2158">
      <w:pPr>
        <w:spacing w:line="360" w:lineRule="auto"/>
        <w:ind w:right="-144"/>
        <w:jc w:val="both"/>
        <w:rPr>
          <w:rFonts w:ascii="Century Gothic" w:hAnsi="Century Gothic"/>
          <w:sz w:val="24"/>
          <w:szCs w:val="24"/>
        </w:rPr>
      </w:pPr>
    </w:p>
    <w:p w14:paraId="4FE053C5" w14:textId="2FE34500" w:rsidR="00694AB1" w:rsidRPr="00E90142" w:rsidRDefault="00E90142" w:rsidP="006E2158">
      <w:pPr>
        <w:spacing w:line="360" w:lineRule="auto"/>
        <w:ind w:right="-144"/>
        <w:jc w:val="both"/>
        <w:rPr>
          <w:rFonts w:ascii="Century Gothic" w:hAnsi="Century Gothic"/>
          <w:b/>
          <w:bCs/>
          <w:sz w:val="24"/>
          <w:szCs w:val="24"/>
        </w:rPr>
      </w:pPr>
      <w:r>
        <w:rPr>
          <w:rFonts w:ascii="Century Gothic" w:hAnsi="Century Gothic"/>
          <w:sz w:val="24"/>
          <w:szCs w:val="24"/>
        </w:rPr>
        <w:t xml:space="preserve">La lógica de las reglas específicas que aquí interesan se basan </w:t>
      </w:r>
      <w:r w:rsidR="00694AB1" w:rsidRPr="00E90142">
        <w:rPr>
          <w:rFonts w:ascii="Century Gothic" w:hAnsi="Century Gothic"/>
          <w:sz w:val="24"/>
          <w:szCs w:val="24"/>
        </w:rPr>
        <w:t xml:space="preserve">en tomar en cuenta el porcentaje de la población de los grupos vulnerables y traducirlos en su representación tomando como base del 100% a los 20 </w:t>
      </w:r>
      <w:r>
        <w:rPr>
          <w:rFonts w:ascii="Century Gothic" w:hAnsi="Century Gothic"/>
          <w:sz w:val="24"/>
          <w:szCs w:val="24"/>
        </w:rPr>
        <w:t>distritos electorales que componen el mapa electoral del estado</w:t>
      </w:r>
      <w:r w:rsidR="00694AB1" w:rsidRPr="00E90142">
        <w:rPr>
          <w:rFonts w:ascii="Century Gothic" w:hAnsi="Century Gothic"/>
          <w:sz w:val="24"/>
          <w:szCs w:val="24"/>
        </w:rPr>
        <w:t xml:space="preserve">; en cambio, mi planteamiento </w:t>
      </w:r>
      <w:r>
        <w:rPr>
          <w:rFonts w:ascii="Century Gothic" w:hAnsi="Century Gothic"/>
          <w:sz w:val="24"/>
          <w:szCs w:val="24"/>
        </w:rPr>
        <w:t xml:space="preserve">propone </w:t>
      </w:r>
      <w:r w:rsidR="00694AB1" w:rsidRPr="00E90142">
        <w:rPr>
          <w:rFonts w:ascii="Century Gothic" w:hAnsi="Century Gothic"/>
          <w:sz w:val="24"/>
          <w:szCs w:val="24"/>
        </w:rPr>
        <w:t>sustituir esa base</w:t>
      </w:r>
      <w:r>
        <w:rPr>
          <w:rFonts w:ascii="Century Gothic" w:hAnsi="Century Gothic"/>
          <w:sz w:val="24"/>
          <w:szCs w:val="24"/>
        </w:rPr>
        <w:t>,</w:t>
      </w:r>
      <w:r w:rsidR="00694AB1" w:rsidRPr="00E90142">
        <w:rPr>
          <w:rFonts w:ascii="Century Gothic" w:hAnsi="Century Gothic"/>
          <w:sz w:val="24"/>
          <w:szCs w:val="24"/>
        </w:rPr>
        <w:t xml:space="preserve"> por la de140</w:t>
      </w:r>
      <w:r>
        <w:rPr>
          <w:rFonts w:ascii="Century Gothic" w:hAnsi="Century Gothic"/>
          <w:sz w:val="24"/>
          <w:szCs w:val="24"/>
        </w:rPr>
        <w:t>,</w:t>
      </w:r>
      <w:r w:rsidR="00694AB1" w:rsidRPr="00E90142">
        <w:rPr>
          <w:rFonts w:ascii="Century Gothic" w:hAnsi="Century Gothic"/>
          <w:sz w:val="24"/>
          <w:szCs w:val="24"/>
        </w:rPr>
        <w:t xml:space="preserve"> que </w:t>
      </w:r>
      <w:r>
        <w:rPr>
          <w:rFonts w:ascii="Century Gothic" w:hAnsi="Century Gothic"/>
          <w:sz w:val="24"/>
          <w:szCs w:val="24"/>
        </w:rPr>
        <w:t xml:space="preserve">corresponde al </w:t>
      </w:r>
      <w:r w:rsidR="00694AB1" w:rsidRPr="00E90142">
        <w:rPr>
          <w:rFonts w:ascii="Century Gothic" w:hAnsi="Century Gothic"/>
          <w:sz w:val="24"/>
          <w:szCs w:val="24"/>
        </w:rPr>
        <w:t xml:space="preserve">número de personas que integran el universo total de los </w:t>
      </w:r>
      <w:r>
        <w:rPr>
          <w:rFonts w:ascii="Century Gothic" w:hAnsi="Century Gothic"/>
          <w:sz w:val="24"/>
          <w:szCs w:val="24"/>
        </w:rPr>
        <w:t xml:space="preserve">órganos </w:t>
      </w:r>
      <w:r w:rsidR="00694AB1" w:rsidRPr="00E90142">
        <w:rPr>
          <w:rFonts w:ascii="Century Gothic" w:hAnsi="Century Gothic"/>
          <w:sz w:val="24"/>
          <w:szCs w:val="24"/>
        </w:rPr>
        <w:t>distritales</w:t>
      </w:r>
      <w:r>
        <w:rPr>
          <w:rFonts w:ascii="Century Gothic" w:hAnsi="Century Gothic"/>
          <w:sz w:val="24"/>
          <w:szCs w:val="24"/>
        </w:rPr>
        <w:t xml:space="preserve"> (siete personas consejeras por cada órgano)</w:t>
      </w:r>
      <w:r w:rsidR="00694AB1" w:rsidRPr="00E90142">
        <w:rPr>
          <w:rFonts w:ascii="Century Gothic" w:hAnsi="Century Gothic"/>
          <w:sz w:val="24"/>
          <w:szCs w:val="24"/>
        </w:rPr>
        <w:t xml:space="preserve">; </w:t>
      </w:r>
      <w:r>
        <w:rPr>
          <w:rFonts w:ascii="Century Gothic" w:hAnsi="Century Gothic"/>
          <w:sz w:val="24"/>
          <w:szCs w:val="24"/>
        </w:rPr>
        <w:t xml:space="preserve">con lo que, entonces, </w:t>
      </w:r>
      <w:r w:rsidR="003F3E69">
        <w:rPr>
          <w:rFonts w:ascii="Century Gothic" w:hAnsi="Century Gothic"/>
          <w:sz w:val="24"/>
          <w:szCs w:val="24"/>
        </w:rPr>
        <w:t xml:space="preserve">el resultado de la regla se modificaría y aumentaría de acuerdo a los </w:t>
      </w:r>
      <w:r w:rsidR="00694AB1" w:rsidRPr="00E90142">
        <w:rPr>
          <w:rFonts w:ascii="Century Gothic" w:hAnsi="Century Gothic"/>
          <w:sz w:val="24"/>
          <w:szCs w:val="24"/>
        </w:rPr>
        <w:t xml:space="preserve">términos: </w:t>
      </w:r>
    </w:p>
    <w:p w14:paraId="6BFA7FF6" w14:textId="77777777" w:rsidR="00694AB1" w:rsidRPr="0075492C" w:rsidRDefault="00694AB1" w:rsidP="006E2158">
      <w:pPr>
        <w:pStyle w:val="ListParagraph"/>
        <w:spacing w:line="360" w:lineRule="auto"/>
        <w:ind w:right="-144"/>
        <w:jc w:val="both"/>
        <w:rPr>
          <w:rFonts w:ascii="Century Gothic" w:hAnsi="Century Gothic"/>
          <w:sz w:val="24"/>
          <w:szCs w:val="24"/>
        </w:rPr>
      </w:pPr>
    </w:p>
    <w:p w14:paraId="040BE094" w14:textId="5984768F" w:rsidR="00694AB1" w:rsidRPr="003F3E69" w:rsidRDefault="00694AB1" w:rsidP="006E2158">
      <w:pPr>
        <w:pStyle w:val="ListParagraph"/>
        <w:numPr>
          <w:ilvl w:val="0"/>
          <w:numId w:val="15"/>
        </w:numPr>
        <w:spacing w:line="360" w:lineRule="auto"/>
        <w:ind w:right="-144"/>
        <w:jc w:val="both"/>
        <w:rPr>
          <w:rFonts w:ascii="Century Gothic" w:hAnsi="Century Gothic"/>
          <w:b/>
          <w:bCs/>
          <w:sz w:val="24"/>
          <w:szCs w:val="24"/>
        </w:rPr>
      </w:pPr>
      <w:r w:rsidRPr="003F3E69">
        <w:rPr>
          <w:rFonts w:ascii="Century Gothic" w:hAnsi="Century Gothic"/>
          <w:sz w:val="24"/>
          <w:szCs w:val="24"/>
        </w:rPr>
        <w:t>Si bien, en el artículo 23, punto 2, inciso b)</w:t>
      </w:r>
      <w:r w:rsidR="006E2158">
        <w:rPr>
          <w:rFonts w:ascii="Century Gothic" w:hAnsi="Century Gothic"/>
          <w:sz w:val="24"/>
          <w:szCs w:val="24"/>
        </w:rPr>
        <w:t xml:space="preserve"> de los lineamientos</w:t>
      </w:r>
      <w:r w:rsidRPr="003F3E69">
        <w:rPr>
          <w:rFonts w:ascii="Century Gothic" w:hAnsi="Century Gothic"/>
          <w:sz w:val="24"/>
          <w:szCs w:val="24"/>
        </w:rPr>
        <w:t>, señala que deberán integrarse 3 personas con discapacidad en algún distrito; es decir 3 personas en un universo de 140; m</w:t>
      </w:r>
      <w:r w:rsidR="003F3E69">
        <w:rPr>
          <w:rFonts w:ascii="Century Gothic" w:hAnsi="Century Gothic"/>
          <w:sz w:val="24"/>
          <w:szCs w:val="24"/>
        </w:rPr>
        <w:t xml:space="preserve">i postura es </w:t>
      </w:r>
      <w:r w:rsidRPr="003F3E69">
        <w:rPr>
          <w:rFonts w:ascii="Century Gothic" w:hAnsi="Century Gothic"/>
          <w:sz w:val="24"/>
          <w:szCs w:val="24"/>
        </w:rPr>
        <w:t xml:space="preserve">aumentar a 1 persona de este grupo en cada distrito, con lo que </w:t>
      </w:r>
      <w:r w:rsidR="003F3E69">
        <w:rPr>
          <w:rFonts w:ascii="Century Gothic" w:hAnsi="Century Gothic"/>
          <w:sz w:val="24"/>
          <w:szCs w:val="24"/>
        </w:rPr>
        <w:t xml:space="preserve">se </w:t>
      </w:r>
      <w:r w:rsidRPr="003F3E69">
        <w:rPr>
          <w:rFonts w:ascii="Century Gothic" w:hAnsi="Century Gothic"/>
          <w:sz w:val="24"/>
          <w:szCs w:val="24"/>
        </w:rPr>
        <w:t>visibiliz</w:t>
      </w:r>
      <w:r w:rsidR="003F3E69">
        <w:rPr>
          <w:rFonts w:ascii="Century Gothic" w:hAnsi="Century Gothic"/>
          <w:sz w:val="24"/>
          <w:szCs w:val="24"/>
        </w:rPr>
        <w:t>an y da oportunidad</w:t>
      </w:r>
      <w:r w:rsidRPr="003F3E69">
        <w:rPr>
          <w:rFonts w:ascii="Century Gothic" w:hAnsi="Century Gothic"/>
          <w:sz w:val="24"/>
          <w:szCs w:val="24"/>
        </w:rPr>
        <w:t xml:space="preserve"> a </w:t>
      </w:r>
      <w:r w:rsidRPr="003F3E69">
        <w:rPr>
          <w:rFonts w:ascii="Century Gothic" w:hAnsi="Century Gothic"/>
          <w:b/>
          <w:bCs/>
          <w:sz w:val="24"/>
          <w:szCs w:val="24"/>
        </w:rPr>
        <w:t>20 personas que viven en situación de di</w:t>
      </w:r>
      <w:r w:rsidR="003F3E69">
        <w:rPr>
          <w:rFonts w:ascii="Century Gothic" w:hAnsi="Century Gothic"/>
          <w:b/>
          <w:bCs/>
          <w:sz w:val="24"/>
          <w:szCs w:val="24"/>
        </w:rPr>
        <w:t>s</w:t>
      </w:r>
      <w:r w:rsidRPr="003F3E69">
        <w:rPr>
          <w:rFonts w:ascii="Century Gothic" w:hAnsi="Century Gothic"/>
          <w:b/>
          <w:bCs/>
          <w:sz w:val="24"/>
          <w:szCs w:val="24"/>
        </w:rPr>
        <w:t>capacidad.</w:t>
      </w:r>
    </w:p>
    <w:p w14:paraId="56B349EF" w14:textId="77777777" w:rsidR="00694AB1" w:rsidRPr="0075492C" w:rsidRDefault="00694AB1" w:rsidP="006E2158">
      <w:pPr>
        <w:pStyle w:val="ListParagraph"/>
        <w:spacing w:line="360" w:lineRule="auto"/>
        <w:ind w:left="0" w:right="-144"/>
        <w:jc w:val="both"/>
        <w:rPr>
          <w:rFonts w:ascii="Century Gothic" w:hAnsi="Century Gothic"/>
          <w:sz w:val="24"/>
          <w:szCs w:val="24"/>
        </w:rPr>
      </w:pPr>
    </w:p>
    <w:p w14:paraId="37282A32" w14:textId="4ED69A26" w:rsidR="00694AB1" w:rsidRPr="0075492C" w:rsidRDefault="00694AB1" w:rsidP="006E2158">
      <w:pPr>
        <w:pStyle w:val="ListParagraph"/>
        <w:numPr>
          <w:ilvl w:val="0"/>
          <w:numId w:val="16"/>
        </w:numPr>
        <w:spacing w:line="360" w:lineRule="auto"/>
        <w:ind w:left="709" w:right="-144" w:hanging="283"/>
        <w:jc w:val="both"/>
        <w:rPr>
          <w:rFonts w:ascii="Century Gothic" w:hAnsi="Century Gothic"/>
          <w:b/>
          <w:bCs/>
          <w:sz w:val="24"/>
          <w:szCs w:val="24"/>
        </w:rPr>
      </w:pPr>
      <w:r w:rsidRPr="0075492C">
        <w:rPr>
          <w:rFonts w:ascii="Century Gothic" w:hAnsi="Century Gothic"/>
          <w:sz w:val="24"/>
          <w:szCs w:val="24"/>
        </w:rPr>
        <w:t xml:space="preserve">En cuanto al inciso c), establece que </w:t>
      </w:r>
      <w:r w:rsidR="003F3E69">
        <w:rPr>
          <w:rFonts w:ascii="Century Gothic" w:hAnsi="Century Gothic"/>
          <w:sz w:val="24"/>
          <w:szCs w:val="24"/>
        </w:rPr>
        <w:t>1</w:t>
      </w:r>
      <w:r w:rsidRPr="0075492C">
        <w:rPr>
          <w:rFonts w:ascii="Century Gothic" w:hAnsi="Century Gothic"/>
          <w:sz w:val="24"/>
          <w:szCs w:val="24"/>
        </w:rPr>
        <w:t xml:space="preserve"> persona perteneciente al grupo de la diversidad deb</w:t>
      </w:r>
      <w:r w:rsidR="003F3E69">
        <w:rPr>
          <w:rFonts w:ascii="Century Gothic" w:hAnsi="Century Gothic"/>
          <w:sz w:val="24"/>
          <w:szCs w:val="24"/>
        </w:rPr>
        <w:t>e</w:t>
      </w:r>
      <w:r w:rsidRPr="0075492C">
        <w:rPr>
          <w:rFonts w:ascii="Century Gothic" w:hAnsi="Century Gothic"/>
          <w:sz w:val="24"/>
          <w:szCs w:val="24"/>
        </w:rPr>
        <w:t xml:space="preserve"> incluirse en algún distrito; es decir, 1 persona de 140 consejerías distritales; por eso </w:t>
      </w:r>
      <w:r w:rsidR="003F3E69">
        <w:rPr>
          <w:rFonts w:ascii="Century Gothic" w:hAnsi="Century Gothic"/>
          <w:sz w:val="24"/>
          <w:szCs w:val="24"/>
        </w:rPr>
        <w:t xml:space="preserve">la </w:t>
      </w:r>
      <w:r w:rsidRPr="0075492C">
        <w:rPr>
          <w:rFonts w:ascii="Century Gothic" w:hAnsi="Century Gothic"/>
          <w:sz w:val="24"/>
          <w:szCs w:val="24"/>
        </w:rPr>
        <w:t>prop</w:t>
      </w:r>
      <w:r w:rsidR="003F3E69">
        <w:rPr>
          <w:rFonts w:ascii="Century Gothic" w:hAnsi="Century Gothic"/>
          <w:sz w:val="24"/>
          <w:szCs w:val="24"/>
        </w:rPr>
        <w:t xml:space="preserve">uesta es </w:t>
      </w:r>
      <w:r w:rsidRPr="0075492C">
        <w:rPr>
          <w:rFonts w:ascii="Century Gothic" w:hAnsi="Century Gothic"/>
          <w:sz w:val="24"/>
          <w:szCs w:val="24"/>
        </w:rPr>
        <w:t xml:space="preserve">acrecentar a 3 en los </w:t>
      </w:r>
      <w:r w:rsidRPr="0075492C">
        <w:rPr>
          <w:rFonts w:ascii="Century Gothic" w:hAnsi="Century Gothic"/>
          <w:sz w:val="24"/>
          <w:szCs w:val="24"/>
        </w:rPr>
        <w:lastRenderedPageBreak/>
        <w:t>distritos de conforman el área de la Z</w:t>
      </w:r>
      <w:r w:rsidR="003F3E69">
        <w:rPr>
          <w:rFonts w:ascii="Century Gothic" w:hAnsi="Century Gothic"/>
          <w:sz w:val="24"/>
          <w:szCs w:val="24"/>
        </w:rPr>
        <w:t xml:space="preserve">ona </w:t>
      </w:r>
      <w:r w:rsidRPr="0075492C">
        <w:rPr>
          <w:rFonts w:ascii="Century Gothic" w:hAnsi="Century Gothic"/>
          <w:sz w:val="24"/>
          <w:szCs w:val="24"/>
        </w:rPr>
        <w:t>M</w:t>
      </w:r>
      <w:r w:rsidR="003F3E69">
        <w:rPr>
          <w:rFonts w:ascii="Century Gothic" w:hAnsi="Century Gothic"/>
          <w:sz w:val="24"/>
          <w:szCs w:val="24"/>
        </w:rPr>
        <w:t xml:space="preserve">etropolitana de </w:t>
      </w:r>
      <w:r w:rsidRPr="0075492C">
        <w:rPr>
          <w:rFonts w:ascii="Century Gothic" w:hAnsi="Century Gothic"/>
          <w:sz w:val="24"/>
          <w:szCs w:val="24"/>
        </w:rPr>
        <w:t>G</w:t>
      </w:r>
      <w:r w:rsidR="003F3E69">
        <w:rPr>
          <w:rFonts w:ascii="Century Gothic" w:hAnsi="Century Gothic"/>
          <w:sz w:val="24"/>
          <w:szCs w:val="24"/>
        </w:rPr>
        <w:t>uadalajara</w:t>
      </w:r>
      <w:r w:rsidRPr="0075492C">
        <w:rPr>
          <w:rFonts w:ascii="Century Gothic" w:hAnsi="Century Gothic"/>
          <w:sz w:val="24"/>
          <w:szCs w:val="24"/>
        </w:rPr>
        <w:t xml:space="preserve"> y </w:t>
      </w:r>
      <w:r w:rsidR="003F3E69">
        <w:rPr>
          <w:rFonts w:ascii="Century Gothic" w:hAnsi="Century Gothic"/>
          <w:sz w:val="24"/>
          <w:szCs w:val="24"/>
        </w:rPr>
        <w:t>otras 3 personas de la diversidad</w:t>
      </w:r>
      <w:r w:rsidRPr="0075492C">
        <w:rPr>
          <w:rFonts w:ascii="Century Gothic" w:hAnsi="Century Gothic"/>
          <w:sz w:val="24"/>
          <w:szCs w:val="24"/>
        </w:rPr>
        <w:t xml:space="preserve"> en el resto; con ello daríamos espacio garantizado a </w:t>
      </w:r>
      <w:r w:rsidRPr="0075492C">
        <w:rPr>
          <w:rFonts w:ascii="Century Gothic" w:hAnsi="Century Gothic"/>
          <w:b/>
          <w:bCs/>
          <w:sz w:val="24"/>
          <w:szCs w:val="24"/>
        </w:rPr>
        <w:t xml:space="preserve">6 personas </w:t>
      </w:r>
      <w:proofErr w:type="spellStart"/>
      <w:r w:rsidRPr="0075492C">
        <w:rPr>
          <w:rFonts w:ascii="Century Gothic" w:hAnsi="Century Gothic"/>
          <w:b/>
          <w:bCs/>
          <w:sz w:val="24"/>
          <w:szCs w:val="24"/>
        </w:rPr>
        <w:t>autoadscritas</w:t>
      </w:r>
      <w:proofErr w:type="spellEnd"/>
      <w:r w:rsidRPr="0075492C">
        <w:rPr>
          <w:rFonts w:ascii="Century Gothic" w:hAnsi="Century Gothic"/>
          <w:b/>
          <w:bCs/>
          <w:sz w:val="24"/>
          <w:szCs w:val="24"/>
        </w:rPr>
        <w:t xml:space="preserve"> al grupo LGBTTTTIQ</w:t>
      </w:r>
      <w:r w:rsidR="007A12C5">
        <w:rPr>
          <w:rFonts w:ascii="Century Gothic" w:hAnsi="Century Gothic"/>
          <w:b/>
          <w:bCs/>
          <w:sz w:val="24"/>
          <w:szCs w:val="24"/>
        </w:rPr>
        <w:t>+</w:t>
      </w:r>
      <w:r w:rsidRPr="0075492C">
        <w:rPr>
          <w:rFonts w:ascii="Century Gothic" w:hAnsi="Century Gothic"/>
          <w:sz w:val="24"/>
          <w:szCs w:val="24"/>
        </w:rPr>
        <w:t>;</w:t>
      </w:r>
    </w:p>
    <w:p w14:paraId="1AE787DF" w14:textId="77777777" w:rsidR="00694AB1" w:rsidRPr="0075492C" w:rsidRDefault="00694AB1" w:rsidP="006E2158">
      <w:pPr>
        <w:pStyle w:val="ListParagraph"/>
        <w:spacing w:line="360" w:lineRule="auto"/>
        <w:ind w:left="0" w:right="-144"/>
        <w:rPr>
          <w:rFonts w:ascii="Century Gothic" w:hAnsi="Century Gothic"/>
          <w:b/>
          <w:bCs/>
          <w:sz w:val="24"/>
          <w:szCs w:val="24"/>
        </w:rPr>
      </w:pPr>
    </w:p>
    <w:p w14:paraId="3F544955" w14:textId="7F0CBA34" w:rsidR="00694AB1" w:rsidRPr="0075492C" w:rsidRDefault="00694AB1" w:rsidP="006E2158">
      <w:pPr>
        <w:pStyle w:val="ListParagraph"/>
        <w:numPr>
          <w:ilvl w:val="0"/>
          <w:numId w:val="16"/>
        </w:numPr>
        <w:tabs>
          <w:tab w:val="left" w:pos="284"/>
          <w:tab w:val="left" w:pos="993"/>
        </w:tabs>
        <w:spacing w:line="360" w:lineRule="auto"/>
        <w:ind w:left="709" w:right="-144" w:firstLine="0"/>
        <w:jc w:val="both"/>
        <w:rPr>
          <w:rFonts w:ascii="Century Gothic" w:hAnsi="Century Gothic"/>
          <w:b/>
          <w:bCs/>
          <w:sz w:val="24"/>
          <w:szCs w:val="24"/>
        </w:rPr>
      </w:pPr>
      <w:r w:rsidRPr="0075492C">
        <w:rPr>
          <w:rFonts w:ascii="Century Gothic" w:hAnsi="Century Gothic"/>
          <w:sz w:val="24"/>
          <w:szCs w:val="24"/>
        </w:rPr>
        <w:t>En el inciso d), se considera designar a 1 persona indígena para las integraciones de dos consejos, en el 1 y en el 18; no obstante</w:t>
      </w:r>
      <w:r w:rsidR="003F3E69">
        <w:rPr>
          <w:rFonts w:ascii="Century Gothic" w:hAnsi="Century Gothic"/>
          <w:sz w:val="24"/>
          <w:szCs w:val="24"/>
        </w:rPr>
        <w:t>,</w:t>
      </w:r>
      <w:r w:rsidRPr="0075492C">
        <w:rPr>
          <w:rFonts w:ascii="Century Gothic" w:hAnsi="Century Gothic"/>
          <w:sz w:val="24"/>
          <w:szCs w:val="24"/>
        </w:rPr>
        <w:t xml:space="preserve"> </w:t>
      </w:r>
      <w:r w:rsidR="003F3E69">
        <w:rPr>
          <w:rFonts w:ascii="Century Gothic" w:hAnsi="Century Gothic"/>
          <w:sz w:val="24"/>
          <w:szCs w:val="24"/>
        </w:rPr>
        <w:t>la consulta</w:t>
      </w:r>
      <w:r w:rsidRPr="0075492C">
        <w:rPr>
          <w:rFonts w:ascii="Century Gothic" w:hAnsi="Century Gothic"/>
          <w:sz w:val="24"/>
          <w:szCs w:val="24"/>
        </w:rPr>
        <w:t xml:space="preserve"> </w:t>
      </w:r>
      <w:r w:rsidR="003F3E69">
        <w:rPr>
          <w:rFonts w:ascii="Century Gothic" w:hAnsi="Century Gothic"/>
          <w:sz w:val="24"/>
          <w:szCs w:val="24"/>
        </w:rPr>
        <w:t xml:space="preserve">radicó en </w:t>
      </w:r>
      <w:r w:rsidRPr="0075492C">
        <w:rPr>
          <w:rFonts w:ascii="Century Gothic" w:hAnsi="Century Gothic"/>
          <w:sz w:val="24"/>
          <w:szCs w:val="24"/>
        </w:rPr>
        <w:t xml:space="preserve">adicionar 4 personas indígenas para la integración de los distritos que atienden a la </w:t>
      </w:r>
      <w:r w:rsidR="003F3E69">
        <w:rPr>
          <w:rFonts w:ascii="Century Gothic" w:hAnsi="Century Gothic"/>
          <w:sz w:val="24"/>
          <w:szCs w:val="24"/>
        </w:rPr>
        <w:t xml:space="preserve">referida </w:t>
      </w:r>
      <w:r w:rsidRPr="0075492C">
        <w:rPr>
          <w:rFonts w:ascii="Century Gothic" w:hAnsi="Century Gothic"/>
          <w:sz w:val="24"/>
          <w:szCs w:val="24"/>
        </w:rPr>
        <w:t>Z</w:t>
      </w:r>
      <w:r w:rsidR="003F3E69">
        <w:rPr>
          <w:rFonts w:ascii="Century Gothic" w:hAnsi="Century Gothic"/>
          <w:sz w:val="24"/>
          <w:szCs w:val="24"/>
        </w:rPr>
        <w:t xml:space="preserve">ona </w:t>
      </w:r>
      <w:r w:rsidRPr="0075492C">
        <w:rPr>
          <w:rFonts w:ascii="Century Gothic" w:hAnsi="Century Gothic"/>
          <w:sz w:val="24"/>
          <w:szCs w:val="24"/>
        </w:rPr>
        <w:t>M</w:t>
      </w:r>
      <w:r w:rsidR="003F3E69">
        <w:rPr>
          <w:rFonts w:ascii="Century Gothic" w:hAnsi="Century Gothic"/>
          <w:sz w:val="24"/>
          <w:szCs w:val="24"/>
        </w:rPr>
        <w:t xml:space="preserve">etropolitana de </w:t>
      </w:r>
      <w:r w:rsidRPr="0075492C">
        <w:rPr>
          <w:rFonts w:ascii="Century Gothic" w:hAnsi="Century Gothic"/>
          <w:sz w:val="24"/>
          <w:szCs w:val="24"/>
        </w:rPr>
        <w:t>G</w:t>
      </w:r>
      <w:r w:rsidR="003F3E69">
        <w:rPr>
          <w:rFonts w:ascii="Century Gothic" w:hAnsi="Century Gothic"/>
          <w:sz w:val="24"/>
          <w:szCs w:val="24"/>
        </w:rPr>
        <w:t>uadalajara</w:t>
      </w:r>
      <w:r w:rsidRPr="0075492C">
        <w:rPr>
          <w:rFonts w:ascii="Century Gothic" w:hAnsi="Century Gothic"/>
          <w:sz w:val="24"/>
          <w:szCs w:val="24"/>
        </w:rPr>
        <w:t xml:space="preserve">; con ello </w:t>
      </w:r>
      <w:r w:rsidR="003F3E69">
        <w:rPr>
          <w:rFonts w:ascii="Century Gothic" w:hAnsi="Century Gothic"/>
          <w:sz w:val="24"/>
          <w:szCs w:val="24"/>
        </w:rPr>
        <w:t xml:space="preserve">se otorgaría </w:t>
      </w:r>
      <w:r w:rsidRPr="0075492C">
        <w:rPr>
          <w:rFonts w:ascii="Century Gothic" w:hAnsi="Century Gothic"/>
          <w:sz w:val="24"/>
          <w:szCs w:val="24"/>
        </w:rPr>
        <w:t>transversalidad y visibilidad, no solo a 2; sino a 6 personas indígenas de un universo total de 140</w:t>
      </w:r>
      <w:r w:rsidR="003F3E69">
        <w:rPr>
          <w:rFonts w:ascii="Century Gothic" w:hAnsi="Century Gothic"/>
          <w:sz w:val="24"/>
          <w:szCs w:val="24"/>
        </w:rPr>
        <w:t xml:space="preserve"> personas</w:t>
      </w:r>
      <w:r w:rsidRPr="0075492C">
        <w:rPr>
          <w:rFonts w:ascii="Century Gothic" w:hAnsi="Century Gothic"/>
          <w:sz w:val="24"/>
          <w:szCs w:val="24"/>
        </w:rPr>
        <w:t>.</w:t>
      </w:r>
    </w:p>
    <w:p w14:paraId="366DB5B8" w14:textId="77777777" w:rsidR="00675C74" w:rsidRPr="00675C74" w:rsidRDefault="00675C74" w:rsidP="006E2158">
      <w:pPr>
        <w:spacing w:after="0" w:line="360" w:lineRule="auto"/>
        <w:ind w:right="-144"/>
        <w:jc w:val="both"/>
        <w:rPr>
          <w:rFonts w:ascii="Century Gothic" w:eastAsia="Trebuchet MS" w:hAnsi="Century Gothic" w:cs="Trebuchet MS"/>
          <w:b/>
          <w:bCs/>
          <w:iCs/>
          <w:sz w:val="24"/>
          <w:szCs w:val="24"/>
        </w:rPr>
      </w:pPr>
    </w:p>
    <w:p w14:paraId="325535B8" w14:textId="0F7E16FE" w:rsidR="00ED2C7E" w:rsidRDefault="003F3E69" w:rsidP="006E2158">
      <w:pPr>
        <w:spacing w:after="0" w:line="360" w:lineRule="auto"/>
        <w:ind w:right="-144"/>
        <w:jc w:val="both"/>
        <w:rPr>
          <w:rFonts w:ascii="Century Gothic" w:hAnsi="Century Gothic"/>
          <w:sz w:val="24"/>
          <w:szCs w:val="24"/>
        </w:rPr>
      </w:pPr>
      <w:r>
        <w:rPr>
          <w:rFonts w:ascii="Century Gothic" w:hAnsi="Century Gothic"/>
          <w:sz w:val="24"/>
          <w:szCs w:val="24"/>
        </w:rPr>
        <w:t>Como se advierte, en síntesis, la propuesta radica en modificar la</w:t>
      </w:r>
      <w:r w:rsidR="00CA5704">
        <w:rPr>
          <w:rFonts w:ascii="Century Gothic" w:hAnsi="Century Gothic"/>
          <w:sz w:val="24"/>
          <w:szCs w:val="24"/>
        </w:rPr>
        <w:t>s</w:t>
      </w:r>
      <w:r>
        <w:rPr>
          <w:rFonts w:ascii="Century Gothic" w:hAnsi="Century Gothic"/>
          <w:sz w:val="24"/>
          <w:szCs w:val="24"/>
        </w:rPr>
        <w:t xml:space="preserve"> </w:t>
      </w:r>
      <w:r w:rsidR="00CA5704">
        <w:rPr>
          <w:rFonts w:ascii="Century Gothic" w:hAnsi="Century Gothic"/>
          <w:sz w:val="24"/>
          <w:szCs w:val="24"/>
        </w:rPr>
        <w:t>factores</w:t>
      </w:r>
      <w:r>
        <w:rPr>
          <w:rFonts w:ascii="Century Gothic" w:hAnsi="Century Gothic"/>
          <w:sz w:val="24"/>
          <w:szCs w:val="24"/>
        </w:rPr>
        <w:t xml:space="preserve"> </w:t>
      </w:r>
      <w:r w:rsidR="00CA5704">
        <w:rPr>
          <w:rFonts w:ascii="Century Gothic" w:hAnsi="Century Gothic"/>
          <w:sz w:val="24"/>
          <w:szCs w:val="24"/>
        </w:rPr>
        <w:t xml:space="preserve">para el cálculo </w:t>
      </w:r>
      <w:r>
        <w:rPr>
          <w:rFonts w:ascii="Century Gothic" w:hAnsi="Century Gothic"/>
          <w:sz w:val="24"/>
          <w:szCs w:val="24"/>
        </w:rPr>
        <w:t>de</w:t>
      </w:r>
      <w:r w:rsidR="00CA5704">
        <w:rPr>
          <w:rFonts w:ascii="Century Gothic" w:hAnsi="Century Gothic"/>
          <w:sz w:val="24"/>
          <w:szCs w:val="24"/>
        </w:rPr>
        <w:t>l</w:t>
      </w:r>
      <w:r>
        <w:rPr>
          <w:rFonts w:ascii="Century Gothic" w:hAnsi="Century Gothic"/>
          <w:sz w:val="24"/>
          <w:szCs w:val="24"/>
        </w:rPr>
        <w:t xml:space="preserve"> porcentaje </w:t>
      </w:r>
      <w:r w:rsidR="00CA5704">
        <w:rPr>
          <w:rFonts w:ascii="Century Gothic" w:hAnsi="Century Gothic"/>
          <w:sz w:val="24"/>
          <w:szCs w:val="24"/>
        </w:rPr>
        <w:t xml:space="preserve">relativo a </w:t>
      </w:r>
      <w:r>
        <w:rPr>
          <w:rFonts w:ascii="Century Gothic" w:hAnsi="Century Gothic"/>
          <w:sz w:val="24"/>
          <w:szCs w:val="24"/>
        </w:rPr>
        <w:t xml:space="preserve">la medida </w:t>
      </w:r>
      <w:r w:rsidR="00D25AF6">
        <w:rPr>
          <w:rFonts w:ascii="Century Gothic" w:hAnsi="Century Gothic"/>
          <w:sz w:val="24"/>
          <w:szCs w:val="24"/>
        </w:rPr>
        <w:t xml:space="preserve">aludida </w:t>
      </w:r>
      <w:r>
        <w:rPr>
          <w:rFonts w:ascii="Century Gothic" w:hAnsi="Century Gothic"/>
          <w:sz w:val="24"/>
          <w:szCs w:val="24"/>
        </w:rPr>
        <w:t xml:space="preserve">para </w:t>
      </w:r>
      <w:r w:rsidR="00CA5704">
        <w:rPr>
          <w:rFonts w:ascii="Century Gothic" w:hAnsi="Century Gothic"/>
          <w:sz w:val="24"/>
          <w:szCs w:val="24"/>
        </w:rPr>
        <w:t xml:space="preserve">adaptar su razonabilidad y </w:t>
      </w:r>
      <w:r>
        <w:rPr>
          <w:rFonts w:ascii="Century Gothic" w:hAnsi="Century Gothic"/>
          <w:sz w:val="24"/>
          <w:szCs w:val="24"/>
        </w:rPr>
        <w:t>proporcional</w:t>
      </w:r>
      <w:r w:rsidR="00CA5704">
        <w:rPr>
          <w:rFonts w:ascii="Century Gothic" w:hAnsi="Century Gothic"/>
          <w:sz w:val="24"/>
          <w:szCs w:val="24"/>
        </w:rPr>
        <w:t>idad</w:t>
      </w:r>
      <w:r>
        <w:rPr>
          <w:rFonts w:ascii="Century Gothic" w:hAnsi="Century Gothic"/>
          <w:sz w:val="24"/>
          <w:szCs w:val="24"/>
        </w:rPr>
        <w:t xml:space="preserve"> a la cantidad de personas que integran el cuerpo de consejerías</w:t>
      </w:r>
      <w:r w:rsidR="009D06CE">
        <w:rPr>
          <w:rFonts w:ascii="Century Gothic" w:hAnsi="Century Gothic"/>
          <w:sz w:val="24"/>
          <w:szCs w:val="24"/>
        </w:rPr>
        <w:t xml:space="preserve"> distritales</w:t>
      </w:r>
      <w:r>
        <w:rPr>
          <w:rFonts w:ascii="Century Gothic" w:hAnsi="Century Gothic"/>
          <w:sz w:val="24"/>
          <w:szCs w:val="24"/>
        </w:rPr>
        <w:t>, en virtud de que,</w:t>
      </w:r>
      <w:r w:rsidR="009D06CE">
        <w:rPr>
          <w:rFonts w:ascii="Century Gothic" w:hAnsi="Century Gothic"/>
          <w:sz w:val="24"/>
          <w:szCs w:val="24"/>
        </w:rPr>
        <w:t xml:space="preserve"> con esta regla,</w:t>
      </w:r>
      <w:r>
        <w:rPr>
          <w:rFonts w:ascii="Century Gothic" w:hAnsi="Century Gothic"/>
          <w:sz w:val="24"/>
          <w:szCs w:val="24"/>
        </w:rPr>
        <w:t xml:space="preserve"> al final lo que </w:t>
      </w:r>
      <w:r w:rsidR="009D06CE">
        <w:rPr>
          <w:rFonts w:ascii="Century Gothic" w:hAnsi="Century Gothic"/>
          <w:sz w:val="24"/>
          <w:szCs w:val="24"/>
        </w:rPr>
        <w:t>se logra es</w:t>
      </w:r>
      <w:r>
        <w:rPr>
          <w:rFonts w:ascii="Century Gothic" w:hAnsi="Century Gothic"/>
          <w:sz w:val="24"/>
          <w:szCs w:val="24"/>
        </w:rPr>
        <w:t xml:space="preserve"> </w:t>
      </w:r>
      <w:r w:rsidR="009D06CE">
        <w:rPr>
          <w:rFonts w:ascii="Century Gothic" w:hAnsi="Century Gothic"/>
          <w:sz w:val="24"/>
          <w:szCs w:val="24"/>
        </w:rPr>
        <w:t xml:space="preserve">aumentar la posibilidad de acceso </w:t>
      </w:r>
      <w:r>
        <w:rPr>
          <w:rFonts w:ascii="Century Gothic" w:hAnsi="Century Gothic"/>
          <w:sz w:val="24"/>
          <w:szCs w:val="24"/>
        </w:rPr>
        <w:t>y trascender e</w:t>
      </w:r>
      <w:r w:rsidR="00D25AF6">
        <w:rPr>
          <w:rFonts w:ascii="Century Gothic" w:hAnsi="Century Gothic"/>
          <w:sz w:val="24"/>
          <w:szCs w:val="24"/>
        </w:rPr>
        <w:t xml:space="preserve">l </w:t>
      </w:r>
      <w:r>
        <w:rPr>
          <w:rFonts w:ascii="Century Gothic" w:hAnsi="Century Gothic"/>
          <w:sz w:val="24"/>
          <w:szCs w:val="24"/>
        </w:rPr>
        <w:t xml:space="preserve">derecho de la ciudadanía, cualquiera que sea su condición </w:t>
      </w:r>
      <w:r w:rsidR="00D25AF6">
        <w:rPr>
          <w:rFonts w:ascii="Century Gothic" w:hAnsi="Century Gothic"/>
          <w:sz w:val="24"/>
          <w:szCs w:val="24"/>
        </w:rPr>
        <w:t>o característica,</w:t>
      </w:r>
      <w:r>
        <w:rPr>
          <w:rFonts w:ascii="Century Gothic" w:hAnsi="Century Gothic"/>
          <w:sz w:val="24"/>
          <w:szCs w:val="24"/>
        </w:rPr>
        <w:t xml:space="preserve"> </w:t>
      </w:r>
      <w:r w:rsidR="00D25AF6">
        <w:rPr>
          <w:rFonts w:ascii="Century Gothic" w:hAnsi="Century Gothic"/>
          <w:sz w:val="24"/>
          <w:szCs w:val="24"/>
        </w:rPr>
        <w:t xml:space="preserve">a </w:t>
      </w:r>
      <w:r>
        <w:rPr>
          <w:rFonts w:ascii="Century Gothic" w:hAnsi="Century Gothic"/>
          <w:sz w:val="24"/>
          <w:szCs w:val="24"/>
        </w:rPr>
        <w:t>participar activamente en el ámbito político electoral</w:t>
      </w:r>
      <w:r w:rsidR="009D06CE">
        <w:rPr>
          <w:rFonts w:ascii="Century Gothic" w:hAnsi="Century Gothic"/>
          <w:sz w:val="24"/>
          <w:szCs w:val="24"/>
        </w:rPr>
        <w:t xml:space="preserve"> de nuestra entidad</w:t>
      </w:r>
      <w:r>
        <w:rPr>
          <w:rFonts w:ascii="Century Gothic" w:hAnsi="Century Gothic"/>
          <w:sz w:val="24"/>
          <w:szCs w:val="24"/>
        </w:rPr>
        <w:t xml:space="preserve">; lo que dista de la perspectiva de la mayoría </w:t>
      </w:r>
      <w:r w:rsidR="00CA5704">
        <w:rPr>
          <w:rFonts w:ascii="Century Gothic" w:hAnsi="Century Gothic"/>
          <w:sz w:val="24"/>
          <w:szCs w:val="24"/>
        </w:rPr>
        <w:t xml:space="preserve">al tomar </w:t>
      </w:r>
      <w:r w:rsidR="009D06CE">
        <w:rPr>
          <w:rFonts w:ascii="Century Gothic" w:hAnsi="Century Gothic"/>
          <w:sz w:val="24"/>
          <w:szCs w:val="24"/>
        </w:rPr>
        <w:t xml:space="preserve">como parámetro factores relativos como </w:t>
      </w:r>
      <w:r>
        <w:rPr>
          <w:rFonts w:ascii="Century Gothic" w:hAnsi="Century Gothic"/>
          <w:sz w:val="24"/>
          <w:szCs w:val="24"/>
        </w:rPr>
        <w:t>la posibilidad operativa para la integración de los citados órganos desconcentrados</w:t>
      </w:r>
      <w:r w:rsidR="009D06CE">
        <w:rPr>
          <w:rFonts w:ascii="Century Gothic" w:hAnsi="Century Gothic"/>
          <w:sz w:val="24"/>
          <w:szCs w:val="24"/>
        </w:rPr>
        <w:t xml:space="preserve"> o incluso, aducir que la implementación de éstas acciones son un ejercicio de práctica para medir resultados</w:t>
      </w:r>
      <w:r>
        <w:rPr>
          <w:rFonts w:ascii="Century Gothic" w:hAnsi="Century Gothic"/>
          <w:sz w:val="24"/>
          <w:szCs w:val="24"/>
        </w:rPr>
        <w:t xml:space="preserve">; de ahí que, considero que lo congruente y objetivo es modificar </w:t>
      </w:r>
      <w:r w:rsidR="00D25AF6">
        <w:rPr>
          <w:rFonts w:ascii="Century Gothic" w:hAnsi="Century Gothic"/>
          <w:sz w:val="24"/>
          <w:szCs w:val="24"/>
        </w:rPr>
        <w:t xml:space="preserve">la </w:t>
      </w:r>
      <w:r>
        <w:rPr>
          <w:rFonts w:ascii="Century Gothic" w:hAnsi="Century Gothic"/>
          <w:sz w:val="24"/>
          <w:szCs w:val="24"/>
        </w:rPr>
        <w:t xml:space="preserve">regla </w:t>
      </w:r>
      <w:r w:rsidR="009D06CE">
        <w:rPr>
          <w:rFonts w:ascii="Century Gothic" w:hAnsi="Century Gothic"/>
          <w:sz w:val="24"/>
          <w:szCs w:val="24"/>
        </w:rPr>
        <w:t xml:space="preserve">y con ello </w:t>
      </w:r>
      <w:r>
        <w:rPr>
          <w:rFonts w:ascii="Century Gothic" w:hAnsi="Century Gothic"/>
          <w:sz w:val="24"/>
          <w:szCs w:val="24"/>
        </w:rPr>
        <w:t xml:space="preserve">ampliar sustancialmente </w:t>
      </w:r>
      <w:r w:rsidR="009D06CE">
        <w:rPr>
          <w:rFonts w:ascii="Century Gothic" w:hAnsi="Century Gothic"/>
          <w:sz w:val="24"/>
          <w:szCs w:val="24"/>
        </w:rPr>
        <w:t xml:space="preserve">la oportunidad de participación </w:t>
      </w:r>
      <w:r>
        <w:rPr>
          <w:rFonts w:ascii="Century Gothic" w:hAnsi="Century Gothic"/>
          <w:sz w:val="24"/>
          <w:szCs w:val="24"/>
        </w:rPr>
        <w:t>política de las personas integrantes de grupos históricamente vulnerados.</w:t>
      </w:r>
    </w:p>
    <w:p w14:paraId="7344C604" w14:textId="77777777" w:rsidR="009D06CE" w:rsidRPr="00CE4F51" w:rsidRDefault="009D06CE" w:rsidP="006E2158">
      <w:pPr>
        <w:spacing w:after="0" w:line="360" w:lineRule="auto"/>
        <w:ind w:right="-144"/>
        <w:jc w:val="both"/>
        <w:rPr>
          <w:rFonts w:ascii="Century Gothic" w:hAnsi="Century Gothic"/>
          <w:sz w:val="24"/>
          <w:szCs w:val="24"/>
        </w:rPr>
      </w:pPr>
    </w:p>
    <w:p w14:paraId="09FAB0E9" w14:textId="74DFBB9B" w:rsidR="00ED2C7E" w:rsidRPr="00CE4F51" w:rsidRDefault="00ED2C7E" w:rsidP="006E2158">
      <w:pPr>
        <w:spacing w:after="0" w:line="360" w:lineRule="auto"/>
        <w:ind w:right="-144"/>
        <w:jc w:val="center"/>
        <w:rPr>
          <w:rFonts w:ascii="Century Gothic" w:hAnsi="Century Gothic"/>
          <w:b/>
          <w:bCs/>
          <w:sz w:val="24"/>
          <w:szCs w:val="24"/>
        </w:rPr>
      </w:pPr>
      <w:r w:rsidRPr="00CE4F51">
        <w:rPr>
          <w:rFonts w:ascii="Century Gothic" w:hAnsi="Century Gothic"/>
          <w:b/>
          <w:bCs/>
          <w:sz w:val="24"/>
          <w:szCs w:val="24"/>
        </w:rPr>
        <w:t xml:space="preserve">Guadalajara, Jalisco, a </w:t>
      </w:r>
      <w:r w:rsidR="004F70C7">
        <w:rPr>
          <w:rFonts w:ascii="Century Gothic" w:hAnsi="Century Gothic"/>
          <w:b/>
          <w:bCs/>
          <w:sz w:val="24"/>
          <w:szCs w:val="24"/>
        </w:rPr>
        <w:t>19</w:t>
      </w:r>
      <w:r w:rsidRPr="00CE4F51">
        <w:rPr>
          <w:rFonts w:ascii="Century Gothic" w:hAnsi="Century Gothic"/>
          <w:b/>
          <w:bCs/>
          <w:sz w:val="24"/>
          <w:szCs w:val="24"/>
        </w:rPr>
        <w:t xml:space="preserve"> de septiembre de 2023</w:t>
      </w:r>
    </w:p>
    <w:p w14:paraId="71617EAF" w14:textId="77777777" w:rsidR="00ED2C7E" w:rsidRPr="00CE4F51" w:rsidRDefault="00ED2C7E" w:rsidP="006E2158">
      <w:pPr>
        <w:spacing w:after="0" w:line="360" w:lineRule="auto"/>
        <w:ind w:right="-144"/>
        <w:jc w:val="center"/>
        <w:rPr>
          <w:rFonts w:ascii="Century Gothic" w:hAnsi="Century Gothic"/>
          <w:b/>
          <w:bCs/>
          <w:sz w:val="24"/>
          <w:szCs w:val="24"/>
        </w:rPr>
      </w:pPr>
    </w:p>
    <w:p w14:paraId="48D1D0BD" w14:textId="77777777" w:rsidR="00ED2C7E" w:rsidRPr="00CE4F51" w:rsidRDefault="00ED2C7E" w:rsidP="006E2158">
      <w:pPr>
        <w:spacing w:after="0" w:line="360" w:lineRule="auto"/>
        <w:ind w:right="-144"/>
        <w:jc w:val="center"/>
        <w:rPr>
          <w:rFonts w:ascii="Century Gothic" w:hAnsi="Century Gothic"/>
          <w:b/>
          <w:bCs/>
          <w:sz w:val="24"/>
          <w:szCs w:val="24"/>
        </w:rPr>
      </w:pPr>
      <w:r w:rsidRPr="00CE4F51">
        <w:rPr>
          <w:rFonts w:ascii="Century Gothic" w:hAnsi="Century Gothic"/>
          <w:b/>
          <w:bCs/>
          <w:sz w:val="24"/>
          <w:szCs w:val="24"/>
        </w:rPr>
        <w:t>SILVIA GUADALUPE BUSTOS VÁSQUEZ</w:t>
      </w:r>
    </w:p>
    <w:p w14:paraId="2B0EFFCC" w14:textId="38549549" w:rsidR="00AB6764" w:rsidRPr="00CE4F51" w:rsidRDefault="00ED2C7E" w:rsidP="006E2158">
      <w:pPr>
        <w:spacing w:after="0" w:line="360" w:lineRule="auto"/>
        <w:ind w:right="-144"/>
        <w:jc w:val="center"/>
        <w:rPr>
          <w:rFonts w:ascii="Century Gothic" w:hAnsi="Century Gothic"/>
        </w:rPr>
      </w:pPr>
      <w:r w:rsidRPr="00CE4F51">
        <w:rPr>
          <w:rFonts w:ascii="Century Gothic" w:hAnsi="Century Gothic"/>
          <w:b/>
          <w:bCs/>
          <w:sz w:val="24"/>
          <w:szCs w:val="24"/>
        </w:rPr>
        <w:t>CONSEJERA ELECTORAL</w:t>
      </w:r>
    </w:p>
    <w:sectPr w:rsidR="00AB6764" w:rsidRPr="00CE4F51" w:rsidSect="00094AF9">
      <w:headerReference w:type="default"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BB25" w14:textId="77777777" w:rsidR="001F0D2F" w:rsidRDefault="001F0D2F" w:rsidP="00ED2C7E">
      <w:pPr>
        <w:spacing w:after="0" w:line="240" w:lineRule="auto"/>
      </w:pPr>
      <w:r>
        <w:separator/>
      </w:r>
    </w:p>
  </w:endnote>
  <w:endnote w:type="continuationSeparator" w:id="0">
    <w:p w14:paraId="01541CC9" w14:textId="77777777" w:rsidR="001F0D2F" w:rsidRDefault="001F0D2F" w:rsidP="00ED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12059"/>
      <w:docPartObj>
        <w:docPartGallery w:val="Page Numbers (Bottom of Page)"/>
        <w:docPartUnique/>
      </w:docPartObj>
    </w:sdtPr>
    <w:sdtContent>
      <w:p w14:paraId="609714BE" w14:textId="77777777" w:rsidR="00000000" w:rsidRDefault="00914241">
        <w:pPr>
          <w:pStyle w:val="Footer"/>
          <w:jc w:val="center"/>
        </w:pPr>
        <w:r>
          <w:fldChar w:fldCharType="begin"/>
        </w:r>
        <w:r>
          <w:instrText>PAGE   \* MERGEFORMAT</w:instrText>
        </w:r>
        <w:r>
          <w:fldChar w:fldCharType="separate"/>
        </w:r>
        <w:r>
          <w:rPr>
            <w:lang w:val="es-ES"/>
          </w:rPr>
          <w:t>2</w:t>
        </w:r>
        <w:r>
          <w:fldChar w:fldCharType="end"/>
        </w:r>
      </w:p>
    </w:sdtContent>
  </w:sdt>
  <w:p w14:paraId="1F03B5B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A47E" w14:textId="77777777" w:rsidR="001F0D2F" w:rsidRDefault="001F0D2F" w:rsidP="00ED2C7E">
      <w:pPr>
        <w:spacing w:after="0" w:line="240" w:lineRule="auto"/>
      </w:pPr>
      <w:r>
        <w:separator/>
      </w:r>
    </w:p>
  </w:footnote>
  <w:footnote w:type="continuationSeparator" w:id="0">
    <w:p w14:paraId="6F53FF7F" w14:textId="77777777" w:rsidR="001F0D2F" w:rsidRDefault="001F0D2F" w:rsidP="00ED2C7E">
      <w:pPr>
        <w:spacing w:after="0" w:line="240" w:lineRule="auto"/>
      </w:pPr>
      <w:r>
        <w:continuationSeparator/>
      </w:r>
    </w:p>
  </w:footnote>
  <w:footnote w:id="1">
    <w:p w14:paraId="013B7975" w14:textId="77777777" w:rsidR="00ED2C7E" w:rsidRPr="007A12C5" w:rsidRDefault="00ED2C7E" w:rsidP="00ED2C7E">
      <w:pPr>
        <w:pStyle w:val="FootnoteText"/>
        <w:rPr>
          <w:rFonts w:ascii="Century Gothic" w:hAnsi="Century Gothic"/>
        </w:rPr>
      </w:pPr>
      <w:r w:rsidRPr="007A12C5">
        <w:rPr>
          <w:rStyle w:val="FootnoteReference"/>
          <w:rFonts w:ascii="Century Gothic" w:hAnsi="Century Gothic"/>
        </w:rPr>
        <w:footnoteRef/>
      </w:r>
      <w:r w:rsidRPr="007A12C5">
        <w:rPr>
          <w:rFonts w:ascii="Century Gothic" w:hAnsi="Century Gothic"/>
        </w:rPr>
        <w:t xml:space="preserve"> A continuación “Lineamientos”</w:t>
      </w:r>
    </w:p>
  </w:footnote>
  <w:footnote w:id="2">
    <w:p w14:paraId="3F143B32" w14:textId="73FEF7AB" w:rsidR="004F70C7" w:rsidRPr="007A12C5" w:rsidRDefault="004F70C7">
      <w:pPr>
        <w:pStyle w:val="FootnoteText"/>
        <w:rPr>
          <w:rFonts w:ascii="Century Gothic" w:hAnsi="Century Gothic"/>
        </w:rPr>
      </w:pPr>
      <w:r w:rsidRPr="007A12C5">
        <w:rPr>
          <w:rStyle w:val="FootnoteReference"/>
          <w:rFonts w:ascii="Century Gothic" w:hAnsi="Century Gothic"/>
        </w:rPr>
        <w:footnoteRef/>
      </w:r>
      <w:r w:rsidRPr="007A12C5">
        <w:rPr>
          <w:rFonts w:ascii="Century Gothic" w:hAnsi="Century Gothic"/>
        </w:rPr>
        <w:t xml:space="preserve"> https://www.dof.gob.mx/nota_detalle.php?codigo=5690265&amp;fecha=29/05/2023&amp;print=true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6392" w14:textId="77777777" w:rsidR="00000000" w:rsidRDefault="00914241">
    <w:pPr>
      <w:pStyle w:val="Header"/>
    </w:pPr>
    <w:r>
      <w:rPr>
        <w:noProof/>
        <w:lang w:val="en-US"/>
      </w:rPr>
      <w:drawing>
        <wp:inline distT="0" distB="0" distL="0" distR="0" wp14:anchorId="508902F2" wp14:editId="3342E3AB">
          <wp:extent cx="1511935" cy="810895"/>
          <wp:effectExtent l="0" t="0" r="0" b="8255"/>
          <wp:docPr id="1190777364" name="Imagen 119077736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35D9A358"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9459" w14:textId="77777777" w:rsidR="00000000" w:rsidRDefault="00914241" w:rsidP="00A27E83">
    <w:pPr>
      <w:pStyle w:val="Header"/>
      <w:tabs>
        <w:tab w:val="clear" w:pos="4419"/>
        <w:tab w:val="clear" w:pos="8838"/>
        <w:tab w:val="left" w:pos="1440"/>
      </w:tabs>
      <w:jc w:val="both"/>
    </w:pPr>
    <w:r>
      <w:rPr>
        <w:noProof/>
        <w:lang w:val="en-US"/>
      </w:rPr>
      <w:drawing>
        <wp:inline distT="0" distB="0" distL="0" distR="0" wp14:anchorId="2824E439" wp14:editId="2A543507">
          <wp:extent cx="1511935" cy="810895"/>
          <wp:effectExtent l="0" t="0" r="0" b="8255"/>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77364" name="Imagen 1190777364"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p w14:paraId="4213E988" w14:textId="77777777" w:rsidR="00000000" w:rsidRDefault="00000000" w:rsidP="00A27E83">
    <w:pPr>
      <w:pStyle w:val="Header"/>
      <w:tabs>
        <w:tab w:val="clear" w:pos="4419"/>
        <w:tab w:val="clear" w:pos="8838"/>
        <w:tab w:val="left" w:pos="1440"/>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2EE3"/>
    <w:multiLevelType w:val="hybridMultilevel"/>
    <w:tmpl w:val="4B5A104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2F447D"/>
    <w:multiLevelType w:val="hybridMultilevel"/>
    <w:tmpl w:val="D7740B86"/>
    <w:lvl w:ilvl="0" w:tplc="1B4234DA">
      <w:start w:val="2"/>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E4DC7"/>
    <w:multiLevelType w:val="hybridMultilevel"/>
    <w:tmpl w:val="18083512"/>
    <w:lvl w:ilvl="0" w:tplc="68ACF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661A"/>
    <w:multiLevelType w:val="hybridMultilevel"/>
    <w:tmpl w:val="A83808C8"/>
    <w:lvl w:ilvl="0" w:tplc="BF4425FC">
      <w:start w:val="2"/>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A5245DF"/>
    <w:multiLevelType w:val="hybridMultilevel"/>
    <w:tmpl w:val="8CBCA8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E9724A"/>
    <w:multiLevelType w:val="hybridMultilevel"/>
    <w:tmpl w:val="4DC0271A"/>
    <w:lvl w:ilvl="0" w:tplc="7CD6898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4C36D3"/>
    <w:multiLevelType w:val="hybridMultilevel"/>
    <w:tmpl w:val="43127C02"/>
    <w:lvl w:ilvl="0" w:tplc="154A3F8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D9145A"/>
    <w:multiLevelType w:val="hybridMultilevel"/>
    <w:tmpl w:val="7EB0C7B4"/>
    <w:lvl w:ilvl="0" w:tplc="FFFFFFFF">
      <w:start w:val="1"/>
      <w:numFmt w:val="upperRoman"/>
      <w:lvlText w:val="%1."/>
      <w:lvlJc w:val="right"/>
      <w:pPr>
        <w:ind w:left="121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88540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8F52183"/>
    <w:multiLevelType w:val="hybridMultilevel"/>
    <w:tmpl w:val="41C0F8F0"/>
    <w:lvl w:ilvl="0" w:tplc="9086FED2">
      <w:start w:val="4"/>
      <w:numFmt w:val="bullet"/>
      <w:lvlText w:val="-"/>
      <w:lvlJc w:val="left"/>
      <w:pPr>
        <w:ind w:left="720" w:hanging="360"/>
      </w:pPr>
      <w:rPr>
        <w:rFonts w:ascii="Century Gothic" w:eastAsiaTheme="minorEastAsia"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8C5C26"/>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0967FA"/>
    <w:multiLevelType w:val="hybridMultilevel"/>
    <w:tmpl w:val="57BE97C2"/>
    <w:lvl w:ilvl="0" w:tplc="6BC00CA0">
      <w:start w:val="1"/>
      <w:numFmt w:val="decimal"/>
      <w:lvlText w:val="%1."/>
      <w:lvlJc w:val="left"/>
      <w:pPr>
        <w:ind w:left="771" w:hanging="291"/>
      </w:pPr>
      <w:rPr>
        <w:rFonts w:ascii="Trebuchet MS" w:eastAsia="Trebuchet MS" w:hAnsi="Trebuchet MS" w:cs="Trebuchet MS" w:hint="default"/>
        <w:spacing w:val="-1"/>
        <w:w w:val="100"/>
        <w:sz w:val="24"/>
        <w:szCs w:val="24"/>
        <w:lang w:val="es-ES" w:eastAsia="en-US" w:bidi="ar-SA"/>
      </w:rPr>
    </w:lvl>
    <w:lvl w:ilvl="1" w:tplc="C5A28B04">
      <w:numFmt w:val="bullet"/>
      <w:lvlText w:val="•"/>
      <w:lvlJc w:val="left"/>
      <w:pPr>
        <w:ind w:left="1659" w:hanging="291"/>
      </w:pPr>
      <w:rPr>
        <w:rFonts w:hint="default"/>
        <w:lang w:val="es-ES" w:eastAsia="en-US" w:bidi="ar-SA"/>
      </w:rPr>
    </w:lvl>
    <w:lvl w:ilvl="2" w:tplc="965A61DE">
      <w:numFmt w:val="bullet"/>
      <w:lvlText w:val="•"/>
      <w:lvlJc w:val="left"/>
      <w:pPr>
        <w:ind w:left="2538" w:hanging="291"/>
      </w:pPr>
      <w:rPr>
        <w:rFonts w:hint="default"/>
        <w:lang w:val="es-ES" w:eastAsia="en-US" w:bidi="ar-SA"/>
      </w:rPr>
    </w:lvl>
    <w:lvl w:ilvl="3" w:tplc="0D0E48CC">
      <w:numFmt w:val="bullet"/>
      <w:lvlText w:val="•"/>
      <w:lvlJc w:val="left"/>
      <w:pPr>
        <w:ind w:left="3417" w:hanging="291"/>
      </w:pPr>
      <w:rPr>
        <w:rFonts w:hint="default"/>
        <w:lang w:val="es-ES" w:eastAsia="en-US" w:bidi="ar-SA"/>
      </w:rPr>
    </w:lvl>
    <w:lvl w:ilvl="4" w:tplc="51601E96">
      <w:numFmt w:val="bullet"/>
      <w:lvlText w:val="•"/>
      <w:lvlJc w:val="left"/>
      <w:pPr>
        <w:ind w:left="4296" w:hanging="291"/>
      </w:pPr>
      <w:rPr>
        <w:rFonts w:hint="default"/>
        <w:lang w:val="es-ES" w:eastAsia="en-US" w:bidi="ar-SA"/>
      </w:rPr>
    </w:lvl>
    <w:lvl w:ilvl="5" w:tplc="D83855AC">
      <w:numFmt w:val="bullet"/>
      <w:lvlText w:val="•"/>
      <w:lvlJc w:val="left"/>
      <w:pPr>
        <w:ind w:left="5175" w:hanging="291"/>
      </w:pPr>
      <w:rPr>
        <w:rFonts w:hint="default"/>
        <w:lang w:val="es-ES" w:eastAsia="en-US" w:bidi="ar-SA"/>
      </w:rPr>
    </w:lvl>
    <w:lvl w:ilvl="6" w:tplc="032AE172">
      <w:numFmt w:val="bullet"/>
      <w:lvlText w:val="•"/>
      <w:lvlJc w:val="left"/>
      <w:pPr>
        <w:ind w:left="6054" w:hanging="291"/>
      </w:pPr>
      <w:rPr>
        <w:rFonts w:hint="default"/>
        <w:lang w:val="es-ES" w:eastAsia="en-US" w:bidi="ar-SA"/>
      </w:rPr>
    </w:lvl>
    <w:lvl w:ilvl="7" w:tplc="76503DCA">
      <w:numFmt w:val="bullet"/>
      <w:lvlText w:val="•"/>
      <w:lvlJc w:val="left"/>
      <w:pPr>
        <w:ind w:left="6933" w:hanging="291"/>
      </w:pPr>
      <w:rPr>
        <w:rFonts w:hint="default"/>
        <w:lang w:val="es-ES" w:eastAsia="en-US" w:bidi="ar-SA"/>
      </w:rPr>
    </w:lvl>
    <w:lvl w:ilvl="8" w:tplc="DF42628A">
      <w:numFmt w:val="bullet"/>
      <w:lvlText w:val="•"/>
      <w:lvlJc w:val="left"/>
      <w:pPr>
        <w:ind w:left="7812" w:hanging="291"/>
      </w:pPr>
      <w:rPr>
        <w:rFonts w:hint="default"/>
        <w:lang w:val="es-ES" w:eastAsia="en-US" w:bidi="ar-SA"/>
      </w:rPr>
    </w:lvl>
  </w:abstractNum>
  <w:abstractNum w:abstractNumId="12" w15:restartNumberingAfterBreak="0">
    <w:nsid w:val="66DE2E43"/>
    <w:multiLevelType w:val="hybridMultilevel"/>
    <w:tmpl w:val="649C0F80"/>
    <w:lvl w:ilvl="0" w:tplc="F812853C">
      <w:start w:val="1"/>
      <w:numFmt w:val="decimal"/>
      <w:lvlText w:val="%1."/>
      <w:lvlJc w:val="left"/>
      <w:pPr>
        <w:ind w:left="786"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91352EA"/>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4E451A"/>
    <w:multiLevelType w:val="hybridMultilevel"/>
    <w:tmpl w:val="2FF4FEA0"/>
    <w:lvl w:ilvl="0" w:tplc="2626F8C4">
      <w:start w:val="2"/>
      <w:numFmt w:val="bullet"/>
      <w:lvlText w:val=""/>
      <w:lvlJc w:val="left"/>
      <w:pPr>
        <w:ind w:left="720" w:hanging="360"/>
      </w:pPr>
      <w:rPr>
        <w:rFonts w:ascii="Symbol" w:eastAsiaTheme="minorHAnsi" w:hAnsi="Symbol"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A66468"/>
    <w:multiLevelType w:val="hybridMultilevel"/>
    <w:tmpl w:val="8B4ED49C"/>
    <w:lvl w:ilvl="0" w:tplc="FFFFFFFF">
      <w:start w:val="1"/>
      <w:numFmt w:val="lowerLetter"/>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3696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0444548">
    <w:abstractNumId w:val="4"/>
  </w:num>
  <w:num w:numId="3" w16cid:durableId="1587104604">
    <w:abstractNumId w:val="7"/>
  </w:num>
  <w:num w:numId="4" w16cid:durableId="1575823042">
    <w:abstractNumId w:val="9"/>
  </w:num>
  <w:num w:numId="5" w16cid:durableId="1094322714">
    <w:abstractNumId w:val="11"/>
  </w:num>
  <w:num w:numId="6" w16cid:durableId="509879640">
    <w:abstractNumId w:val="1"/>
  </w:num>
  <w:num w:numId="7" w16cid:durableId="700934199">
    <w:abstractNumId w:val="10"/>
  </w:num>
  <w:num w:numId="8" w16cid:durableId="499589208">
    <w:abstractNumId w:val="15"/>
  </w:num>
  <w:num w:numId="9" w16cid:durableId="2140604951">
    <w:abstractNumId w:val="3"/>
  </w:num>
  <w:num w:numId="10" w16cid:durableId="1630669347">
    <w:abstractNumId w:val="8"/>
  </w:num>
  <w:num w:numId="11" w16cid:durableId="995912834">
    <w:abstractNumId w:val="13"/>
  </w:num>
  <w:num w:numId="12" w16cid:durableId="42296560">
    <w:abstractNumId w:val="2"/>
  </w:num>
  <w:num w:numId="13" w16cid:durableId="1399553709">
    <w:abstractNumId w:val="6"/>
  </w:num>
  <w:num w:numId="14" w16cid:durableId="1733036741">
    <w:abstractNumId w:val="5"/>
  </w:num>
  <w:num w:numId="15" w16cid:durableId="791559765">
    <w:abstractNumId w:val="14"/>
  </w:num>
  <w:num w:numId="16" w16cid:durableId="134120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7E"/>
    <w:rsid w:val="000A10BD"/>
    <w:rsid w:val="000A1D2F"/>
    <w:rsid w:val="001F0D2F"/>
    <w:rsid w:val="002138B2"/>
    <w:rsid w:val="0024642F"/>
    <w:rsid w:val="003F3E69"/>
    <w:rsid w:val="004829DA"/>
    <w:rsid w:val="004F70C7"/>
    <w:rsid w:val="00675C74"/>
    <w:rsid w:val="00684D28"/>
    <w:rsid w:val="00694AB1"/>
    <w:rsid w:val="006E2158"/>
    <w:rsid w:val="00747741"/>
    <w:rsid w:val="00755880"/>
    <w:rsid w:val="007A12C5"/>
    <w:rsid w:val="00823370"/>
    <w:rsid w:val="00900BD2"/>
    <w:rsid w:val="0090568E"/>
    <w:rsid w:val="00914241"/>
    <w:rsid w:val="009327EB"/>
    <w:rsid w:val="00940885"/>
    <w:rsid w:val="009718CE"/>
    <w:rsid w:val="009A33FE"/>
    <w:rsid w:val="009B4AB4"/>
    <w:rsid w:val="009D06CE"/>
    <w:rsid w:val="00AB6764"/>
    <w:rsid w:val="00B35EF9"/>
    <w:rsid w:val="00B552EF"/>
    <w:rsid w:val="00C151F8"/>
    <w:rsid w:val="00C64059"/>
    <w:rsid w:val="00CA5704"/>
    <w:rsid w:val="00CE4F51"/>
    <w:rsid w:val="00D25AF6"/>
    <w:rsid w:val="00D47B2E"/>
    <w:rsid w:val="00DA4093"/>
    <w:rsid w:val="00E90142"/>
    <w:rsid w:val="00ED2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4676"/>
  <w15:chartTrackingRefBased/>
  <w15:docId w15:val="{852BE3BD-33D5-4A26-BB1C-2ABE93EA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7E"/>
  </w:style>
  <w:style w:type="paragraph" w:styleId="Heading3">
    <w:name w:val="heading 3"/>
    <w:basedOn w:val="Normal"/>
    <w:next w:val="Normal"/>
    <w:link w:val="Heading3Char"/>
    <w:uiPriority w:val="9"/>
    <w:unhideWhenUsed/>
    <w:qFormat/>
    <w:rsid w:val="00ED2C7E"/>
    <w:pPr>
      <w:keepNext/>
      <w:keepLines/>
      <w:spacing w:before="280" w:after="80" w:line="240" w:lineRule="auto"/>
      <w:outlineLvl w:val="2"/>
    </w:pPr>
    <w:rPr>
      <w:rFonts w:ascii="Times New Roman" w:eastAsia="Times New Roman" w:hAnsi="Times New Roman" w:cs="Times New Roman"/>
      <w:b/>
      <w:sz w:val="28"/>
      <w:szCs w:val="2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C7E"/>
    <w:rPr>
      <w:rFonts w:ascii="Times New Roman" w:eastAsia="Times New Roman" w:hAnsi="Times New Roman" w:cs="Times New Roman"/>
      <w:b/>
      <w:sz w:val="28"/>
      <w:szCs w:val="28"/>
      <w:lang w:val="es-ES" w:eastAsia="es-ES"/>
    </w:rPr>
  </w:style>
  <w:style w:type="paragraph" w:styleId="NoSpacing">
    <w:name w:val="No Spacing"/>
    <w:basedOn w:val="Normal"/>
    <w:link w:val="NoSpacingChar"/>
    <w:uiPriority w:val="1"/>
    <w:qFormat/>
    <w:rsid w:val="00ED2C7E"/>
    <w:pPr>
      <w:spacing w:after="0" w:line="240" w:lineRule="auto"/>
    </w:pPr>
    <w:rPr>
      <w:rFonts w:ascii="Calibri" w:eastAsia="Calibri" w:hAnsi="Calibri" w:cs="Times New Roman"/>
      <w:sz w:val="20"/>
      <w:szCs w:val="20"/>
      <w:lang w:eastAsia="es-ES"/>
    </w:rPr>
  </w:style>
  <w:style w:type="character" w:customStyle="1" w:styleId="NoSpacingChar">
    <w:name w:val="No Spacing Char"/>
    <w:link w:val="NoSpacing"/>
    <w:uiPriority w:val="1"/>
    <w:locked/>
    <w:rsid w:val="00ED2C7E"/>
    <w:rPr>
      <w:rFonts w:ascii="Calibri" w:eastAsia="Calibri" w:hAnsi="Calibri" w:cs="Times New Roman"/>
      <w:sz w:val="20"/>
      <w:szCs w:val="20"/>
      <w:lang w:eastAsia="es-ES"/>
    </w:rPr>
  </w:style>
  <w:style w:type="paragraph" w:customStyle="1" w:styleId="Default">
    <w:name w:val="Default"/>
    <w:rsid w:val="00ED2C7E"/>
    <w:pPr>
      <w:autoSpaceDE w:val="0"/>
      <w:autoSpaceDN w:val="0"/>
      <w:adjustRightInd w:val="0"/>
      <w:spacing w:after="0" w:line="240" w:lineRule="auto"/>
    </w:pPr>
    <w:rPr>
      <w:rFonts w:ascii="Arial" w:hAnsi="Arial" w:cs="Arial"/>
      <w:color w:val="000000"/>
      <w:sz w:val="24"/>
      <w:szCs w:val="24"/>
      <w:lang w:val="es-ES"/>
    </w:rPr>
  </w:style>
  <w:style w:type="paragraph" w:styleId="ListParagraph">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ListParagraphChar"/>
    <w:uiPriority w:val="34"/>
    <w:qFormat/>
    <w:rsid w:val="00ED2C7E"/>
    <w:pPr>
      <w:spacing w:after="0" w:line="240" w:lineRule="auto"/>
      <w:ind w:left="720"/>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ED2C7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eGrid">
    <w:name w:val="Table Grid"/>
    <w:basedOn w:val="TableNormal"/>
    <w:uiPriority w:val="39"/>
    <w:rsid w:val="00ED2C7E"/>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FootnoteTextChar"/>
    <w:uiPriority w:val="99"/>
    <w:unhideWhenUsed/>
    <w:qFormat/>
    <w:rsid w:val="00ED2C7E"/>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Text Cha Char,Footnote reference Char,FA Fu Char,Footnote Text Char Char Char Char1,FA Fußnotentext Char,FA Fu?notentext Char,Ca1 Char"/>
    <w:basedOn w:val="DefaultParagraphFont"/>
    <w:link w:val="FootnoteText"/>
    <w:uiPriority w:val="99"/>
    <w:qFormat/>
    <w:rsid w:val="00ED2C7E"/>
    <w:rPr>
      <w:sz w:val="20"/>
      <w:szCs w:val="20"/>
    </w:rPr>
  </w:style>
  <w:style w:type="character" w:styleId="FootnoteReference">
    <w:name w:val="footnote reference"/>
    <w:aliases w:val="Footnotes refss,Texto de nota al pie,Appel note de bas de page,Footnote number,referencia nota al pie,BVI fnr,4_G,16 Point,Superscript 6 Point,Texto nota al pie,f,Ref. de nota al pie 2,Footnote Reference Char3,ftre,ftref,Ref"/>
    <w:basedOn w:val="DefaultParagraphFont"/>
    <w:link w:val="4GChar"/>
    <w:uiPriority w:val="99"/>
    <w:unhideWhenUsed/>
    <w:qFormat/>
    <w:rsid w:val="00ED2C7E"/>
    <w:rPr>
      <w:vertAlign w:val="superscript"/>
    </w:rPr>
  </w:style>
  <w:style w:type="paragraph" w:styleId="Footer">
    <w:name w:val="footer"/>
    <w:basedOn w:val="Normal"/>
    <w:link w:val="FooterChar"/>
    <w:uiPriority w:val="99"/>
    <w:unhideWhenUsed/>
    <w:rsid w:val="00ED2C7E"/>
    <w:pPr>
      <w:tabs>
        <w:tab w:val="center" w:pos="4419"/>
        <w:tab w:val="right" w:pos="8838"/>
      </w:tabs>
      <w:spacing w:after="0" w:line="240" w:lineRule="auto"/>
    </w:pPr>
  </w:style>
  <w:style w:type="character" w:customStyle="1" w:styleId="FooterChar">
    <w:name w:val="Footer Char"/>
    <w:basedOn w:val="DefaultParagraphFont"/>
    <w:link w:val="Footer"/>
    <w:uiPriority w:val="99"/>
    <w:rsid w:val="00ED2C7E"/>
  </w:style>
  <w:style w:type="character" w:styleId="Hyperlink">
    <w:name w:val="Hyperlink"/>
    <w:basedOn w:val="DefaultParagraphFont"/>
    <w:uiPriority w:val="99"/>
    <w:unhideWhenUsed/>
    <w:rsid w:val="00ED2C7E"/>
    <w:rPr>
      <w:color w:val="0563C1" w:themeColor="hyperlink"/>
      <w:u w:val="single"/>
    </w:rPr>
  </w:style>
  <w:style w:type="paragraph" w:styleId="TOC1">
    <w:name w:val="toc 1"/>
    <w:basedOn w:val="Normal"/>
    <w:next w:val="Normal"/>
    <w:autoRedefine/>
    <w:uiPriority w:val="39"/>
    <w:unhideWhenUsed/>
    <w:rsid w:val="00ED2C7E"/>
    <w:pPr>
      <w:tabs>
        <w:tab w:val="left" w:pos="8505"/>
      </w:tabs>
      <w:spacing w:after="0" w:line="276" w:lineRule="auto"/>
      <w:ind w:left="851" w:right="899"/>
      <w:jc w:val="both"/>
    </w:pPr>
    <w:rPr>
      <w:rFonts w:ascii="Arial" w:eastAsiaTheme="minorEastAsia" w:hAnsi="Arial" w:cs="Arial"/>
      <w:b/>
      <w:bCs/>
      <w:color w:val="000000"/>
      <w:sz w:val="24"/>
      <w:szCs w:val="24"/>
      <w:shd w:val="clear" w:color="auto" w:fill="FFFFFF"/>
      <w:lang w:val="es-ES" w:eastAsia="es-MX"/>
    </w:rPr>
  </w:style>
  <w:style w:type="character" w:customStyle="1" w:styleId="normaltextrun">
    <w:name w:val="normaltextrun"/>
    <w:basedOn w:val="DefaultParagraphFont"/>
    <w:rsid w:val="00ED2C7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D2C7E"/>
    <w:pPr>
      <w:spacing w:after="0" w:line="240" w:lineRule="auto"/>
      <w:jc w:val="both"/>
    </w:pPr>
    <w:rPr>
      <w:vertAlign w:val="superscript"/>
    </w:rPr>
  </w:style>
  <w:style w:type="paragraph" w:styleId="BodyText">
    <w:name w:val="Body Text"/>
    <w:basedOn w:val="Normal"/>
    <w:link w:val="BodyTextChar"/>
    <w:uiPriority w:val="1"/>
    <w:qFormat/>
    <w:rsid w:val="00ED2C7E"/>
    <w:pPr>
      <w:widowControl w:val="0"/>
      <w:autoSpaceDE w:val="0"/>
      <w:autoSpaceDN w:val="0"/>
      <w:spacing w:after="0" w:line="240" w:lineRule="auto"/>
      <w:ind w:left="480"/>
    </w:pPr>
    <w:rPr>
      <w:rFonts w:ascii="Trebuchet MS" w:eastAsia="Trebuchet MS" w:hAnsi="Trebuchet MS" w:cs="Trebuchet MS"/>
      <w:sz w:val="24"/>
      <w:szCs w:val="24"/>
      <w:lang w:val="es-ES"/>
    </w:rPr>
  </w:style>
  <w:style w:type="character" w:customStyle="1" w:styleId="BodyTextChar">
    <w:name w:val="Body Text Char"/>
    <w:basedOn w:val="DefaultParagraphFont"/>
    <w:link w:val="BodyText"/>
    <w:uiPriority w:val="1"/>
    <w:rsid w:val="00ED2C7E"/>
    <w:rPr>
      <w:rFonts w:ascii="Trebuchet MS" w:eastAsia="Trebuchet MS" w:hAnsi="Trebuchet MS" w:cs="Trebuchet MS"/>
      <w:sz w:val="24"/>
      <w:szCs w:val="24"/>
      <w:lang w:val="es-ES"/>
    </w:rPr>
  </w:style>
  <w:style w:type="paragraph" w:styleId="Header">
    <w:name w:val="header"/>
    <w:basedOn w:val="Normal"/>
    <w:link w:val="HeaderChar"/>
    <w:uiPriority w:val="99"/>
    <w:unhideWhenUsed/>
    <w:rsid w:val="00ED2C7E"/>
    <w:pPr>
      <w:tabs>
        <w:tab w:val="center" w:pos="4419"/>
        <w:tab w:val="right" w:pos="8838"/>
      </w:tabs>
      <w:spacing w:after="0" w:line="240" w:lineRule="auto"/>
    </w:pPr>
  </w:style>
  <w:style w:type="character" w:customStyle="1" w:styleId="HeaderChar">
    <w:name w:val="Header Char"/>
    <w:basedOn w:val="DefaultParagraphFont"/>
    <w:link w:val="Header"/>
    <w:uiPriority w:val="99"/>
    <w:rsid w:val="00ED2C7E"/>
  </w:style>
  <w:style w:type="character" w:styleId="CommentReference">
    <w:name w:val="annotation reference"/>
    <w:basedOn w:val="DefaultParagraphFont"/>
    <w:uiPriority w:val="99"/>
    <w:semiHidden/>
    <w:unhideWhenUsed/>
    <w:rsid w:val="00ED2C7E"/>
    <w:rPr>
      <w:sz w:val="16"/>
      <w:szCs w:val="16"/>
    </w:rPr>
  </w:style>
  <w:style w:type="paragraph" w:styleId="CommentText">
    <w:name w:val="annotation text"/>
    <w:basedOn w:val="Normal"/>
    <w:link w:val="CommentTextChar"/>
    <w:uiPriority w:val="99"/>
    <w:semiHidden/>
    <w:unhideWhenUsed/>
    <w:rsid w:val="00ED2C7E"/>
    <w:pPr>
      <w:spacing w:line="240" w:lineRule="auto"/>
    </w:pPr>
    <w:rPr>
      <w:sz w:val="20"/>
      <w:szCs w:val="20"/>
    </w:rPr>
  </w:style>
  <w:style w:type="character" w:customStyle="1" w:styleId="CommentTextChar">
    <w:name w:val="Comment Text Char"/>
    <w:basedOn w:val="DefaultParagraphFont"/>
    <w:link w:val="CommentText"/>
    <w:uiPriority w:val="99"/>
    <w:semiHidden/>
    <w:rsid w:val="00ED2C7E"/>
    <w:rPr>
      <w:sz w:val="20"/>
      <w:szCs w:val="20"/>
    </w:rPr>
  </w:style>
  <w:style w:type="paragraph" w:styleId="CommentSubject">
    <w:name w:val="annotation subject"/>
    <w:basedOn w:val="CommentText"/>
    <w:next w:val="CommentText"/>
    <w:link w:val="CommentSubjectChar"/>
    <w:uiPriority w:val="99"/>
    <w:semiHidden/>
    <w:unhideWhenUsed/>
    <w:rsid w:val="00ED2C7E"/>
    <w:rPr>
      <w:b/>
      <w:bCs/>
    </w:rPr>
  </w:style>
  <w:style w:type="character" w:customStyle="1" w:styleId="CommentSubjectChar">
    <w:name w:val="Comment Subject Char"/>
    <w:basedOn w:val="CommentTextChar"/>
    <w:link w:val="CommentSubject"/>
    <w:uiPriority w:val="99"/>
    <w:semiHidden/>
    <w:rsid w:val="00ED2C7E"/>
    <w:rPr>
      <w:b/>
      <w:bCs/>
      <w:sz w:val="20"/>
      <w:szCs w:val="20"/>
    </w:rPr>
  </w:style>
  <w:style w:type="paragraph" w:styleId="BalloonText">
    <w:name w:val="Balloon Text"/>
    <w:basedOn w:val="Normal"/>
    <w:link w:val="BalloonTextChar"/>
    <w:uiPriority w:val="99"/>
    <w:semiHidden/>
    <w:unhideWhenUsed/>
    <w:rsid w:val="00ED2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7E"/>
    <w:rPr>
      <w:rFonts w:ascii="Segoe UI" w:hAnsi="Segoe UI" w:cs="Segoe UI"/>
      <w:sz w:val="18"/>
      <w:szCs w:val="18"/>
    </w:rPr>
  </w:style>
  <w:style w:type="table" w:customStyle="1" w:styleId="Cuadrculadetablaclara1">
    <w:name w:val="Cuadrícula de tabla clara1"/>
    <w:basedOn w:val="TableNormal"/>
    <w:uiPriority w:val="40"/>
    <w:rsid w:val="00ED2C7E"/>
    <w:pPr>
      <w:spacing w:after="0" w:line="240" w:lineRule="auto"/>
    </w:pPr>
    <w:rPr>
      <w:rFonts w:ascii="Calibri" w:eastAsia="Calibri" w:hAnsi="Calibri" w:cs="Calibri"/>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NBV Parrafo1 Char,Párrafo de lista1 Char,Parrafo 1 Char,Lista multicolor - Énfasis 11 Char,Lista vistosa - Énfasis 11 Char,Cuadrícula media 1 - Énfasis 21 Char,Cita texto Char,List Paragraph-Thesis Char,Listas Char,Footnote Char"/>
    <w:link w:val="ListParagraph"/>
    <w:uiPriority w:val="34"/>
    <w:qFormat/>
    <w:locked/>
    <w:rsid w:val="00ED2C7E"/>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E896-98D5-4C4F-8C15-73F9D1CD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7762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Bustos</dc:creator>
  <cp:keywords/>
  <dc:description/>
  <cp:lastModifiedBy>Norma Liliana Lopez Ramirez</cp:lastModifiedBy>
  <cp:revision>2</cp:revision>
  <dcterms:created xsi:type="dcterms:W3CDTF">2023-09-21T15:23:00Z</dcterms:created>
  <dcterms:modified xsi:type="dcterms:W3CDTF">2023-09-21T15:23:00Z</dcterms:modified>
</cp:coreProperties>
</file>