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105F" w14:textId="4801572F" w:rsidR="001044B3" w:rsidRPr="007836FF" w:rsidRDefault="001044B3" w:rsidP="007836FF">
      <w:pPr>
        <w:spacing w:after="0" w:line="360" w:lineRule="auto"/>
        <w:ind w:right="-518"/>
        <w:jc w:val="both"/>
        <w:rPr>
          <w:rFonts w:ascii="Century Gothic" w:hAnsi="Century Gothic"/>
          <w:b/>
          <w:bCs/>
          <w:sz w:val="24"/>
          <w:szCs w:val="24"/>
        </w:rPr>
      </w:pPr>
      <w:r w:rsidRPr="007836FF">
        <w:rPr>
          <w:rFonts w:ascii="Century Gothic" w:hAnsi="Century Gothic"/>
          <w:b/>
          <w:bCs/>
          <w:sz w:val="24"/>
          <w:szCs w:val="24"/>
        </w:rPr>
        <w:t xml:space="preserve">VOTO </w:t>
      </w:r>
      <w:r w:rsidR="00BB162E" w:rsidRPr="007836FF">
        <w:rPr>
          <w:rFonts w:ascii="Century Gothic" w:hAnsi="Century Gothic"/>
          <w:b/>
          <w:bCs/>
          <w:sz w:val="24"/>
          <w:szCs w:val="24"/>
        </w:rPr>
        <w:t>PARTICULAR</w:t>
      </w:r>
      <w:r w:rsidRPr="007836FF">
        <w:rPr>
          <w:rFonts w:ascii="Century Gothic" w:hAnsi="Century Gothic"/>
          <w:b/>
          <w:bCs/>
          <w:sz w:val="24"/>
          <w:szCs w:val="24"/>
        </w:rPr>
        <w:t xml:space="preserve"> QUE EMITE LA CONSEJERA ZOAD JEANINE GARCÍA GONZÁLEZ, </w:t>
      </w:r>
      <w:r w:rsidR="004E6084" w:rsidRPr="007836FF">
        <w:rPr>
          <w:rFonts w:ascii="Century Gothic" w:hAnsi="Century Gothic"/>
          <w:b/>
          <w:bCs/>
          <w:sz w:val="24"/>
          <w:szCs w:val="24"/>
        </w:rPr>
        <w:t xml:space="preserve">RESPECTO </w:t>
      </w:r>
      <w:r w:rsidR="006128E4" w:rsidRPr="006128E4">
        <w:rPr>
          <w:rFonts w:ascii="Century Gothic" w:hAnsi="Century Gothic"/>
          <w:b/>
          <w:bCs/>
          <w:sz w:val="24"/>
          <w:szCs w:val="24"/>
        </w:rPr>
        <w:t>DE</w:t>
      </w:r>
      <w:r w:rsidR="00DD593A">
        <w:rPr>
          <w:rFonts w:ascii="Century Gothic" w:hAnsi="Century Gothic"/>
          <w:b/>
          <w:bCs/>
          <w:sz w:val="24"/>
          <w:szCs w:val="24"/>
        </w:rPr>
        <w:t xml:space="preserve"> LA</w:t>
      </w:r>
      <w:r w:rsidR="006128E4" w:rsidRPr="006128E4">
        <w:rPr>
          <w:rFonts w:ascii="Century Gothic" w:hAnsi="Century Gothic"/>
          <w:b/>
          <w:bCs/>
          <w:sz w:val="24"/>
          <w:szCs w:val="24"/>
        </w:rPr>
        <w:t xml:space="preserve"> RESOLUCIÓN DEL CONSEJO GENERAL DEL INSTITUTO ELECTORAL Y DE PARTICIPACIÓN CIUDADANA DEL ESTADO DE JALISCO, RESPECTO DE LA DENUNCIA PRESENTADA POR LA CIUDADANA ANA TERESA RODRÍGUEZ YERENA, CONTRA MÓNICA PAOLA MAGAÑA MENDOZA, LAURA GABRIELA CÁRDENAS RODRÍGUEZ Y EL PARTIDO POLÍTICO MOVIMIENTO CIUDADANO, DENTRO DEL PROCEDIMIENTO SANCIONADOR ORDINARIO IDENTIFICADO CON EL NÚMERO DE EXPEDIENTE PSO-QUEJA-002/2022 Y ACUMULADOS PSO-QUEJA-003/2022.</w:t>
      </w:r>
    </w:p>
    <w:p w14:paraId="37B6E228" w14:textId="77777777" w:rsidR="001044B3" w:rsidRPr="007836FF" w:rsidRDefault="001044B3" w:rsidP="007836FF">
      <w:pPr>
        <w:spacing w:after="0" w:line="360" w:lineRule="auto"/>
        <w:ind w:right="-518"/>
        <w:jc w:val="both"/>
        <w:rPr>
          <w:rFonts w:ascii="Century Gothic" w:hAnsi="Century Gothic"/>
          <w:b/>
          <w:bCs/>
          <w:sz w:val="24"/>
          <w:szCs w:val="24"/>
        </w:rPr>
      </w:pPr>
    </w:p>
    <w:p w14:paraId="1285A615" w14:textId="27215C08" w:rsidR="002B6012" w:rsidRPr="007836FF" w:rsidRDefault="00ED336C" w:rsidP="007836FF">
      <w:pPr>
        <w:spacing w:after="0" w:line="360" w:lineRule="auto"/>
        <w:ind w:right="-518"/>
        <w:jc w:val="both"/>
        <w:rPr>
          <w:rFonts w:ascii="Century Gothic" w:hAnsi="Century Gothic"/>
          <w:sz w:val="24"/>
          <w:szCs w:val="24"/>
        </w:rPr>
      </w:pPr>
      <w:r w:rsidRPr="007836FF">
        <w:rPr>
          <w:rFonts w:ascii="Century Gothic" w:hAnsi="Century Gothic"/>
          <w:sz w:val="24"/>
          <w:szCs w:val="24"/>
        </w:rPr>
        <w:t xml:space="preserve">Con fundamento en el artículo 50, párrafo </w:t>
      </w:r>
      <w:r w:rsidR="000C408B" w:rsidRPr="007836FF">
        <w:rPr>
          <w:rFonts w:ascii="Century Gothic" w:hAnsi="Century Gothic"/>
          <w:sz w:val="24"/>
          <w:szCs w:val="24"/>
        </w:rPr>
        <w:t>1</w:t>
      </w:r>
      <w:r w:rsidRPr="007836FF">
        <w:rPr>
          <w:rFonts w:ascii="Century Gothic" w:hAnsi="Century Gothic"/>
          <w:sz w:val="24"/>
          <w:szCs w:val="24"/>
        </w:rPr>
        <w:t xml:space="preserve">, del Reglamento de Sesiones del Consejo General del Instituto Electoral y de Participación Ciudadana del Estado de Jalisco, respetuosamente, se emite el presente VOTO </w:t>
      </w:r>
      <w:r w:rsidR="000C408B" w:rsidRPr="007836FF">
        <w:rPr>
          <w:rFonts w:ascii="Century Gothic" w:hAnsi="Century Gothic"/>
          <w:sz w:val="24"/>
          <w:szCs w:val="24"/>
        </w:rPr>
        <w:t>PARTICULAR</w:t>
      </w:r>
      <w:r w:rsidRPr="007836FF">
        <w:rPr>
          <w:rFonts w:ascii="Century Gothic" w:hAnsi="Century Gothic"/>
          <w:sz w:val="24"/>
          <w:szCs w:val="24"/>
        </w:rPr>
        <w:t xml:space="preserve"> respecto </w:t>
      </w:r>
      <w:r w:rsidR="00842CE1" w:rsidRPr="00842CE1">
        <w:rPr>
          <w:rFonts w:ascii="Century Gothic" w:hAnsi="Century Gothic"/>
          <w:sz w:val="24"/>
          <w:szCs w:val="24"/>
        </w:rPr>
        <w:t xml:space="preserve">de </w:t>
      </w:r>
      <w:r w:rsidR="00DD593A">
        <w:rPr>
          <w:rFonts w:ascii="Century Gothic" w:hAnsi="Century Gothic"/>
          <w:sz w:val="24"/>
          <w:szCs w:val="24"/>
        </w:rPr>
        <w:t xml:space="preserve">la </w:t>
      </w:r>
      <w:r w:rsidR="00842CE1" w:rsidRPr="00842CE1">
        <w:rPr>
          <w:rFonts w:ascii="Century Gothic" w:hAnsi="Century Gothic"/>
          <w:sz w:val="24"/>
          <w:szCs w:val="24"/>
        </w:rPr>
        <w:t>resolución del Consejo General del Instituto Electoral y de Participación Ciudadana del Estado de Jalisco, respecto de la denuncia presentada por la ciudadana Ana Teresa Rodríguez Yerena, contra Mónica Paola Magaña Mendoza, Laura Gabriela Cárdenas Rodríguez y el partido político Movimiento Ciudadano, dentro del Procedimiento Sancionador Ordinario identificado con el número de expediente PSO-QUEJA-002/2022 y Acumulados PSO-QUEJA-003/2022</w:t>
      </w:r>
      <w:r w:rsidRPr="007836FF">
        <w:rPr>
          <w:rFonts w:ascii="Century Gothic" w:hAnsi="Century Gothic"/>
          <w:sz w:val="24"/>
          <w:szCs w:val="24"/>
        </w:rPr>
        <w:t xml:space="preserve">, mismo que fue aprobado por mayoría de votos en sesión </w:t>
      </w:r>
      <w:r w:rsidR="000C408B" w:rsidRPr="007836FF">
        <w:rPr>
          <w:rFonts w:ascii="Century Gothic" w:hAnsi="Century Gothic"/>
          <w:sz w:val="24"/>
          <w:szCs w:val="24"/>
        </w:rPr>
        <w:t>EXTRA</w:t>
      </w:r>
      <w:r w:rsidRPr="007836FF">
        <w:rPr>
          <w:rFonts w:ascii="Century Gothic" w:hAnsi="Century Gothic"/>
          <w:sz w:val="24"/>
          <w:szCs w:val="24"/>
        </w:rPr>
        <w:t xml:space="preserve">ORDINARIA celebrada el </w:t>
      </w:r>
      <w:r w:rsidR="00EC005B" w:rsidRPr="007836FF">
        <w:rPr>
          <w:rFonts w:ascii="Century Gothic" w:hAnsi="Century Gothic"/>
          <w:sz w:val="24"/>
          <w:szCs w:val="24"/>
        </w:rPr>
        <w:t>2</w:t>
      </w:r>
      <w:r w:rsidR="000C408B" w:rsidRPr="007836FF">
        <w:rPr>
          <w:rFonts w:ascii="Century Gothic" w:hAnsi="Century Gothic"/>
          <w:sz w:val="24"/>
          <w:szCs w:val="24"/>
        </w:rPr>
        <w:t>1</w:t>
      </w:r>
      <w:r w:rsidR="00EC005B" w:rsidRPr="007836FF">
        <w:rPr>
          <w:rFonts w:ascii="Century Gothic" w:hAnsi="Century Gothic"/>
          <w:sz w:val="24"/>
          <w:szCs w:val="24"/>
        </w:rPr>
        <w:t xml:space="preserve"> </w:t>
      </w:r>
      <w:r w:rsidRPr="007836FF">
        <w:rPr>
          <w:rFonts w:ascii="Century Gothic" w:hAnsi="Century Gothic"/>
          <w:sz w:val="24"/>
          <w:szCs w:val="24"/>
        </w:rPr>
        <w:t xml:space="preserve">de </w:t>
      </w:r>
      <w:r w:rsidR="000C408B" w:rsidRPr="007836FF">
        <w:rPr>
          <w:rFonts w:ascii="Century Gothic" w:hAnsi="Century Gothic"/>
          <w:sz w:val="24"/>
          <w:szCs w:val="24"/>
        </w:rPr>
        <w:t>junio</w:t>
      </w:r>
      <w:r w:rsidR="002B6012" w:rsidRPr="007836FF">
        <w:rPr>
          <w:rFonts w:ascii="Century Gothic" w:hAnsi="Century Gothic"/>
          <w:sz w:val="24"/>
          <w:szCs w:val="24"/>
        </w:rPr>
        <w:t xml:space="preserve"> del presente año, </w:t>
      </w:r>
      <w:r w:rsidR="00BD6A83" w:rsidRPr="007836FF">
        <w:rPr>
          <w:rFonts w:ascii="Century Gothic" w:hAnsi="Century Gothic"/>
          <w:sz w:val="24"/>
          <w:szCs w:val="24"/>
        </w:rPr>
        <w:t>toda vez que, disiento de la decisión tomada</w:t>
      </w:r>
      <w:r w:rsidR="002B6012" w:rsidRPr="007836FF">
        <w:rPr>
          <w:rFonts w:ascii="Century Gothic" w:hAnsi="Century Gothic"/>
          <w:sz w:val="24"/>
          <w:szCs w:val="24"/>
        </w:rPr>
        <w:t>, por las siguientes consideraciones y razonamientos:</w:t>
      </w:r>
    </w:p>
    <w:p w14:paraId="0B9379A3" w14:textId="237BB61B" w:rsidR="001044B3" w:rsidRPr="007836FF" w:rsidRDefault="001044B3" w:rsidP="007836FF">
      <w:pPr>
        <w:spacing w:after="0" w:line="360" w:lineRule="auto"/>
        <w:ind w:right="-518"/>
        <w:jc w:val="both"/>
        <w:rPr>
          <w:rFonts w:ascii="Century Gothic" w:hAnsi="Century Gothic"/>
          <w:sz w:val="24"/>
          <w:szCs w:val="24"/>
        </w:rPr>
      </w:pPr>
    </w:p>
    <w:p w14:paraId="3CB7E798" w14:textId="6CA52020" w:rsidR="00567FF8" w:rsidRPr="00567FF8" w:rsidRDefault="00567FF8" w:rsidP="00567FF8">
      <w:pPr>
        <w:spacing w:after="0" w:line="360" w:lineRule="auto"/>
        <w:ind w:right="-518"/>
        <w:jc w:val="both"/>
        <w:rPr>
          <w:rFonts w:ascii="Century Gothic" w:hAnsi="Century Gothic"/>
          <w:sz w:val="24"/>
          <w:szCs w:val="24"/>
        </w:rPr>
      </w:pPr>
      <w:r>
        <w:rPr>
          <w:rFonts w:ascii="Century Gothic" w:hAnsi="Century Gothic"/>
          <w:sz w:val="24"/>
          <w:szCs w:val="24"/>
        </w:rPr>
        <w:t>N</w:t>
      </w:r>
      <w:r w:rsidRPr="00567FF8">
        <w:rPr>
          <w:rFonts w:ascii="Century Gothic" w:hAnsi="Century Gothic"/>
          <w:sz w:val="24"/>
          <w:szCs w:val="24"/>
        </w:rPr>
        <w:t xml:space="preserve">o comparto su sentido, </w:t>
      </w:r>
      <w:r w:rsidR="00DD593A">
        <w:rPr>
          <w:rFonts w:ascii="Century Gothic" w:hAnsi="Century Gothic"/>
          <w:sz w:val="24"/>
          <w:szCs w:val="24"/>
        </w:rPr>
        <w:t xml:space="preserve">dado </w:t>
      </w:r>
      <w:r w:rsidRPr="00567FF8">
        <w:rPr>
          <w:rFonts w:ascii="Century Gothic" w:hAnsi="Century Gothic"/>
          <w:sz w:val="24"/>
          <w:szCs w:val="24"/>
        </w:rPr>
        <w:t xml:space="preserve">que, considero que en términos del artículo 470, párrafo 3, fracción II, del Código Electoral, debió devolverse a la Secretaría para efecto de perfeccionar la investigación, puesto que, desde mi apreciación, resulta insuficiente para arribar a las conclusiones contenidas en el referido proyecto.  </w:t>
      </w:r>
    </w:p>
    <w:p w14:paraId="54055420" w14:textId="77777777" w:rsidR="00567FF8" w:rsidRPr="00567FF8" w:rsidRDefault="00567FF8" w:rsidP="00567FF8">
      <w:pPr>
        <w:spacing w:after="0" w:line="360" w:lineRule="auto"/>
        <w:ind w:right="-518"/>
        <w:jc w:val="both"/>
        <w:rPr>
          <w:rFonts w:ascii="Century Gothic" w:hAnsi="Century Gothic"/>
          <w:sz w:val="24"/>
          <w:szCs w:val="24"/>
        </w:rPr>
      </w:pPr>
    </w:p>
    <w:p w14:paraId="6B792CAF" w14:textId="7EDCC0A4" w:rsidR="00567FF8" w:rsidRPr="00567FF8" w:rsidRDefault="00567FF8" w:rsidP="00567FF8">
      <w:pPr>
        <w:spacing w:after="0" w:line="360" w:lineRule="auto"/>
        <w:ind w:right="-518"/>
        <w:jc w:val="both"/>
        <w:rPr>
          <w:rFonts w:ascii="Century Gothic" w:hAnsi="Century Gothic"/>
          <w:sz w:val="24"/>
          <w:szCs w:val="24"/>
        </w:rPr>
      </w:pPr>
      <w:r w:rsidRPr="00567FF8">
        <w:rPr>
          <w:rFonts w:ascii="Century Gothic" w:hAnsi="Century Gothic"/>
          <w:sz w:val="24"/>
          <w:szCs w:val="24"/>
        </w:rPr>
        <w:t xml:space="preserve">En él se establece que no se puede acreditar que las denunciadas hayan realizado una gira y hayan utilizado vehículos blancos con engomados, no obstante, al ser difundidas las acciones motivo de las quejas en la propia red social de una de las denunciadas, al parecer, como parte de sus funciones como servidora pública, está obligada a la rendición de cuentas de sus actos y del uso de recursos públicos en el desempeño de sus facultades, </w:t>
      </w:r>
    </w:p>
    <w:p w14:paraId="22B42658" w14:textId="77777777" w:rsidR="00567FF8" w:rsidRPr="00567FF8" w:rsidRDefault="00567FF8" w:rsidP="00567FF8">
      <w:pPr>
        <w:spacing w:after="0" w:line="360" w:lineRule="auto"/>
        <w:ind w:right="-518"/>
        <w:jc w:val="both"/>
        <w:rPr>
          <w:rFonts w:ascii="Century Gothic" w:hAnsi="Century Gothic"/>
          <w:sz w:val="24"/>
          <w:szCs w:val="24"/>
        </w:rPr>
      </w:pPr>
    </w:p>
    <w:p w14:paraId="742FBFAE" w14:textId="573FACAE" w:rsidR="00567FF8" w:rsidRPr="00567FF8" w:rsidRDefault="00790944" w:rsidP="00567FF8">
      <w:pPr>
        <w:spacing w:after="0" w:line="360" w:lineRule="auto"/>
        <w:ind w:right="-518"/>
        <w:jc w:val="both"/>
        <w:rPr>
          <w:rFonts w:ascii="Century Gothic" w:hAnsi="Century Gothic"/>
          <w:sz w:val="24"/>
          <w:szCs w:val="24"/>
        </w:rPr>
      </w:pPr>
      <w:r w:rsidRPr="00BA7D38">
        <w:rPr>
          <w:rFonts w:ascii="Century Gothic" w:hAnsi="Century Gothic" w:cs="Arial"/>
          <w:sz w:val="24"/>
          <w:szCs w:val="24"/>
        </w:rPr>
        <w:t>Por otra parte, no debe pasar desapercibido que las personas denunciadas son Servidoras Públicas y que las mismas están obligadas a la rendición de cuentas, puesto que, tanto la Ley General de Transparencia y Acceso a la Información Pública (artículo 70, fracción IX) y Ley de Transparencia y Acceso a la Información Pública del Estado de Jalisco y sus Municipios (artículo 8, fracción V, inciso s)), obligan a transparentar la información relativa los gastos de representación, viáticos y viajes oficiales, su costo, itinerario, agenda y resultados, como consecuencia del ejercicio de sus facultades o atribuciones, o el cumplimiento de sus obligaciones. Ello, toda vez que, la rendición de cuentas es un pilar imprescindible de la gestión pública, así, las decisiones que se tomen por parte del gobierno forzosamente y el ejercicio de los recursos públicos deben estar al alcance de la ciudadanía de una manera accesible, clara y veraz, lo que coadyuva y favorece la constante vigilancia de los recursos públicos y que estos se ejerzan en estricto apego a la ley.</w:t>
      </w:r>
    </w:p>
    <w:p w14:paraId="66D95B83" w14:textId="77777777" w:rsidR="00567FF8" w:rsidRDefault="00567FF8" w:rsidP="00567FF8">
      <w:pPr>
        <w:spacing w:after="0" w:line="360" w:lineRule="auto"/>
        <w:ind w:right="-518"/>
        <w:jc w:val="both"/>
        <w:rPr>
          <w:rFonts w:ascii="Century Gothic" w:hAnsi="Century Gothic"/>
          <w:sz w:val="24"/>
          <w:szCs w:val="24"/>
        </w:rPr>
      </w:pPr>
    </w:p>
    <w:p w14:paraId="213236A3" w14:textId="0F211610" w:rsidR="005D219F" w:rsidRDefault="005D219F" w:rsidP="00567FF8">
      <w:pPr>
        <w:spacing w:after="0" w:line="360" w:lineRule="auto"/>
        <w:ind w:right="-518"/>
        <w:jc w:val="both"/>
        <w:rPr>
          <w:rFonts w:ascii="Century Gothic" w:hAnsi="Century Gothic"/>
          <w:sz w:val="24"/>
          <w:szCs w:val="24"/>
        </w:rPr>
      </w:pPr>
      <w:r>
        <w:rPr>
          <w:rFonts w:ascii="Century Gothic" w:hAnsi="Century Gothic" w:cs="Arial"/>
          <w:sz w:val="24"/>
          <w:szCs w:val="24"/>
        </w:rPr>
        <w:t xml:space="preserve">Por lo tanto, </w:t>
      </w:r>
      <w:r w:rsidRPr="00BA7D38">
        <w:rPr>
          <w:rFonts w:ascii="Century Gothic" w:hAnsi="Century Gothic" w:cs="Arial"/>
          <w:sz w:val="24"/>
          <w:szCs w:val="24"/>
        </w:rPr>
        <w:t xml:space="preserve">se debió requerir a </w:t>
      </w:r>
      <w:r w:rsidR="00905255">
        <w:rPr>
          <w:rFonts w:ascii="Century Gothic" w:hAnsi="Century Gothic" w:cs="Arial"/>
          <w:sz w:val="24"/>
          <w:szCs w:val="24"/>
        </w:rPr>
        <w:t>las denunciadas o al Congreso del Estado</w:t>
      </w:r>
      <w:r w:rsidR="00F70BE9">
        <w:rPr>
          <w:rFonts w:ascii="Century Gothic" w:hAnsi="Century Gothic" w:cs="Arial"/>
          <w:sz w:val="24"/>
          <w:szCs w:val="24"/>
        </w:rPr>
        <w:t xml:space="preserve"> </w:t>
      </w:r>
      <w:r w:rsidRPr="00BA7D38">
        <w:rPr>
          <w:rFonts w:ascii="Century Gothic" w:hAnsi="Century Gothic" w:cs="Arial"/>
          <w:sz w:val="24"/>
          <w:szCs w:val="24"/>
        </w:rPr>
        <w:t>respecto de la propiedad del vehículo</w:t>
      </w:r>
      <w:r w:rsidR="00DD593A">
        <w:rPr>
          <w:rFonts w:ascii="Century Gothic" w:hAnsi="Century Gothic" w:cs="Arial"/>
          <w:sz w:val="24"/>
          <w:szCs w:val="24"/>
        </w:rPr>
        <w:t xml:space="preserve"> o modalidad de posesión</w:t>
      </w:r>
      <w:r w:rsidRPr="00BA7D38">
        <w:rPr>
          <w:rFonts w:ascii="Century Gothic" w:hAnsi="Century Gothic" w:cs="Arial"/>
          <w:sz w:val="24"/>
          <w:szCs w:val="24"/>
        </w:rPr>
        <w:t xml:space="preserve">, la comisión realizada y los gastos erogados, es que en la Comisión de Quejas y Denuncias propuse su devolución a la Secretaría Ejecutiva para perfeccionar la investigación. No obstante, la propuesta no fue acogida por sus integrantes, lo </w:t>
      </w:r>
      <w:r w:rsidRPr="00BA7D38">
        <w:rPr>
          <w:rFonts w:ascii="Century Gothic" w:hAnsi="Century Gothic" w:cs="Arial"/>
          <w:sz w:val="24"/>
          <w:szCs w:val="24"/>
        </w:rPr>
        <w:lastRenderedPageBreak/>
        <w:t>que nos tiene hoy aquí ante el mismo proyecto respecto del cual no puedo acompañar sus conclusiones.</w:t>
      </w:r>
    </w:p>
    <w:p w14:paraId="673E1781" w14:textId="77777777" w:rsidR="005D219F" w:rsidRPr="00567FF8" w:rsidRDefault="005D219F" w:rsidP="00567FF8">
      <w:pPr>
        <w:spacing w:after="0" w:line="360" w:lineRule="auto"/>
        <w:ind w:right="-518"/>
        <w:jc w:val="both"/>
        <w:rPr>
          <w:rFonts w:ascii="Century Gothic" w:hAnsi="Century Gothic"/>
          <w:sz w:val="24"/>
          <w:szCs w:val="24"/>
        </w:rPr>
      </w:pPr>
    </w:p>
    <w:p w14:paraId="433FA8B3" w14:textId="3B98A09C" w:rsidR="00BD6A83" w:rsidRDefault="00567FF8" w:rsidP="00567FF8">
      <w:pPr>
        <w:spacing w:after="0" w:line="360" w:lineRule="auto"/>
        <w:ind w:right="-518"/>
        <w:jc w:val="both"/>
        <w:rPr>
          <w:rFonts w:ascii="Century Gothic" w:hAnsi="Century Gothic"/>
          <w:sz w:val="24"/>
          <w:szCs w:val="24"/>
        </w:rPr>
      </w:pPr>
      <w:r w:rsidRPr="00567FF8">
        <w:rPr>
          <w:rFonts w:ascii="Century Gothic" w:hAnsi="Century Gothic"/>
          <w:sz w:val="24"/>
          <w:szCs w:val="24"/>
        </w:rPr>
        <w:t xml:space="preserve">Con ello no afirmo que, el resultado de la investigación sería diferente, ni aseguro que se hayan cometido las infracciones que se denuncian, sino que se requerirían mayores diligencias para encontrarnos en posibilidades de pronunciarnos respecto al fondo del asunto.   </w:t>
      </w:r>
    </w:p>
    <w:p w14:paraId="2BE72EC2" w14:textId="77777777" w:rsidR="007D0A5B" w:rsidRPr="007836FF" w:rsidRDefault="007D0A5B" w:rsidP="007836FF">
      <w:pPr>
        <w:spacing w:after="0" w:line="360" w:lineRule="auto"/>
        <w:ind w:right="-518"/>
        <w:jc w:val="both"/>
        <w:rPr>
          <w:rFonts w:ascii="Century Gothic" w:hAnsi="Century Gothic"/>
          <w:sz w:val="24"/>
          <w:szCs w:val="24"/>
        </w:rPr>
      </w:pPr>
    </w:p>
    <w:p w14:paraId="31DBC7D7" w14:textId="1826ED38" w:rsidR="00170F9B" w:rsidRPr="007836FF" w:rsidRDefault="00170F9B" w:rsidP="007836FF">
      <w:pPr>
        <w:pStyle w:val="Sinespaciado"/>
        <w:spacing w:line="360" w:lineRule="auto"/>
        <w:ind w:right="-518"/>
        <w:jc w:val="center"/>
        <w:rPr>
          <w:rFonts w:ascii="Century Gothic" w:hAnsi="Century Gothic"/>
          <w:b/>
          <w:bCs/>
          <w:sz w:val="24"/>
          <w:szCs w:val="24"/>
        </w:rPr>
      </w:pPr>
      <w:r w:rsidRPr="007836FF">
        <w:rPr>
          <w:rFonts w:ascii="Century Gothic" w:hAnsi="Century Gothic"/>
          <w:b/>
          <w:bCs/>
          <w:sz w:val="24"/>
          <w:szCs w:val="24"/>
        </w:rPr>
        <w:t xml:space="preserve">Guadalajara, Jalisco; a </w:t>
      </w:r>
      <w:r w:rsidR="0016358A" w:rsidRPr="007836FF">
        <w:rPr>
          <w:rFonts w:ascii="Century Gothic" w:hAnsi="Century Gothic"/>
          <w:b/>
          <w:bCs/>
          <w:sz w:val="24"/>
          <w:szCs w:val="24"/>
        </w:rPr>
        <w:t>2</w:t>
      </w:r>
      <w:r w:rsidR="00CC60E1">
        <w:rPr>
          <w:rFonts w:ascii="Century Gothic" w:hAnsi="Century Gothic"/>
          <w:b/>
          <w:bCs/>
          <w:sz w:val="24"/>
          <w:szCs w:val="24"/>
        </w:rPr>
        <w:t>1</w:t>
      </w:r>
      <w:r w:rsidRPr="007836FF">
        <w:rPr>
          <w:rFonts w:ascii="Century Gothic" w:hAnsi="Century Gothic"/>
          <w:b/>
          <w:bCs/>
          <w:sz w:val="24"/>
          <w:szCs w:val="24"/>
        </w:rPr>
        <w:t xml:space="preserve"> de </w:t>
      </w:r>
      <w:r w:rsidR="00CC60E1">
        <w:rPr>
          <w:rFonts w:ascii="Century Gothic" w:hAnsi="Century Gothic"/>
          <w:b/>
          <w:bCs/>
          <w:sz w:val="24"/>
          <w:szCs w:val="24"/>
        </w:rPr>
        <w:t>junio</w:t>
      </w:r>
      <w:r w:rsidRPr="007836FF">
        <w:rPr>
          <w:rFonts w:ascii="Century Gothic" w:hAnsi="Century Gothic"/>
          <w:b/>
          <w:bCs/>
          <w:sz w:val="24"/>
          <w:szCs w:val="24"/>
        </w:rPr>
        <w:t xml:space="preserve"> de 2023.</w:t>
      </w:r>
    </w:p>
    <w:p w14:paraId="1C3F32B3" w14:textId="358C1396" w:rsidR="002B6012" w:rsidRPr="007836FF" w:rsidRDefault="002B6012" w:rsidP="007836FF">
      <w:pPr>
        <w:pStyle w:val="Sinespaciado"/>
        <w:spacing w:line="360" w:lineRule="auto"/>
        <w:ind w:right="-518"/>
        <w:jc w:val="center"/>
        <w:rPr>
          <w:rFonts w:ascii="Century Gothic" w:eastAsia="Times New Roman" w:hAnsi="Century Gothic" w:cs="Arial"/>
          <w:b/>
          <w:sz w:val="24"/>
          <w:szCs w:val="24"/>
          <w:lang w:val="es-ES" w:eastAsia="es-ES"/>
        </w:rPr>
      </w:pPr>
    </w:p>
    <w:p w14:paraId="1606EDC7" w14:textId="77777777" w:rsidR="00DF714D" w:rsidRPr="007836FF" w:rsidRDefault="00DF714D" w:rsidP="007836FF">
      <w:pPr>
        <w:spacing w:after="0" w:line="276" w:lineRule="auto"/>
        <w:ind w:right="-518"/>
        <w:rPr>
          <w:rFonts w:ascii="Century Gothic" w:eastAsia="Times New Roman" w:hAnsi="Century Gothic" w:cs="Arial"/>
          <w:b/>
          <w:sz w:val="24"/>
          <w:szCs w:val="24"/>
          <w:lang w:val="es-ES" w:eastAsia="es-ES"/>
        </w:rPr>
      </w:pPr>
    </w:p>
    <w:p w14:paraId="1EB4ADC2" w14:textId="4C5CC95C" w:rsidR="002B6012" w:rsidRPr="007836FF" w:rsidRDefault="002B6012" w:rsidP="00560B83">
      <w:pPr>
        <w:spacing w:after="0" w:line="276" w:lineRule="auto"/>
        <w:ind w:right="-518"/>
        <w:jc w:val="center"/>
        <w:rPr>
          <w:rFonts w:ascii="Century Gothic" w:eastAsia="Times New Roman" w:hAnsi="Century Gothic" w:cs="Arial"/>
          <w:b/>
          <w:sz w:val="24"/>
          <w:szCs w:val="24"/>
          <w:lang w:val="es-ES" w:eastAsia="es-ES"/>
        </w:rPr>
      </w:pPr>
      <w:r w:rsidRPr="007836FF">
        <w:rPr>
          <w:rFonts w:ascii="Century Gothic" w:eastAsia="Times New Roman" w:hAnsi="Century Gothic" w:cs="Arial"/>
          <w:b/>
          <w:sz w:val="24"/>
          <w:szCs w:val="24"/>
          <w:lang w:val="es-ES" w:eastAsia="es-ES"/>
        </w:rPr>
        <w:t>Zoad Jeanine García González</w:t>
      </w:r>
    </w:p>
    <w:p w14:paraId="7D0E0A79" w14:textId="53772C8C" w:rsidR="002B6012" w:rsidRPr="007836FF" w:rsidRDefault="002B6012" w:rsidP="00560B83">
      <w:pPr>
        <w:pStyle w:val="Sinespaciado"/>
        <w:spacing w:line="360" w:lineRule="auto"/>
        <w:ind w:right="-518"/>
        <w:jc w:val="center"/>
        <w:rPr>
          <w:rFonts w:ascii="Century Gothic" w:hAnsi="Century Gothic"/>
          <w:b/>
          <w:bCs/>
          <w:sz w:val="24"/>
          <w:szCs w:val="24"/>
        </w:rPr>
      </w:pPr>
      <w:r w:rsidRPr="007836FF">
        <w:rPr>
          <w:rFonts w:ascii="Century Gothic" w:eastAsia="Times New Roman" w:hAnsi="Century Gothic" w:cs="Arial"/>
          <w:b/>
          <w:sz w:val="24"/>
          <w:szCs w:val="24"/>
          <w:lang w:val="es-ES" w:eastAsia="es-ES"/>
        </w:rPr>
        <w:t>Consejera electoral</w:t>
      </w:r>
    </w:p>
    <w:sectPr w:rsidR="002B6012" w:rsidRPr="007836FF" w:rsidSect="00E963EE">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1F8A4" w14:textId="77777777" w:rsidR="00BB3CE1" w:rsidRDefault="00BB3CE1" w:rsidP="00C05ECC">
      <w:pPr>
        <w:spacing w:after="0" w:line="240" w:lineRule="auto"/>
      </w:pPr>
      <w:r>
        <w:separator/>
      </w:r>
    </w:p>
  </w:endnote>
  <w:endnote w:type="continuationSeparator" w:id="0">
    <w:p w14:paraId="3FA99530" w14:textId="77777777" w:rsidR="00BB3CE1" w:rsidRDefault="00BB3CE1" w:rsidP="00C05ECC">
      <w:pPr>
        <w:spacing w:after="0" w:line="240" w:lineRule="auto"/>
      </w:pPr>
      <w:r>
        <w:continuationSeparator/>
      </w:r>
    </w:p>
  </w:endnote>
  <w:endnote w:type="continuationNotice" w:id="1">
    <w:p w14:paraId="42BB8D66" w14:textId="77777777" w:rsidR="00BB3CE1" w:rsidRDefault="00BB3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12175"/>
      <w:docPartObj>
        <w:docPartGallery w:val="Page Numbers (Bottom of Page)"/>
        <w:docPartUnique/>
      </w:docPartObj>
    </w:sdtPr>
    <w:sdtEndPr>
      <w:rPr>
        <w:rFonts w:ascii="Century Gothic" w:hAnsi="Century Gothic"/>
        <w:b/>
        <w:bCs/>
        <w:sz w:val="18"/>
        <w:szCs w:val="18"/>
      </w:rPr>
    </w:sdtEndPr>
    <w:sdtContent>
      <w:p w14:paraId="631AD40B" w14:textId="61B710B6" w:rsidR="002B6012" w:rsidRPr="002B6012" w:rsidRDefault="002B6012">
        <w:pPr>
          <w:pStyle w:val="Piedepgina"/>
          <w:jc w:val="center"/>
          <w:rPr>
            <w:rFonts w:ascii="Century Gothic" w:hAnsi="Century Gothic"/>
            <w:b/>
            <w:bCs/>
            <w:sz w:val="18"/>
            <w:szCs w:val="18"/>
          </w:rPr>
        </w:pPr>
        <w:r w:rsidRPr="002B6012">
          <w:rPr>
            <w:rFonts w:ascii="Century Gothic" w:hAnsi="Century Gothic"/>
            <w:b/>
            <w:bCs/>
            <w:sz w:val="18"/>
            <w:szCs w:val="18"/>
          </w:rPr>
          <w:fldChar w:fldCharType="begin"/>
        </w:r>
        <w:r w:rsidRPr="002B6012">
          <w:rPr>
            <w:rFonts w:ascii="Century Gothic" w:hAnsi="Century Gothic"/>
            <w:b/>
            <w:bCs/>
            <w:sz w:val="18"/>
            <w:szCs w:val="18"/>
          </w:rPr>
          <w:instrText>PAGE   \* MERGEFORMAT</w:instrText>
        </w:r>
        <w:r w:rsidRPr="002B6012">
          <w:rPr>
            <w:rFonts w:ascii="Century Gothic" w:hAnsi="Century Gothic"/>
            <w:b/>
            <w:bCs/>
            <w:sz w:val="18"/>
            <w:szCs w:val="18"/>
          </w:rPr>
          <w:fldChar w:fldCharType="separate"/>
        </w:r>
        <w:r w:rsidRPr="002B6012">
          <w:rPr>
            <w:rFonts w:ascii="Century Gothic" w:hAnsi="Century Gothic"/>
            <w:b/>
            <w:bCs/>
            <w:sz w:val="18"/>
            <w:szCs w:val="18"/>
            <w:lang w:val="es-ES"/>
          </w:rPr>
          <w:t>2</w:t>
        </w:r>
        <w:r w:rsidRPr="002B6012">
          <w:rPr>
            <w:rFonts w:ascii="Century Gothic" w:hAnsi="Century Gothic"/>
            <w:b/>
            <w:bCs/>
            <w:sz w:val="18"/>
            <w:szCs w:val="18"/>
          </w:rPr>
          <w:fldChar w:fldCharType="end"/>
        </w:r>
      </w:p>
    </w:sdtContent>
  </w:sdt>
  <w:p w14:paraId="3B4DDAC1" w14:textId="77777777" w:rsidR="002B6012" w:rsidRDefault="002B6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3F31" w14:textId="77777777" w:rsidR="00BB3CE1" w:rsidRDefault="00BB3CE1" w:rsidP="00C05ECC">
      <w:pPr>
        <w:spacing w:after="0" w:line="240" w:lineRule="auto"/>
      </w:pPr>
      <w:r>
        <w:separator/>
      </w:r>
    </w:p>
  </w:footnote>
  <w:footnote w:type="continuationSeparator" w:id="0">
    <w:p w14:paraId="6A4FE33E" w14:textId="77777777" w:rsidR="00BB3CE1" w:rsidRDefault="00BB3CE1" w:rsidP="00C05ECC">
      <w:pPr>
        <w:spacing w:after="0" w:line="240" w:lineRule="auto"/>
      </w:pPr>
      <w:r>
        <w:continuationSeparator/>
      </w:r>
    </w:p>
  </w:footnote>
  <w:footnote w:type="continuationNotice" w:id="1">
    <w:p w14:paraId="0F23CA0D" w14:textId="77777777" w:rsidR="00BB3CE1" w:rsidRDefault="00BB3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7E2AA2EB" w:rsidR="00E963EE" w:rsidRDefault="00E963EE" w:rsidP="00E963EE">
    <w:pPr>
      <w:pStyle w:val="Encabezado"/>
    </w:pPr>
    <w:r w:rsidRPr="00525490">
      <w:rPr>
        <w:rFonts w:ascii="Century Gothic" w:hAnsi="Century Gothic"/>
        <w:noProof/>
        <w:sz w:val="23"/>
        <w:szCs w:val="23"/>
        <w:lang w:eastAsia="es-MX"/>
      </w:rPr>
      <w:drawing>
        <wp:inline distT="0" distB="0" distL="0" distR="0" wp14:anchorId="46C3CB2F" wp14:editId="25EFD090">
          <wp:extent cx="1364230" cy="766119"/>
          <wp:effectExtent l="0" t="0" r="762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651" cy="769163"/>
                  </a:xfrm>
                  <a:prstGeom prst="rect">
                    <a:avLst/>
                  </a:prstGeom>
                  <a:noFill/>
                  <a:ln>
                    <a:noFill/>
                  </a:ln>
                </pic:spPr>
              </pic:pic>
            </a:graphicData>
          </a:graphic>
        </wp:inline>
      </w:drawing>
    </w:r>
  </w:p>
  <w:p w14:paraId="44B91698" w14:textId="380ECAD7" w:rsidR="00E963EE" w:rsidRDefault="00E963EE" w:rsidP="00E9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4"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55FE"/>
    <w:rsid w:val="0002727A"/>
    <w:rsid w:val="0003027A"/>
    <w:rsid w:val="00045BBB"/>
    <w:rsid w:val="00047C1E"/>
    <w:rsid w:val="000506DF"/>
    <w:rsid w:val="00054F43"/>
    <w:rsid w:val="00056C91"/>
    <w:rsid w:val="000725A1"/>
    <w:rsid w:val="00074D17"/>
    <w:rsid w:val="00084840"/>
    <w:rsid w:val="00085C9E"/>
    <w:rsid w:val="00094746"/>
    <w:rsid w:val="00094B74"/>
    <w:rsid w:val="000964AD"/>
    <w:rsid w:val="0009764E"/>
    <w:rsid w:val="00097F1E"/>
    <w:rsid w:val="000A2E93"/>
    <w:rsid w:val="000B4480"/>
    <w:rsid w:val="000C26B3"/>
    <w:rsid w:val="000C2AE0"/>
    <w:rsid w:val="000C326D"/>
    <w:rsid w:val="000C408B"/>
    <w:rsid w:val="000C43FE"/>
    <w:rsid w:val="000C5FC6"/>
    <w:rsid w:val="000C6202"/>
    <w:rsid w:val="000E480F"/>
    <w:rsid w:val="000F1AB4"/>
    <w:rsid w:val="000F1AE6"/>
    <w:rsid w:val="000F52B3"/>
    <w:rsid w:val="00104079"/>
    <w:rsid w:val="001044B3"/>
    <w:rsid w:val="00107BAF"/>
    <w:rsid w:val="00117085"/>
    <w:rsid w:val="00120374"/>
    <w:rsid w:val="00122C8C"/>
    <w:rsid w:val="001259F8"/>
    <w:rsid w:val="00136D88"/>
    <w:rsid w:val="00140A3E"/>
    <w:rsid w:val="00150DB6"/>
    <w:rsid w:val="00156ECD"/>
    <w:rsid w:val="001632B8"/>
    <w:rsid w:val="001633D8"/>
    <w:rsid w:val="0016358A"/>
    <w:rsid w:val="00170F9B"/>
    <w:rsid w:val="0017166A"/>
    <w:rsid w:val="00171FE3"/>
    <w:rsid w:val="001737BC"/>
    <w:rsid w:val="0017602B"/>
    <w:rsid w:val="00176A0B"/>
    <w:rsid w:val="00180FDE"/>
    <w:rsid w:val="001856C3"/>
    <w:rsid w:val="001918C7"/>
    <w:rsid w:val="001920DD"/>
    <w:rsid w:val="001A16D2"/>
    <w:rsid w:val="001A4768"/>
    <w:rsid w:val="001A5926"/>
    <w:rsid w:val="001B45E4"/>
    <w:rsid w:val="001C67B8"/>
    <w:rsid w:val="001D3070"/>
    <w:rsid w:val="001D5EF7"/>
    <w:rsid w:val="001D79E1"/>
    <w:rsid w:val="001E1D00"/>
    <w:rsid w:val="001E2FD9"/>
    <w:rsid w:val="001F5383"/>
    <w:rsid w:val="001F6F4E"/>
    <w:rsid w:val="00201A03"/>
    <w:rsid w:val="00214601"/>
    <w:rsid w:val="002151F6"/>
    <w:rsid w:val="0021787C"/>
    <w:rsid w:val="00223E1F"/>
    <w:rsid w:val="00226FC2"/>
    <w:rsid w:val="002315CA"/>
    <w:rsid w:val="00234264"/>
    <w:rsid w:val="00242F12"/>
    <w:rsid w:val="00244CF8"/>
    <w:rsid w:val="00252673"/>
    <w:rsid w:val="00256B9B"/>
    <w:rsid w:val="00264CB5"/>
    <w:rsid w:val="00265648"/>
    <w:rsid w:val="002723E6"/>
    <w:rsid w:val="00285437"/>
    <w:rsid w:val="00287DFC"/>
    <w:rsid w:val="00295CA0"/>
    <w:rsid w:val="002A63B5"/>
    <w:rsid w:val="002B2F1A"/>
    <w:rsid w:val="002B6012"/>
    <w:rsid w:val="002C094F"/>
    <w:rsid w:val="002C3C84"/>
    <w:rsid w:val="002D2974"/>
    <w:rsid w:val="002F50C6"/>
    <w:rsid w:val="00302049"/>
    <w:rsid w:val="0030470F"/>
    <w:rsid w:val="00304800"/>
    <w:rsid w:val="00312FC2"/>
    <w:rsid w:val="00321090"/>
    <w:rsid w:val="00323C13"/>
    <w:rsid w:val="00323F8F"/>
    <w:rsid w:val="00330353"/>
    <w:rsid w:val="00336CCB"/>
    <w:rsid w:val="00340FEC"/>
    <w:rsid w:val="00343DC9"/>
    <w:rsid w:val="00351929"/>
    <w:rsid w:val="003533DC"/>
    <w:rsid w:val="0035581A"/>
    <w:rsid w:val="00362AAF"/>
    <w:rsid w:val="00365364"/>
    <w:rsid w:val="0037139E"/>
    <w:rsid w:val="003735A6"/>
    <w:rsid w:val="00374EC1"/>
    <w:rsid w:val="003762E6"/>
    <w:rsid w:val="00382C45"/>
    <w:rsid w:val="00385023"/>
    <w:rsid w:val="00393B1F"/>
    <w:rsid w:val="003955D4"/>
    <w:rsid w:val="003965CA"/>
    <w:rsid w:val="00396B1D"/>
    <w:rsid w:val="003A5170"/>
    <w:rsid w:val="003B65F5"/>
    <w:rsid w:val="003E0F2F"/>
    <w:rsid w:val="003E16AD"/>
    <w:rsid w:val="003E43E3"/>
    <w:rsid w:val="003F36CF"/>
    <w:rsid w:val="003F37BC"/>
    <w:rsid w:val="00402B5D"/>
    <w:rsid w:val="00420A98"/>
    <w:rsid w:val="00423058"/>
    <w:rsid w:val="00433CBC"/>
    <w:rsid w:val="004346EE"/>
    <w:rsid w:val="00444809"/>
    <w:rsid w:val="004579A1"/>
    <w:rsid w:val="0046261A"/>
    <w:rsid w:val="004647C1"/>
    <w:rsid w:val="004677C7"/>
    <w:rsid w:val="00480665"/>
    <w:rsid w:val="00480B3F"/>
    <w:rsid w:val="00482624"/>
    <w:rsid w:val="00482990"/>
    <w:rsid w:val="00485E99"/>
    <w:rsid w:val="00496A2F"/>
    <w:rsid w:val="004A5960"/>
    <w:rsid w:val="004B07B1"/>
    <w:rsid w:val="004B69E4"/>
    <w:rsid w:val="004C1936"/>
    <w:rsid w:val="004C5E34"/>
    <w:rsid w:val="004E6084"/>
    <w:rsid w:val="004F02CD"/>
    <w:rsid w:val="0050713C"/>
    <w:rsid w:val="00514B78"/>
    <w:rsid w:val="00516529"/>
    <w:rsid w:val="0052104A"/>
    <w:rsid w:val="00522C0E"/>
    <w:rsid w:val="00530673"/>
    <w:rsid w:val="0053274D"/>
    <w:rsid w:val="00532CAC"/>
    <w:rsid w:val="0053542B"/>
    <w:rsid w:val="00544271"/>
    <w:rsid w:val="0054615D"/>
    <w:rsid w:val="00560B83"/>
    <w:rsid w:val="00563037"/>
    <w:rsid w:val="00567FF8"/>
    <w:rsid w:val="00571649"/>
    <w:rsid w:val="00577702"/>
    <w:rsid w:val="00581067"/>
    <w:rsid w:val="00585EE7"/>
    <w:rsid w:val="00594EF5"/>
    <w:rsid w:val="005B006A"/>
    <w:rsid w:val="005B18E6"/>
    <w:rsid w:val="005C6E7F"/>
    <w:rsid w:val="005D069E"/>
    <w:rsid w:val="005D219F"/>
    <w:rsid w:val="005F772F"/>
    <w:rsid w:val="00600993"/>
    <w:rsid w:val="00600A93"/>
    <w:rsid w:val="006128E4"/>
    <w:rsid w:val="00623B28"/>
    <w:rsid w:val="0062667E"/>
    <w:rsid w:val="006360EA"/>
    <w:rsid w:val="00637432"/>
    <w:rsid w:val="0064105E"/>
    <w:rsid w:val="0064427E"/>
    <w:rsid w:val="0064493B"/>
    <w:rsid w:val="006449E6"/>
    <w:rsid w:val="006457CE"/>
    <w:rsid w:val="00647BCF"/>
    <w:rsid w:val="00662B26"/>
    <w:rsid w:val="00671C3F"/>
    <w:rsid w:val="00673C61"/>
    <w:rsid w:val="00677198"/>
    <w:rsid w:val="00680928"/>
    <w:rsid w:val="00681334"/>
    <w:rsid w:val="00681C8D"/>
    <w:rsid w:val="006A1BD5"/>
    <w:rsid w:val="006A283A"/>
    <w:rsid w:val="006D1CC1"/>
    <w:rsid w:val="006F31F2"/>
    <w:rsid w:val="007000E6"/>
    <w:rsid w:val="00701F2D"/>
    <w:rsid w:val="00703D7E"/>
    <w:rsid w:val="00706119"/>
    <w:rsid w:val="00714D0D"/>
    <w:rsid w:val="00716183"/>
    <w:rsid w:val="00716D81"/>
    <w:rsid w:val="0072197A"/>
    <w:rsid w:val="00721EE8"/>
    <w:rsid w:val="00725156"/>
    <w:rsid w:val="007263A9"/>
    <w:rsid w:val="00744CBC"/>
    <w:rsid w:val="00745111"/>
    <w:rsid w:val="0075189D"/>
    <w:rsid w:val="0075383F"/>
    <w:rsid w:val="00756D94"/>
    <w:rsid w:val="007836FF"/>
    <w:rsid w:val="00790944"/>
    <w:rsid w:val="007950BE"/>
    <w:rsid w:val="0079767C"/>
    <w:rsid w:val="007A0B68"/>
    <w:rsid w:val="007A0BB0"/>
    <w:rsid w:val="007B22BE"/>
    <w:rsid w:val="007B2F2E"/>
    <w:rsid w:val="007C2CD6"/>
    <w:rsid w:val="007C370D"/>
    <w:rsid w:val="007C3D4C"/>
    <w:rsid w:val="007D0A5B"/>
    <w:rsid w:val="007D1B5B"/>
    <w:rsid w:val="007D4808"/>
    <w:rsid w:val="007D5795"/>
    <w:rsid w:val="007D6652"/>
    <w:rsid w:val="007D6B4D"/>
    <w:rsid w:val="007D6EB3"/>
    <w:rsid w:val="007E045E"/>
    <w:rsid w:val="007E153F"/>
    <w:rsid w:val="007E6E77"/>
    <w:rsid w:val="007F7A2D"/>
    <w:rsid w:val="0080477F"/>
    <w:rsid w:val="00812348"/>
    <w:rsid w:val="0081280C"/>
    <w:rsid w:val="00814E13"/>
    <w:rsid w:val="00816C5D"/>
    <w:rsid w:val="008213E9"/>
    <w:rsid w:val="00821F2B"/>
    <w:rsid w:val="008276FF"/>
    <w:rsid w:val="00837888"/>
    <w:rsid w:val="0084265B"/>
    <w:rsid w:val="00842CE1"/>
    <w:rsid w:val="008501F5"/>
    <w:rsid w:val="008628A3"/>
    <w:rsid w:val="00865615"/>
    <w:rsid w:val="00865955"/>
    <w:rsid w:val="00870367"/>
    <w:rsid w:val="00872F93"/>
    <w:rsid w:val="008776BF"/>
    <w:rsid w:val="00883C8F"/>
    <w:rsid w:val="0089601F"/>
    <w:rsid w:val="008A5583"/>
    <w:rsid w:val="008B0E86"/>
    <w:rsid w:val="008B0F4A"/>
    <w:rsid w:val="008B1B26"/>
    <w:rsid w:val="008B581E"/>
    <w:rsid w:val="008C0C00"/>
    <w:rsid w:val="008C350A"/>
    <w:rsid w:val="008D036C"/>
    <w:rsid w:val="008D2452"/>
    <w:rsid w:val="008D342B"/>
    <w:rsid w:val="008D7EB3"/>
    <w:rsid w:val="008E6B0D"/>
    <w:rsid w:val="008F3991"/>
    <w:rsid w:val="008F6A8C"/>
    <w:rsid w:val="009006B1"/>
    <w:rsid w:val="00905255"/>
    <w:rsid w:val="00907491"/>
    <w:rsid w:val="00907759"/>
    <w:rsid w:val="00910FC7"/>
    <w:rsid w:val="00911026"/>
    <w:rsid w:val="00927758"/>
    <w:rsid w:val="00941238"/>
    <w:rsid w:val="00952DFC"/>
    <w:rsid w:val="0095658A"/>
    <w:rsid w:val="00983997"/>
    <w:rsid w:val="009931C3"/>
    <w:rsid w:val="00993593"/>
    <w:rsid w:val="009B1349"/>
    <w:rsid w:val="009B2D22"/>
    <w:rsid w:val="009B2DBC"/>
    <w:rsid w:val="009C01F3"/>
    <w:rsid w:val="009C0A22"/>
    <w:rsid w:val="009C7F97"/>
    <w:rsid w:val="009E3AE6"/>
    <w:rsid w:val="009E6B2B"/>
    <w:rsid w:val="009F1955"/>
    <w:rsid w:val="009F3C12"/>
    <w:rsid w:val="00A00271"/>
    <w:rsid w:val="00A1249F"/>
    <w:rsid w:val="00A140A9"/>
    <w:rsid w:val="00A164D7"/>
    <w:rsid w:val="00A1665C"/>
    <w:rsid w:val="00A204CF"/>
    <w:rsid w:val="00A2183C"/>
    <w:rsid w:val="00A3316E"/>
    <w:rsid w:val="00A37E34"/>
    <w:rsid w:val="00A42553"/>
    <w:rsid w:val="00A44235"/>
    <w:rsid w:val="00A54518"/>
    <w:rsid w:val="00A54577"/>
    <w:rsid w:val="00A54673"/>
    <w:rsid w:val="00A54906"/>
    <w:rsid w:val="00A55855"/>
    <w:rsid w:val="00A563ED"/>
    <w:rsid w:val="00A56DC4"/>
    <w:rsid w:val="00A61FAA"/>
    <w:rsid w:val="00A63424"/>
    <w:rsid w:val="00A65A16"/>
    <w:rsid w:val="00A7642D"/>
    <w:rsid w:val="00A840D3"/>
    <w:rsid w:val="00A8557F"/>
    <w:rsid w:val="00A90CEC"/>
    <w:rsid w:val="00A91F10"/>
    <w:rsid w:val="00AA0F80"/>
    <w:rsid w:val="00AA3410"/>
    <w:rsid w:val="00AA3B38"/>
    <w:rsid w:val="00AB3B38"/>
    <w:rsid w:val="00AB7799"/>
    <w:rsid w:val="00AC1961"/>
    <w:rsid w:val="00AC4165"/>
    <w:rsid w:val="00AD0576"/>
    <w:rsid w:val="00AE1BE8"/>
    <w:rsid w:val="00AF01B5"/>
    <w:rsid w:val="00AF4676"/>
    <w:rsid w:val="00B070C2"/>
    <w:rsid w:val="00B108D3"/>
    <w:rsid w:val="00B1580E"/>
    <w:rsid w:val="00B2357A"/>
    <w:rsid w:val="00B25FAE"/>
    <w:rsid w:val="00B267F1"/>
    <w:rsid w:val="00B27140"/>
    <w:rsid w:val="00B3649A"/>
    <w:rsid w:val="00B37247"/>
    <w:rsid w:val="00B41FA7"/>
    <w:rsid w:val="00B42107"/>
    <w:rsid w:val="00B47A95"/>
    <w:rsid w:val="00B5180A"/>
    <w:rsid w:val="00B6792A"/>
    <w:rsid w:val="00B73F54"/>
    <w:rsid w:val="00B7738B"/>
    <w:rsid w:val="00B7773F"/>
    <w:rsid w:val="00B90030"/>
    <w:rsid w:val="00B96AC0"/>
    <w:rsid w:val="00BA193A"/>
    <w:rsid w:val="00BA5F3B"/>
    <w:rsid w:val="00BB162E"/>
    <w:rsid w:val="00BB22C3"/>
    <w:rsid w:val="00BB3CE1"/>
    <w:rsid w:val="00BC0864"/>
    <w:rsid w:val="00BC5F5C"/>
    <w:rsid w:val="00BD6A83"/>
    <w:rsid w:val="00BD7CA4"/>
    <w:rsid w:val="00BE2A9E"/>
    <w:rsid w:val="00BE5FF6"/>
    <w:rsid w:val="00BE73FB"/>
    <w:rsid w:val="00BE7E27"/>
    <w:rsid w:val="00BF4AA6"/>
    <w:rsid w:val="00C034DB"/>
    <w:rsid w:val="00C05ECC"/>
    <w:rsid w:val="00C34B88"/>
    <w:rsid w:val="00C421C5"/>
    <w:rsid w:val="00C42CAD"/>
    <w:rsid w:val="00C516DF"/>
    <w:rsid w:val="00C532BE"/>
    <w:rsid w:val="00C554A4"/>
    <w:rsid w:val="00C57FCD"/>
    <w:rsid w:val="00C611F1"/>
    <w:rsid w:val="00C64F88"/>
    <w:rsid w:val="00C6676B"/>
    <w:rsid w:val="00C66988"/>
    <w:rsid w:val="00C70090"/>
    <w:rsid w:val="00C7625B"/>
    <w:rsid w:val="00C83FE6"/>
    <w:rsid w:val="00C85FB9"/>
    <w:rsid w:val="00CA0E9E"/>
    <w:rsid w:val="00CA4AB1"/>
    <w:rsid w:val="00CB1DB5"/>
    <w:rsid w:val="00CB33B9"/>
    <w:rsid w:val="00CB4047"/>
    <w:rsid w:val="00CC560B"/>
    <w:rsid w:val="00CC60E1"/>
    <w:rsid w:val="00CD3EF9"/>
    <w:rsid w:val="00CD6A83"/>
    <w:rsid w:val="00CD76D9"/>
    <w:rsid w:val="00CD7770"/>
    <w:rsid w:val="00CE3127"/>
    <w:rsid w:val="00CE5E96"/>
    <w:rsid w:val="00CF07C2"/>
    <w:rsid w:val="00D00B84"/>
    <w:rsid w:val="00D01D63"/>
    <w:rsid w:val="00D164B1"/>
    <w:rsid w:val="00D254D1"/>
    <w:rsid w:val="00D3104F"/>
    <w:rsid w:val="00D35531"/>
    <w:rsid w:val="00D42157"/>
    <w:rsid w:val="00D516E3"/>
    <w:rsid w:val="00D5173B"/>
    <w:rsid w:val="00D5485F"/>
    <w:rsid w:val="00D576E4"/>
    <w:rsid w:val="00D60D28"/>
    <w:rsid w:val="00D640DD"/>
    <w:rsid w:val="00D76447"/>
    <w:rsid w:val="00D81002"/>
    <w:rsid w:val="00D97F40"/>
    <w:rsid w:val="00DB12A2"/>
    <w:rsid w:val="00DB13B6"/>
    <w:rsid w:val="00DB378C"/>
    <w:rsid w:val="00DB4C1F"/>
    <w:rsid w:val="00DD353D"/>
    <w:rsid w:val="00DD593A"/>
    <w:rsid w:val="00DE36ED"/>
    <w:rsid w:val="00DE6972"/>
    <w:rsid w:val="00DF0313"/>
    <w:rsid w:val="00DF714D"/>
    <w:rsid w:val="00E0009F"/>
    <w:rsid w:val="00E07D4D"/>
    <w:rsid w:val="00E13BEA"/>
    <w:rsid w:val="00E15AA7"/>
    <w:rsid w:val="00E22246"/>
    <w:rsid w:val="00E25897"/>
    <w:rsid w:val="00E3050D"/>
    <w:rsid w:val="00E3204D"/>
    <w:rsid w:val="00E32F3C"/>
    <w:rsid w:val="00E37F04"/>
    <w:rsid w:val="00E40ACB"/>
    <w:rsid w:val="00E44784"/>
    <w:rsid w:val="00E5596C"/>
    <w:rsid w:val="00E56615"/>
    <w:rsid w:val="00E5774C"/>
    <w:rsid w:val="00E64D4C"/>
    <w:rsid w:val="00E72E88"/>
    <w:rsid w:val="00E7446F"/>
    <w:rsid w:val="00E74D25"/>
    <w:rsid w:val="00E7718B"/>
    <w:rsid w:val="00E80A6F"/>
    <w:rsid w:val="00E810F5"/>
    <w:rsid w:val="00E8747A"/>
    <w:rsid w:val="00E963EE"/>
    <w:rsid w:val="00EA2C3E"/>
    <w:rsid w:val="00EA68FE"/>
    <w:rsid w:val="00EA6A14"/>
    <w:rsid w:val="00EA7164"/>
    <w:rsid w:val="00EB0563"/>
    <w:rsid w:val="00EB089C"/>
    <w:rsid w:val="00EB2461"/>
    <w:rsid w:val="00EB2F9A"/>
    <w:rsid w:val="00EC005B"/>
    <w:rsid w:val="00ED0042"/>
    <w:rsid w:val="00ED336C"/>
    <w:rsid w:val="00ED3F01"/>
    <w:rsid w:val="00EE6BDF"/>
    <w:rsid w:val="00EF08CA"/>
    <w:rsid w:val="00EF4458"/>
    <w:rsid w:val="00F1361B"/>
    <w:rsid w:val="00F20B4A"/>
    <w:rsid w:val="00F21E2E"/>
    <w:rsid w:val="00F2344D"/>
    <w:rsid w:val="00F24D49"/>
    <w:rsid w:val="00F3087C"/>
    <w:rsid w:val="00F37F98"/>
    <w:rsid w:val="00F468EA"/>
    <w:rsid w:val="00F4712B"/>
    <w:rsid w:val="00F553B4"/>
    <w:rsid w:val="00F55F9E"/>
    <w:rsid w:val="00F618DE"/>
    <w:rsid w:val="00F641FD"/>
    <w:rsid w:val="00F6783F"/>
    <w:rsid w:val="00F70BE9"/>
    <w:rsid w:val="00F71FFB"/>
    <w:rsid w:val="00F772FC"/>
    <w:rsid w:val="00F8238B"/>
    <w:rsid w:val="00F864D7"/>
    <w:rsid w:val="00F878D0"/>
    <w:rsid w:val="00F921D5"/>
    <w:rsid w:val="00F931FD"/>
    <w:rsid w:val="00FC22D9"/>
    <w:rsid w:val="00FC26BA"/>
    <w:rsid w:val="00FC5573"/>
    <w:rsid w:val="00FD4C03"/>
    <w:rsid w:val="00FE28AE"/>
    <w:rsid w:val="00FE2AEE"/>
    <w:rsid w:val="00FE6BC2"/>
    <w:rsid w:val="00FF5B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120ECAA4-5D00-45D1-BCD7-25240BE9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65069">
      <w:bodyDiv w:val="1"/>
      <w:marLeft w:val="0"/>
      <w:marRight w:val="0"/>
      <w:marTop w:val="0"/>
      <w:marBottom w:val="0"/>
      <w:divBdr>
        <w:top w:val="none" w:sz="0" w:space="0" w:color="auto"/>
        <w:left w:val="none" w:sz="0" w:space="0" w:color="auto"/>
        <w:bottom w:val="none" w:sz="0" w:space="0" w:color="auto"/>
        <w:right w:val="none" w:sz="0" w:space="0" w:color="auto"/>
      </w:divBdr>
      <w:divsChild>
        <w:div w:id="1974552969">
          <w:marLeft w:val="0"/>
          <w:marRight w:val="0"/>
          <w:marTop w:val="0"/>
          <w:marBottom w:val="0"/>
          <w:divBdr>
            <w:top w:val="none" w:sz="0" w:space="0" w:color="auto"/>
            <w:left w:val="none" w:sz="0" w:space="0" w:color="auto"/>
            <w:bottom w:val="none" w:sz="0" w:space="0" w:color="auto"/>
            <w:right w:val="none" w:sz="0" w:space="0" w:color="auto"/>
          </w:divBdr>
        </w:div>
        <w:div w:id="775906078">
          <w:marLeft w:val="0"/>
          <w:marRight w:val="0"/>
          <w:marTop w:val="0"/>
          <w:marBottom w:val="0"/>
          <w:divBdr>
            <w:top w:val="none" w:sz="0" w:space="0" w:color="auto"/>
            <w:left w:val="none" w:sz="0" w:space="0" w:color="auto"/>
            <w:bottom w:val="none" w:sz="0" w:space="0" w:color="auto"/>
            <w:right w:val="none" w:sz="0" w:space="0" w:color="auto"/>
          </w:divBdr>
        </w:div>
        <w:div w:id="514612054">
          <w:marLeft w:val="0"/>
          <w:marRight w:val="0"/>
          <w:marTop w:val="0"/>
          <w:marBottom w:val="0"/>
          <w:divBdr>
            <w:top w:val="none" w:sz="0" w:space="0" w:color="auto"/>
            <w:left w:val="none" w:sz="0" w:space="0" w:color="auto"/>
            <w:bottom w:val="none" w:sz="0" w:space="0" w:color="auto"/>
            <w:right w:val="none" w:sz="0" w:space="0" w:color="auto"/>
          </w:divBdr>
        </w:div>
        <w:div w:id="577248454">
          <w:marLeft w:val="0"/>
          <w:marRight w:val="0"/>
          <w:marTop w:val="0"/>
          <w:marBottom w:val="0"/>
          <w:divBdr>
            <w:top w:val="none" w:sz="0" w:space="0" w:color="auto"/>
            <w:left w:val="none" w:sz="0" w:space="0" w:color="auto"/>
            <w:bottom w:val="none" w:sz="0" w:space="0" w:color="auto"/>
            <w:right w:val="none" w:sz="0" w:space="0" w:color="auto"/>
          </w:divBdr>
        </w:div>
        <w:div w:id="1800950691">
          <w:marLeft w:val="0"/>
          <w:marRight w:val="0"/>
          <w:marTop w:val="0"/>
          <w:marBottom w:val="0"/>
          <w:divBdr>
            <w:top w:val="none" w:sz="0" w:space="0" w:color="auto"/>
            <w:left w:val="none" w:sz="0" w:space="0" w:color="auto"/>
            <w:bottom w:val="none" w:sz="0" w:space="0" w:color="auto"/>
            <w:right w:val="none" w:sz="0" w:space="0" w:color="auto"/>
          </w:divBdr>
        </w:div>
      </w:divsChild>
    </w:div>
    <w:div w:id="10486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50f18542b681c95a41297b467b2e83d0">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8ad2a1b1f9d4a284523d4977e91abafb"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customXml/itemProps2.xml><?xml version="1.0" encoding="utf-8"?>
<ds:datastoreItem xmlns:ds="http://schemas.openxmlformats.org/officeDocument/2006/customXml" ds:itemID="{33A32402-023B-49ED-B758-142C0E4C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151F3-E0AD-4E0F-B156-8D277F2F346A}">
  <ds:schemaRefs>
    <ds:schemaRef ds:uri="http://schemas.microsoft.com/sharepoint/v3/contenttype/forms"/>
  </ds:schemaRefs>
</ds:datastoreItem>
</file>

<file path=customXml/itemProps4.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630</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CharactersWithSpaces>
  <SharedDoc>false</SharedDoc>
  <HLinks>
    <vt:vector size="12" baseType="variant">
      <vt:variant>
        <vt:i4>2687027</vt:i4>
      </vt:variant>
      <vt:variant>
        <vt:i4>3</vt:i4>
      </vt:variant>
      <vt:variant>
        <vt:i4>0</vt:i4>
      </vt:variant>
      <vt:variant>
        <vt:i4>5</vt:i4>
      </vt:variant>
      <vt:variant>
        <vt:lpwstr>https://www.inegi.org.mx/contenidos/productos/prod_serv/contenidos/espanol/bvinegi/productos/nueva_estruc/702825197537.pdf</vt:lpwstr>
      </vt:variant>
      <vt:variant>
        <vt:lpwstr/>
      </vt:variant>
      <vt:variant>
        <vt:i4>8257652</vt:i4>
      </vt:variant>
      <vt:variant>
        <vt:i4>0</vt:i4>
      </vt:variant>
      <vt:variant>
        <vt:i4>0</vt:i4>
      </vt:variant>
      <vt:variant>
        <vt:i4>5</vt:i4>
      </vt:variant>
      <vt:variant>
        <vt:lpwstr>https://www.te.gob.mx/IUSEapp/tesisjur.aspx?idtesis=12/2013&amp;tpoBusqueda=S&amp;sWord=COMUNIDADES,IND%c3%8dGENAS.,EL,CRITERIO,DE,AUTOADSCRIPCI%c3%93N,ES,SUFICIENTE,PARA,RECONOCER,A,SUS,INTEGRANTES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29</cp:revision>
  <cp:lastPrinted>2023-05-26T22:02:00Z</cp:lastPrinted>
  <dcterms:created xsi:type="dcterms:W3CDTF">2023-06-20T20:06:00Z</dcterms:created>
  <dcterms:modified xsi:type="dcterms:W3CDTF">2023-06-21T17:42:00Z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