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81B4" w14:textId="11ACCA90" w:rsidR="00FF4458" w:rsidRDefault="00FF4458" w:rsidP="00FF4458">
      <w:pPr>
        <w:spacing w:after="0" w:line="276" w:lineRule="auto"/>
        <w:jc w:val="center"/>
        <w:rPr>
          <w:rFonts w:ascii="Arial" w:eastAsia="Calibri" w:hAnsi="Arial" w:cs="Arial"/>
          <w:b/>
          <w:sz w:val="28"/>
          <w:szCs w:val="28"/>
        </w:rPr>
      </w:pPr>
      <w:r w:rsidRPr="00FF4458">
        <w:rPr>
          <w:rFonts w:ascii="Arial" w:eastAsia="Calibri" w:hAnsi="Arial" w:cs="Arial"/>
          <w:b/>
          <w:sz w:val="28"/>
          <w:szCs w:val="28"/>
        </w:rPr>
        <w:t>ANEXO</w:t>
      </w:r>
    </w:p>
    <w:p w14:paraId="2CE3A54B" w14:textId="77777777" w:rsidR="00FF4458" w:rsidRPr="00FF4458" w:rsidRDefault="00FF4458" w:rsidP="00FF4458">
      <w:pPr>
        <w:spacing w:after="0" w:line="276" w:lineRule="auto"/>
        <w:jc w:val="center"/>
        <w:rPr>
          <w:rFonts w:ascii="Arial" w:eastAsia="Calibri" w:hAnsi="Arial" w:cs="Arial"/>
          <w:b/>
          <w:sz w:val="28"/>
          <w:szCs w:val="28"/>
        </w:rPr>
      </w:pPr>
    </w:p>
    <w:p w14:paraId="7CD7C500" w14:textId="28BACC85" w:rsidR="00A916E8" w:rsidRPr="00D6141D" w:rsidRDefault="00A916E8" w:rsidP="00FF4458">
      <w:pPr>
        <w:spacing w:after="0" w:line="276" w:lineRule="auto"/>
        <w:jc w:val="center"/>
        <w:rPr>
          <w:rFonts w:ascii="Arial" w:eastAsia="Calibri" w:hAnsi="Arial" w:cs="Arial"/>
          <w:b/>
          <w:sz w:val="20"/>
          <w:szCs w:val="20"/>
        </w:rPr>
      </w:pPr>
      <w:r w:rsidRPr="00D6141D">
        <w:rPr>
          <w:rFonts w:ascii="Arial" w:eastAsia="Calibri" w:hAnsi="Arial" w:cs="Arial"/>
          <w:b/>
          <w:sz w:val="20"/>
          <w:szCs w:val="20"/>
        </w:rPr>
        <w:t>REFORMA AL REGLAMENTO DE QUEJAS Y DENUNCIAS DEL</w:t>
      </w:r>
    </w:p>
    <w:p w14:paraId="7CAD83F0" w14:textId="77777777" w:rsidR="00A916E8" w:rsidRPr="00D6141D" w:rsidRDefault="00A916E8" w:rsidP="00FF4458">
      <w:pPr>
        <w:spacing w:after="0" w:line="276" w:lineRule="auto"/>
        <w:jc w:val="center"/>
        <w:rPr>
          <w:rFonts w:ascii="Arial" w:eastAsia="Calibri" w:hAnsi="Arial" w:cs="Arial"/>
          <w:b/>
          <w:sz w:val="20"/>
          <w:szCs w:val="20"/>
        </w:rPr>
      </w:pPr>
      <w:r w:rsidRPr="00D6141D">
        <w:rPr>
          <w:rFonts w:ascii="Arial" w:eastAsia="Calibri" w:hAnsi="Arial" w:cs="Arial"/>
          <w:b/>
          <w:sz w:val="20"/>
          <w:szCs w:val="20"/>
        </w:rPr>
        <w:t>INSTITUTO ELECTORAL Y DE PARTICIPACIÓN CIUDADANA DEL ESTADO DE JALISCO</w:t>
      </w:r>
    </w:p>
    <w:p w14:paraId="27AB809B" w14:textId="77777777" w:rsidR="00A916E8" w:rsidRPr="00D6141D" w:rsidRDefault="00A916E8" w:rsidP="00A11BBA">
      <w:pPr>
        <w:spacing w:after="0" w:line="276" w:lineRule="auto"/>
        <w:jc w:val="both"/>
        <w:rPr>
          <w:rFonts w:ascii="Arial" w:eastAsia="Calibri" w:hAnsi="Arial" w:cs="Arial"/>
          <w:b/>
          <w:sz w:val="20"/>
          <w:szCs w:val="20"/>
        </w:rPr>
      </w:pPr>
    </w:p>
    <w:p w14:paraId="79717BDE" w14:textId="77777777" w:rsidR="00A916E8" w:rsidRPr="00D6141D" w:rsidRDefault="00A916E8" w:rsidP="00A11BBA">
      <w:pPr>
        <w:spacing w:after="0" w:line="276" w:lineRule="auto"/>
        <w:jc w:val="both"/>
        <w:rPr>
          <w:rFonts w:ascii="Arial" w:eastAsia="Calibri" w:hAnsi="Arial" w:cs="Arial"/>
          <w:b/>
          <w:sz w:val="20"/>
          <w:szCs w:val="20"/>
        </w:rPr>
      </w:pPr>
    </w:p>
    <w:tbl>
      <w:tblPr>
        <w:tblStyle w:val="Tablaconcuadrcula"/>
        <w:tblW w:w="13232" w:type="dxa"/>
        <w:tblLook w:val="04A0" w:firstRow="1" w:lastRow="0" w:firstColumn="1" w:lastColumn="0" w:noHBand="0" w:noVBand="1"/>
      </w:tblPr>
      <w:tblGrid>
        <w:gridCol w:w="6658"/>
        <w:gridCol w:w="6574"/>
      </w:tblGrid>
      <w:tr w:rsidR="00A916E8" w:rsidRPr="00D6141D" w14:paraId="27E50E64" w14:textId="77777777" w:rsidTr="00897F3D">
        <w:tc>
          <w:tcPr>
            <w:tcW w:w="6658" w:type="dxa"/>
            <w:shd w:val="clear" w:color="auto" w:fill="D0CECE"/>
          </w:tcPr>
          <w:p w14:paraId="11A9F162" w14:textId="0B959A5F" w:rsidR="00A916E8" w:rsidRPr="00D6141D" w:rsidRDefault="00A916E8" w:rsidP="00A11BBA">
            <w:pPr>
              <w:spacing w:line="276" w:lineRule="auto"/>
              <w:jc w:val="center"/>
              <w:rPr>
                <w:rFonts w:ascii="Arial" w:eastAsia="Calibri" w:hAnsi="Arial" w:cs="Arial"/>
                <w:b/>
                <w:sz w:val="20"/>
                <w:szCs w:val="20"/>
              </w:rPr>
            </w:pPr>
            <w:r w:rsidRPr="00D6141D">
              <w:rPr>
                <w:rFonts w:ascii="Arial" w:eastAsia="Calibri" w:hAnsi="Arial" w:cs="Arial"/>
                <w:b/>
                <w:sz w:val="20"/>
                <w:szCs w:val="20"/>
              </w:rPr>
              <w:t>Texto vigente</w:t>
            </w:r>
          </w:p>
        </w:tc>
        <w:tc>
          <w:tcPr>
            <w:tcW w:w="6574" w:type="dxa"/>
            <w:shd w:val="clear" w:color="auto" w:fill="D0CECE"/>
          </w:tcPr>
          <w:p w14:paraId="3F9DE849" w14:textId="054FE942" w:rsidR="00A916E8" w:rsidRPr="00D6141D" w:rsidRDefault="00A916E8" w:rsidP="00A11BBA">
            <w:pPr>
              <w:spacing w:line="276" w:lineRule="auto"/>
              <w:jc w:val="center"/>
              <w:rPr>
                <w:rFonts w:ascii="Arial" w:eastAsia="Calibri" w:hAnsi="Arial" w:cs="Arial"/>
                <w:b/>
                <w:sz w:val="20"/>
                <w:szCs w:val="20"/>
              </w:rPr>
            </w:pPr>
            <w:r w:rsidRPr="00D6141D">
              <w:rPr>
                <w:rFonts w:ascii="Arial" w:eastAsia="Calibri" w:hAnsi="Arial" w:cs="Arial"/>
                <w:b/>
                <w:sz w:val="20"/>
                <w:szCs w:val="20"/>
              </w:rPr>
              <w:t>Propuesta</w:t>
            </w:r>
          </w:p>
        </w:tc>
      </w:tr>
      <w:tr w:rsidR="00DE685A" w:rsidRPr="00D6141D" w14:paraId="0F8A9828" w14:textId="77777777" w:rsidTr="00897F3D">
        <w:tc>
          <w:tcPr>
            <w:tcW w:w="6658" w:type="dxa"/>
          </w:tcPr>
          <w:p w14:paraId="376C9D3D" w14:textId="77777777" w:rsidR="006554F1" w:rsidRPr="00D6141D" w:rsidRDefault="006554F1" w:rsidP="00A11BBA">
            <w:pPr>
              <w:pStyle w:val="Sinespaciado"/>
              <w:spacing w:line="276" w:lineRule="auto"/>
              <w:jc w:val="both"/>
              <w:rPr>
                <w:rFonts w:ascii="Arial" w:hAnsi="Arial" w:cs="Arial"/>
                <w:b/>
                <w:bCs/>
                <w:sz w:val="20"/>
                <w:szCs w:val="20"/>
              </w:rPr>
            </w:pPr>
            <w:r w:rsidRPr="00D6141D">
              <w:rPr>
                <w:rFonts w:ascii="Arial" w:hAnsi="Arial" w:cs="Arial"/>
                <w:b/>
                <w:bCs/>
                <w:sz w:val="20"/>
                <w:szCs w:val="20"/>
              </w:rPr>
              <w:t xml:space="preserve">Artículo 3. </w:t>
            </w:r>
          </w:p>
          <w:p w14:paraId="0A5C1A4B" w14:textId="77777777" w:rsidR="006554F1" w:rsidRPr="00D6141D" w:rsidRDefault="006554F1" w:rsidP="00A11BBA">
            <w:pPr>
              <w:pStyle w:val="Sinespaciado"/>
              <w:spacing w:line="276" w:lineRule="auto"/>
              <w:jc w:val="both"/>
              <w:rPr>
                <w:rFonts w:ascii="Arial" w:hAnsi="Arial" w:cs="Arial"/>
                <w:sz w:val="20"/>
                <w:szCs w:val="20"/>
              </w:rPr>
            </w:pPr>
          </w:p>
          <w:p w14:paraId="4821A108" w14:textId="77777777" w:rsidR="006554F1" w:rsidRPr="00D6141D" w:rsidRDefault="006554F1"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1. Los procedimientos previstos en este Reglamento, tienen por finalidad determinar la existencia de faltas a la normatividad electoral y la responsabilidad administrativa, así como conocer y resolver de aquellas conductas u omisiones que presuntamente constituyan violencia política contra las mujeres </w:t>
            </w:r>
            <w:proofErr w:type="gramStart"/>
            <w:r w:rsidRPr="00D6141D">
              <w:rPr>
                <w:rFonts w:ascii="Arial" w:hAnsi="Arial" w:cs="Arial"/>
                <w:sz w:val="20"/>
                <w:szCs w:val="20"/>
              </w:rPr>
              <w:t>en razón de</w:t>
            </w:r>
            <w:proofErr w:type="gramEnd"/>
            <w:r w:rsidRPr="00D6141D">
              <w:rPr>
                <w:rFonts w:ascii="Arial" w:hAnsi="Arial" w:cs="Arial"/>
                <w:sz w:val="20"/>
                <w:szCs w:val="20"/>
              </w:rPr>
              <w:t xml:space="preserve"> género, mediante la valoración de los medios de prueba que aporten las partes y, en su caso, de aquéllos que se obtengan de la investigación que realice la autoridad electoral.</w:t>
            </w:r>
          </w:p>
          <w:p w14:paraId="0C27AB1D" w14:textId="77777777" w:rsidR="00B247AE" w:rsidRPr="00D6141D" w:rsidRDefault="00B247AE" w:rsidP="00A11BBA">
            <w:pPr>
              <w:pStyle w:val="Sinespaciado"/>
              <w:spacing w:line="276" w:lineRule="auto"/>
              <w:jc w:val="both"/>
              <w:rPr>
                <w:rFonts w:ascii="Arial" w:hAnsi="Arial" w:cs="Arial"/>
                <w:sz w:val="20"/>
                <w:szCs w:val="20"/>
              </w:rPr>
            </w:pPr>
          </w:p>
          <w:p w14:paraId="6FF625C1" w14:textId="613B55DA" w:rsidR="00B247AE" w:rsidRPr="00D6141D" w:rsidRDefault="00B247AE" w:rsidP="00A11BBA">
            <w:pPr>
              <w:pStyle w:val="Sinespaciado"/>
              <w:spacing w:line="276" w:lineRule="auto"/>
              <w:jc w:val="both"/>
              <w:rPr>
                <w:rFonts w:ascii="Arial" w:hAnsi="Arial" w:cs="Arial"/>
                <w:sz w:val="20"/>
                <w:szCs w:val="20"/>
              </w:rPr>
            </w:pPr>
          </w:p>
        </w:tc>
        <w:tc>
          <w:tcPr>
            <w:tcW w:w="6574" w:type="dxa"/>
          </w:tcPr>
          <w:p w14:paraId="1CB11A84" w14:textId="4DD19F51" w:rsidR="003A5AF5" w:rsidRPr="00D6141D" w:rsidRDefault="003A5AF5" w:rsidP="00A11BBA">
            <w:pPr>
              <w:spacing w:line="276" w:lineRule="auto"/>
              <w:jc w:val="both"/>
              <w:rPr>
                <w:rFonts w:ascii="Arial" w:hAnsi="Arial" w:cs="Arial"/>
                <w:b/>
                <w:bCs/>
                <w:sz w:val="20"/>
                <w:szCs w:val="20"/>
              </w:rPr>
            </w:pPr>
            <w:r w:rsidRPr="00D6141D">
              <w:rPr>
                <w:rFonts w:ascii="Arial" w:hAnsi="Arial" w:cs="Arial"/>
                <w:b/>
                <w:bCs/>
                <w:sz w:val="20"/>
                <w:szCs w:val="20"/>
              </w:rPr>
              <w:t xml:space="preserve">Artículo 3. </w:t>
            </w:r>
          </w:p>
          <w:p w14:paraId="7DD9C4C2" w14:textId="77777777" w:rsidR="003A5AF5" w:rsidRPr="00D6141D" w:rsidRDefault="003A5AF5" w:rsidP="00A11BBA">
            <w:pPr>
              <w:spacing w:line="276" w:lineRule="auto"/>
              <w:jc w:val="both"/>
              <w:rPr>
                <w:rFonts w:ascii="Arial" w:hAnsi="Arial" w:cs="Arial"/>
                <w:b/>
                <w:bCs/>
                <w:sz w:val="20"/>
                <w:szCs w:val="20"/>
              </w:rPr>
            </w:pPr>
          </w:p>
          <w:p w14:paraId="5152E9FB" w14:textId="54D51ABD" w:rsidR="003A5AF5" w:rsidRPr="00D6141D" w:rsidRDefault="003A5AF5" w:rsidP="00A11BBA">
            <w:pPr>
              <w:spacing w:line="276" w:lineRule="auto"/>
              <w:jc w:val="both"/>
              <w:rPr>
                <w:rFonts w:ascii="Arial" w:hAnsi="Arial" w:cs="Arial"/>
                <w:sz w:val="20"/>
                <w:szCs w:val="20"/>
              </w:rPr>
            </w:pPr>
            <w:r w:rsidRPr="00D6141D">
              <w:rPr>
                <w:rFonts w:ascii="Arial" w:hAnsi="Arial" w:cs="Arial"/>
                <w:sz w:val="20"/>
                <w:szCs w:val="20"/>
              </w:rPr>
              <w:t>1. Los procedimientos previstos en este Reglamento, tienen por finalidad determinar la existencia de faltas a la normatividad electoral y la responsabilidad administrativa, mediante la valoración de los medios de prueba que aporten las partes y, en su caso, de aquéllos que se obtengan de la investigación que realice la autoridad electoral.</w:t>
            </w:r>
          </w:p>
          <w:p w14:paraId="25FDAAB5" w14:textId="4B9AC24E" w:rsidR="00DE685A" w:rsidRPr="00D6141D" w:rsidRDefault="00DE685A" w:rsidP="00A11BBA">
            <w:pPr>
              <w:spacing w:line="276" w:lineRule="auto"/>
              <w:jc w:val="both"/>
              <w:rPr>
                <w:rFonts w:ascii="Arial" w:eastAsia="Calibri" w:hAnsi="Arial" w:cs="Arial"/>
                <w:b/>
                <w:sz w:val="20"/>
                <w:szCs w:val="20"/>
              </w:rPr>
            </w:pPr>
            <w:r w:rsidRPr="00D6141D">
              <w:rPr>
                <w:rFonts w:ascii="Arial" w:hAnsi="Arial" w:cs="Arial"/>
                <w:sz w:val="20"/>
                <w:szCs w:val="20"/>
              </w:rPr>
              <w:t xml:space="preserve"> </w:t>
            </w:r>
          </w:p>
        </w:tc>
      </w:tr>
      <w:tr w:rsidR="00B247AE" w:rsidRPr="00A11BBA" w14:paraId="12B4DEC4" w14:textId="77777777" w:rsidTr="00897F3D">
        <w:tc>
          <w:tcPr>
            <w:tcW w:w="6658" w:type="dxa"/>
          </w:tcPr>
          <w:p w14:paraId="762F469B" w14:textId="77777777" w:rsidR="00A11BBA" w:rsidRPr="00D6141D" w:rsidRDefault="00A11BBA" w:rsidP="00A11BBA">
            <w:pPr>
              <w:pStyle w:val="Sinespaciado"/>
              <w:spacing w:line="276" w:lineRule="auto"/>
              <w:jc w:val="both"/>
              <w:rPr>
                <w:rFonts w:ascii="Arial" w:hAnsi="Arial" w:cs="Arial"/>
                <w:b/>
                <w:bCs/>
                <w:sz w:val="20"/>
                <w:szCs w:val="20"/>
              </w:rPr>
            </w:pPr>
            <w:r w:rsidRPr="00D6141D">
              <w:rPr>
                <w:rFonts w:ascii="Arial" w:hAnsi="Arial" w:cs="Arial"/>
                <w:b/>
                <w:bCs/>
                <w:sz w:val="20"/>
                <w:szCs w:val="20"/>
              </w:rPr>
              <w:t xml:space="preserve">Artículo 5. </w:t>
            </w:r>
          </w:p>
          <w:p w14:paraId="44807206" w14:textId="77777777" w:rsidR="00A11BBA" w:rsidRPr="00D6141D" w:rsidRDefault="00A11BBA" w:rsidP="00A11BBA">
            <w:pPr>
              <w:pStyle w:val="Sinespaciado"/>
              <w:spacing w:line="276" w:lineRule="auto"/>
              <w:jc w:val="both"/>
              <w:rPr>
                <w:rFonts w:ascii="Arial" w:hAnsi="Arial" w:cs="Arial"/>
                <w:sz w:val="20"/>
                <w:szCs w:val="20"/>
              </w:rPr>
            </w:pPr>
          </w:p>
          <w:p w14:paraId="2710D6A7" w14:textId="77777777" w:rsidR="00A11BBA"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1. Para los efectos del presente Reglamento, se entenderá: </w:t>
            </w:r>
          </w:p>
          <w:p w14:paraId="55C9D2EA" w14:textId="77777777" w:rsidR="00A11BBA" w:rsidRPr="00D6141D" w:rsidRDefault="00A11BBA" w:rsidP="00A11BBA">
            <w:pPr>
              <w:pStyle w:val="Sinespaciado"/>
              <w:spacing w:line="276" w:lineRule="auto"/>
              <w:jc w:val="both"/>
              <w:rPr>
                <w:rFonts w:ascii="Arial" w:hAnsi="Arial" w:cs="Arial"/>
                <w:sz w:val="20"/>
                <w:szCs w:val="20"/>
              </w:rPr>
            </w:pPr>
          </w:p>
          <w:p w14:paraId="22BFCFC6" w14:textId="77777777" w:rsidR="00A11BBA"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I. En lo relativo a los ordenamientos jurídicos, por: </w:t>
            </w:r>
          </w:p>
          <w:p w14:paraId="4D6925AE" w14:textId="77777777" w:rsidR="007C0C57" w:rsidRPr="00D6141D" w:rsidRDefault="007C0C57" w:rsidP="00A11BBA">
            <w:pPr>
              <w:pStyle w:val="Sinespaciado"/>
              <w:spacing w:line="276" w:lineRule="auto"/>
              <w:jc w:val="both"/>
              <w:rPr>
                <w:rFonts w:ascii="Arial" w:hAnsi="Arial" w:cs="Arial"/>
                <w:sz w:val="20"/>
                <w:szCs w:val="20"/>
              </w:rPr>
            </w:pPr>
          </w:p>
          <w:p w14:paraId="602AEF22" w14:textId="5032F18A" w:rsidR="00A11BBA"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a) Constitución: Constitución Política de los Estados Unidos Mexicanos.</w:t>
            </w:r>
          </w:p>
          <w:p w14:paraId="0C55CE5B" w14:textId="77777777" w:rsidR="00A11BBA"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b) Código: el Código Electoral del Estado de Jalisco; y,</w:t>
            </w:r>
          </w:p>
          <w:p w14:paraId="10E65B21" w14:textId="77777777" w:rsidR="00A11BBA"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c) Reglamento: el Reglamento de Quejas y Denuncias del Instituto Electoral y de Participación Ciudadana del Estado de Jalisco. </w:t>
            </w:r>
          </w:p>
          <w:p w14:paraId="11B060A3" w14:textId="680E858F" w:rsidR="00B247AE"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d) Ley de Acceso: Ley de Acceso de las Mujeres a una Vida Libre de Violencia del Estado de Jalisco.</w:t>
            </w:r>
          </w:p>
          <w:p w14:paraId="1026AAD9" w14:textId="77777777" w:rsidR="00A11BBA" w:rsidRPr="00D6141D" w:rsidRDefault="00A11BBA" w:rsidP="00A11BBA">
            <w:pPr>
              <w:pStyle w:val="Sinespaciado"/>
              <w:spacing w:line="276" w:lineRule="auto"/>
              <w:jc w:val="both"/>
              <w:rPr>
                <w:rFonts w:ascii="Arial" w:hAnsi="Arial" w:cs="Arial"/>
                <w:sz w:val="20"/>
                <w:szCs w:val="20"/>
              </w:rPr>
            </w:pPr>
          </w:p>
          <w:p w14:paraId="43EF5520" w14:textId="77777777" w:rsidR="00A11BBA"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lastRenderedPageBreak/>
              <w:t>II. En cuanto al Instituto Electoral y de Participación Ciudadana del Estado de Jalisco y sus órganos, se entenderá por:</w:t>
            </w:r>
          </w:p>
          <w:p w14:paraId="74DCBC76" w14:textId="77777777" w:rsidR="00A11BBA" w:rsidRPr="00D6141D" w:rsidRDefault="00A11BBA" w:rsidP="00A11BBA">
            <w:pPr>
              <w:pStyle w:val="Sinespaciado"/>
              <w:spacing w:line="276" w:lineRule="auto"/>
              <w:jc w:val="both"/>
              <w:rPr>
                <w:rFonts w:ascii="Arial" w:hAnsi="Arial" w:cs="Arial"/>
                <w:sz w:val="20"/>
                <w:szCs w:val="20"/>
              </w:rPr>
            </w:pPr>
          </w:p>
          <w:p w14:paraId="7F02ED85" w14:textId="77777777" w:rsidR="00A11BBA"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a) Instituto: el Instituto Electoral y de Participación Ciudadana del Estado de Jalisco; </w:t>
            </w:r>
          </w:p>
          <w:p w14:paraId="676631A8" w14:textId="77777777" w:rsidR="00A11BBA"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b) Comisión: la Comisión de Quejas y Denuncias; y, </w:t>
            </w:r>
          </w:p>
          <w:p w14:paraId="5D9D1E4F" w14:textId="77777777" w:rsidR="00A11BBA"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c) Secretaría: la Secretaría Ejecutiva. </w:t>
            </w:r>
          </w:p>
          <w:p w14:paraId="6C30474F" w14:textId="77777777" w:rsidR="007C1837"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d)Órganos: Se entenderán como órganos desconcentrados del instituto, los consejos distritales y municipales. </w:t>
            </w:r>
          </w:p>
          <w:p w14:paraId="2D4FA616" w14:textId="77777777" w:rsidR="007C1837" w:rsidRPr="00D6141D" w:rsidRDefault="007C1837" w:rsidP="00A11BBA">
            <w:pPr>
              <w:pStyle w:val="Sinespaciado"/>
              <w:spacing w:line="276" w:lineRule="auto"/>
              <w:jc w:val="both"/>
              <w:rPr>
                <w:rFonts w:ascii="Arial" w:hAnsi="Arial" w:cs="Arial"/>
                <w:sz w:val="20"/>
                <w:szCs w:val="20"/>
              </w:rPr>
            </w:pPr>
          </w:p>
          <w:p w14:paraId="07C118C3"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III. En cuanto a los conceptos: </w:t>
            </w:r>
          </w:p>
          <w:p w14:paraId="3FFA45BC" w14:textId="77777777" w:rsidR="00F14B18" w:rsidRPr="00D6141D" w:rsidRDefault="00F14B18" w:rsidP="00A11BBA">
            <w:pPr>
              <w:pStyle w:val="Sinespaciado"/>
              <w:spacing w:line="276" w:lineRule="auto"/>
              <w:jc w:val="both"/>
              <w:rPr>
                <w:rFonts w:ascii="Arial" w:hAnsi="Arial" w:cs="Arial"/>
                <w:sz w:val="20"/>
                <w:szCs w:val="20"/>
              </w:rPr>
            </w:pPr>
          </w:p>
          <w:p w14:paraId="0C6DDE75"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a) Procedimiento sancionador ordinario: es aquel que se inicia de oficio o a petición de parte, por escrito, de manera verbal o por algún medio de comunicación ante algún órgano del Instituto, por presuntas violaciones a la normatividad electoral, bajo los supuestos que establece la propia legislación. </w:t>
            </w:r>
          </w:p>
          <w:p w14:paraId="74891B4D"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b) Procedimiento sancionador especial: procedimiento aplicable para los casos de violaciones a lo establecido en el segundo párrafo del artículo 116-bis de la Constitución Política de la entidad; que contravengan las normas sobre propaganda política o electoral establecidas en el Código; o que constituyan actos anticipados de precampaña o campaña, o en los casos relativos a violencia política contra las mujeres </w:t>
            </w:r>
            <w:proofErr w:type="gramStart"/>
            <w:r w:rsidRPr="00D6141D">
              <w:rPr>
                <w:rFonts w:ascii="Arial" w:hAnsi="Arial" w:cs="Arial"/>
                <w:sz w:val="20"/>
                <w:szCs w:val="20"/>
              </w:rPr>
              <w:t>en razón de</w:t>
            </w:r>
            <w:proofErr w:type="gramEnd"/>
            <w:r w:rsidRPr="00D6141D">
              <w:rPr>
                <w:rFonts w:ascii="Arial" w:hAnsi="Arial" w:cs="Arial"/>
                <w:sz w:val="20"/>
                <w:szCs w:val="20"/>
              </w:rPr>
              <w:t xml:space="preserve"> género.</w:t>
            </w:r>
          </w:p>
          <w:p w14:paraId="34BF2C80"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c) Queja o denuncia: acto por medio del cual se hacen del conocimiento del Instituto los hechos presuntamente violatorios de la normatividad electoral local; </w:t>
            </w:r>
          </w:p>
          <w:p w14:paraId="1762DC36"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d) Parte quejosa o denunciante: sujeto que formula la queja o denuncia;</w:t>
            </w:r>
          </w:p>
          <w:p w14:paraId="382B0B76" w14:textId="46A6D31E" w:rsidR="00A11BBA" w:rsidRPr="00D6141D" w:rsidRDefault="00A11BBA" w:rsidP="00A11BBA">
            <w:pPr>
              <w:pStyle w:val="Sinespaciado"/>
              <w:spacing w:line="276" w:lineRule="auto"/>
              <w:jc w:val="both"/>
              <w:rPr>
                <w:rFonts w:ascii="Arial" w:hAnsi="Arial" w:cs="Arial"/>
                <w:b/>
                <w:bCs/>
                <w:sz w:val="20"/>
                <w:szCs w:val="20"/>
              </w:rPr>
            </w:pPr>
            <w:r w:rsidRPr="00D6141D">
              <w:rPr>
                <w:rFonts w:ascii="Arial" w:hAnsi="Arial" w:cs="Arial"/>
                <w:sz w:val="20"/>
                <w:szCs w:val="20"/>
              </w:rPr>
              <w:t>e) Parte denunciada: sujeto que se señale como probable responsable de los actos u omisiones motivo del procedimiento;</w:t>
            </w:r>
          </w:p>
          <w:p w14:paraId="11ADB9D4"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f) Oficialía de partes virtual: Plataforma digital que permitirá la recepción de documentos, y dar de alta trámites y el seguimiento de </w:t>
            </w:r>
            <w:proofErr w:type="gramStart"/>
            <w:r w:rsidRPr="00D6141D">
              <w:rPr>
                <w:rFonts w:ascii="Arial" w:hAnsi="Arial" w:cs="Arial"/>
                <w:sz w:val="20"/>
                <w:szCs w:val="20"/>
              </w:rPr>
              <w:t>los mismos</w:t>
            </w:r>
            <w:proofErr w:type="gramEnd"/>
            <w:r w:rsidRPr="00D6141D">
              <w:rPr>
                <w:rFonts w:ascii="Arial" w:hAnsi="Arial" w:cs="Arial"/>
                <w:sz w:val="20"/>
                <w:szCs w:val="20"/>
              </w:rPr>
              <w:t>.</w:t>
            </w:r>
          </w:p>
          <w:p w14:paraId="03DED53C"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g) Sistema de notificaciones electrónicas: Este procedimiento se establece para realizar notificaciones por medios electrónicos, es decir, </w:t>
            </w:r>
            <w:r w:rsidRPr="00D6141D">
              <w:rPr>
                <w:rFonts w:ascii="Arial" w:hAnsi="Arial" w:cs="Arial"/>
                <w:sz w:val="20"/>
                <w:szCs w:val="20"/>
              </w:rPr>
              <w:lastRenderedPageBreak/>
              <w:t xml:space="preserve">dicho sistema de notificaciones, automáticamente genera un aviso de notificación y una constancia de envío y acuse de recibo de la comunicación procesal practicada. </w:t>
            </w:r>
          </w:p>
          <w:p w14:paraId="25043B9E"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h) Audiencia virtual: Aquella celebrada de manera remota. Se realiza a través de los medios tecnológicos que proporcionan comunicación bidireccional o multidireccional de manera directa, fluida y flexible de audio, imagen, video y datos de alta calidad, permitiendo una interacción simultánea y en tiempo real, entre las personas involucradas en su celebración, las personas funcionarias del Instituto y las partes, en los lugares de transmisión y recepción indicados para tales fines.</w:t>
            </w:r>
          </w:p>
          <w:p w14:paraId="3A1433FA"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i) Proyecto: proyecto de resolución. </w:t>
            </w:r>
          </w:p>
          <w:p w14:paraId="05D5D44D"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j) Candidata o candidato: es aquella persona que es registrada ante el Instituto para participar en una elección constitucional, incluyendo quien se postula en forma independiente a un partido político. </w:t>
            </w:r>
          </w:p>
          <w:p w14:paraId="2B9AFC5B"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k) Precandidata o precandidato: es la persona que pretende ser postulada por un partido político o coalición a una candidatura para contender por un cargo de elección popular, conforme al Código y a los estatutos de un partido político, en el proceso de selección interna de candidatos a cargos de elección popular. </w:t>
            </w:r>
          </w:p>
          <w:p w14:paraId="0AD060D2"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l) Aspirante: es quien externa de manera pública su intención de contender por un cargo de elección popular. </w:t>
            </w:r>
          </w:p>
          <w:p w14:paraId="00158D38"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m) Violencia política contra las mujeres en razón de género: De conformidad con el artículo 2, párrafo 1, fracción XXI del Código,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Se entenderá que las acciones u omisiones se basan en elementos de género, cuando se dirijan a una </w:t>
            </w:r>
            <w:r w:rsidRPr="00D6141D">
              <w:rPr>
                <w:rFonts w:ascii="Arial" w:hAnsi="Arial" w:cs="Arial"/>
                <w:sz w:val="20"/>
                <w:szCs w:val="20"/>
              </w:rPr>
              <w:lastRenderedPageBreak/>
              <w:t xml:space="preserve">mujer por ser mujer; le afecten desproporcionadamente o tengan un impacto diferenciado en ella. Puede manifestarse en cualquiera de los tipos de violencia reconocidos en la Ley de Acceso y en el artículo 446 Bis del código,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 </w:t>
            </w:r>
          </w:p>
          <w:p w14:paraId="416F4C83"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n) Análisis de riesgo: Aquél que identifica la proximidad real, actual, inmediato, inminente posible o probable de que una persona sea dañada en su vida, salud, familia, personas cercanas, integridad física, mental o emocional, patrimonio y/o cualquier otro derecho, incluyendo los políticos y electorales, atendiendo a causas o condiciones vinculadas al género.</w:t>
            </w:r>
          </w:p>
          <w:p w14:paraId="33BF21CE" w14:textId="65D71E05" w:rsidR="00B247AE"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o) Estereotipo de género: Preconcepción de atributos, conductas o características poseídas o papeles que corresponden, </w:t>
            </w:r>
            <w:proofErr w:type="gramStart"/>
            <w:r w:rsidRPr="00D6141D">
              <w:rPr>
                <w:rFonts w:ascii="Arial" w:hAnsi="Arial" w:cs="Arial"/>
                <w:sz w:val="20"/>
                <w:szCs w:val="20"/>
              </w:rPr>
              <w:t>de acuerdo a</w:t>
            </w:r>
            <w:proofErr w:type="gramEnd"/>
            <w:r w:rsidRPr="00D6141D">
              <w:rPr>
                <w:rFonts w:ascii="Arial" w:hAnsi="Arial" w:cs="Arial"/>
                <w:sz w:val="20"/>
                <w:szCs w:val="20"/>
              </w:rPr>
              <w:t xml:space="preserve"> lo que deben ser y hacer hombres y mujeres.</w:t>
            </w:r>
          </w:p>
          <w:p w14:paraId="21488E9F"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Funcionan como modelos de conducta y que es posible asociar a la subordinación histórica de las mujeres, debido a prácticas basadas en estereotipos de género socialmente dominantes y persistentes. </w:t>
            </w:r>
          </w:p>
          <w:p w14:paraId="0B65B9FA"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p) Grupo en situación de discriminación y subrepresentado: Son los que se determinan en el artículo 15 </w:t>
            </w:r>
            <w:proofErr w:type="spellStart"/>
            <w:r w:rsidRPr="00D6141D">
              <w:rPr>
                <w:rFonts w:ascii="Arial" w:hAnsi="Arial" w:cs="Arial"/>
                <w:sz w:val="20"/>
                <w:szCs w:val="20"/>
              </w:rPr>
              <w:t>Octavus</w:t>
            </w:r>
            <w:proofErr w:type="spellEnd"/>
            <w:r w:rsidRPr="00D6141D">
              <w:rPr>
                <w:rFonts w:ascii="Arial" w:hAnsi="Arial" w:cs="Arial"/>
                <w:sz w:val="20"/>
                <w:szCs w:val="20"/>
              </w:rPr>
              <w:t xml:space="preserve">, de la Ley Federal para Prevenir y Eliminar la Discriminación. </w:t>
            </w:r>
          </w:p>
          <w:p w14:paraId="04289F74" w14:textId="2579E68E"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q) Medidas cautelares: Actos procedimentales que determine el Consejo o la Comisión, a solicitud de parte o de manera oficiosa, con el fin de lograr el cese de los actos o hechos que pudieran constituir una infracción a la normatividad electoral, con el objeto de evitar la producción de daños irreparables, la afectación de los principios que rigen los procesos electorales o la vulneración de los bienes jurídicos tutelados por las disposiciones contenidas en la normatividad electoral, incluyendo la violencia política contra las mujeres en razón de género, hasta en tanto se emita la resolución definitiva. </w:t>
            </w:r>
          </w:p>
          <w:p w14:paraId="1A762C67"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lastRenderedPageBreak/>
              <w:t xml:space="preserve">r) Medidas de Protección: Actos de urgente aplicación en función del interés superior de la víctima y son fundamentalmente precautorias. Deberán otorgarse inmediatamente por la autoridad competente, que conozca de hechos probablemente constitutivos de infracciones o delitos que impliquen violencia política contra las mujeres </w:t>
            </w:r>
            <w:proofErr w:type="gramStart"/>
            <w:r w:rsidRPr="00D6141D">
              <w:rPr>
                <w:rFonts w:ascii="Arial" w:hAnsi="Arial" w:cs="Arial"/>
                <w:sz w:val="20"/>
                <w:szCs w:val="20"/>
              </w:rPr>
              <w:t>en razón de</w:t>
            </w:r>
            <w:proofErr w:type="gramEnd"/>
            <w:r w:rsidRPr="00D6141D">
              <w:rPr>
                <w:rFonts w:ascii="Arial" w:hAnsi="Arial" w:cs="Arial"/>
                <w:sz w:val="20"/>
                <w:szCs w:val="20"/>
              </w:rPr>
              <w:t xml:space="preserve"> género.</w:t>
            </w:r>
          </w:p>
          <w:p w14:paraId="142DDAAA" w14:textId="42923453" w:rsidR="00A11BBA"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s) Perspectiva de género: Visión analítica, metodología y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14:paraId="33E32C68"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 xml:space="preserve">t) Plan de seguridad: Documento a través del cual, a partir del análisis de riesgo que se haga a la víctima, se identifican, previenen y mitigan riesgos futuros a través de la implementación de estrategias para su seguridad y su atención integral. </w:t>
            </w:r>
          </w:p>
          <w:p w14:paraId="72E1260E" w14:textId="77777777" w:rsidR="00F14B18"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u) Tutela preventiva: Medida de prevención que las autoridades deben adoptar para garantizar la más amplía protección, a fin de evitar que determinada conducta ilícita o probablemente ilícita continúe o se repita y con ello se lesione el interés original, considerando que existen valores, principios y derechos que requieren de una protección específica, oportuna, real, adecuada y efectiva.</w:t>
            </w:r>
          </w:p>
          <w:p w14:paraId="678BA18C" w14:textId="427DE424" w:rsidR="00A11BBA" w:rsidRPr="00D6141D" w:rsidRDefault="00A11BBA" w:rsidP="00A11BBA">
            <w:pPr>
              <w:pStyle w:val="Sinespaciado"/>
              <w:spacing w:line="276" w:lineRule="auto"/>
              <w:jc w:val="both"/>
              <w:rPr>
                <w:rFonts w:ascii="Arial" w:hAnsi="Arial" w:cs="Arial"/>
                <w:sz w:val="20"/>
                <w:szCs w:val="20"/>
              </w:rPr>
            </w:pPr>
            <w:r w:rsidRPr="00D6141D">
              <w:rPr>
                <w:rFonts w:ascii="Arial" w:hAnsi="Arial" w:cs="Arial"/>
                <w:sz w:val="20"/>
                <w:szCs w:val="20"/>
              </w:rPr>
              <w:t>v) Víctima: Aquellas personas físicas que pudieran estar sufriendo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w:t>
            </w:r>
          </w:p>
          <w:p w14:paraId="5891987C" w14:textId="7D3CA242" w:rsidR="00B247AE" w:rsidRPr="00D6141D" w:rsidRDefault="00B247AE" w:rsidP="00A11BBA">
            <w:pPr>
              <w:pStyle w:val="Sinespaciado"/>
              <w:spacing w:line="276" w:lineRule="auto"/>
              <w:jc w:val="both"/>
              <w:rPr>
                <w:rFonts w:ascii="Arial" w:hAnsi="Arial" w:cs="Arial"/>
                <w:b/>
                <w:bCs/>
                <w:sz w:val="20"/>
                <w:szCs w:val="20"/>
              </w:rPr>
            </w:pPr>
          </w:p>
        </w:tc>
        <w:tc>
          <w:tcPr>
            <w:tcW w:w="6574" w:type="dxa"/>
          </w:tcPr>
          <w:p w14:paraId="5ADE5BC0" w14:textId="77777777" w:rsidR="005048FD" w:rsidRPr="00D6141D" w:rsidRDefault="005048FD" w:rsidP="005048FD">
            <w:pPr>
              <w:pStyle w:val="Sinespaciado"/>
              <w:spacing w:line="276" w:lineRule="auto"/>
              <w:jc w:val="both"/>
              <w:rPr>
                <w:rFonts w:ascii="Arial" w:hAnsi="Arial" w:cs="Arial"/>
                <w:b/>
                <w:bCs/>
                <w:sz w:val="20"/>
                <w:szCs w:val="20"/>
              </w:rPr>
            </w:pPr>
            <w:r w:rsidRPr="00D6141D">
              <w:rPr>
                <w:rFonts w:ascii="Arial" w:hAnsi="Arial" w:cs="Arial"/>
                <w:b/>
                <w:bCs/>
                <w:sz w:val="20"/>
                <w:szCs w:val="20"/>
              </w:rPr>
              <w:lastRenderedPageBreak/>
              <w:t xml:space="preserve">Artículo 5. </w:t>
            </w:r>
          </w:p>
          <w:p w14:paraId="1F72AE97" w14:textId="77777777" w:rsidR="005048FD" w:rsidRPr="00D6141D" w:rsidRDefault="005048FD" w:rsidP="005048FD">
            <w:pPr>
              <w:pStyle w:val="Sinespaciado"/>
              <w:spacing w:line="276" w:lineRule="auto"/>
              <w:jc w:val="both"/>
              <w:rPr>
                <w:rFonts w:ascii="Arial" w:hAnsi="Arial" w:cs="Arial"/>
                <w:sz w:val="20"/>
                <w:szCs w:val="20"/>
              </w:rPr>
            </w:pPr>
          </w:p>
          <w:p w14:paraId="0DA0A888"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1. Para los efectos del presente Reglamento, se entenderá: </w:t>
            </w:r>
          </w:p>
          <w:p w14:paraId="676E1C6E" w14:textId="77777777" w:rsidR="005048FD" w:rsidRPr="00D6141D" w:rsidRDefault="005048FD" w:rsidP="005048FD">
            <w:pPr>
              <w:pStyle w:val="Sinespaciado"/>
              <w:spacing w:line="276" w:lineRule="auto"/>
              <w:jc w:val="both"/>
              <w:rPr>
                <w:rFonts w:ascii="Arial" w:hAnsi="Arial" w:cs="Arial"/>
                <w:sz w:val="20"/>
                <w:szCs w:val="20"/>
              </w:rPr>
            </w:pPr>
          </w:p>
          <w:p w14:paraId="06459C8E"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I. En lo relativo a los ordenamientos jurídicos, por: </w:t>
            </w:r>
          </w:p>
          <w:p w14:paraId="379398FA" w14:textId="77777777" w:rsidR="005048FD" w:rsidRPr="00D6141D" w:rsidRDefault="005048FD" w:rsidP="005048FD">
            <w:pPr>
              <w:pStyle w:val="Sinespaciado"/>
              <w:spacing w:line="276" w:lineRule="auto"/>
              <w:jc w:val="both"/>
              <w:rPr>
                <w:rFonts w:ascii="Arial" w:hAnsi="Arial" w:cs="Arial"/>
                <w:sz w:val="20"/>
                <w:szCs w:val="20"/>
              </w:rPr>
            </w:pPr>
          </w:p>
          <w:p w14:paraId="34607ACC"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a) Constitución: Constitución Política de los Estados Unidos Mexicanos.</w:t>
            </w:r>
          </w:p>
          <w:p w14:paraId="7453C4FD"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b) Código: el Código Electoral del Estado de Jalisco; y,</w:t>
            </w:r>
          </w:p>
          <w:p w14:paraId="4CB918CB"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c) Reglamento: el Reglamento de Quejas y Denuncias del Instituto Electoral y de Participación Ciudadana del Estado de Jalisco. </w:t>
            </w:r>
          </w:p>
          <w:p w14:paraId="31843C68" w14:textId="77777777" w:rsidR="005048FD" w:rsidRPr="00D6141D" w:rsidRDefault="005048FD" w:rsidP="005048FD">
            <w:pPr>
              <w:pStyle w:val="Sinespaciado"/>
              <w:spacing w:line="276" w:lineRule="auto"/>
              <w:jc w:val="both"/>
              <w:rPr>
                <w:rFonts w:ascii="Arial" w:hAnsi="Arial" w:cs="Arial"/>
                <w:sz w:val="20"/>
                <w:szCs w:val="20"/>
              </w:rPr>
            </w:pPr>
          </w:p>
          <w:p w14:paraId="390E3BEC"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II. En cuanto al Instituto Electoral y de Participación Ciudadana del Estado de Jalisco y sus órganos, se entenderá por:</w:t>
            </w:r>
          </w:p>
          <w:p w14:paraId="721D93EA" w14:textId="77777777" w:rsidR="005048FD" w:rsidRPr="00D6141D" w:rsidRDefault="005048FD" w:rsidP="005048FD">
            <w:pPr>
              <w:pStyle w:val="Sinespaciado"/>
              <w:spacing w:line="276" w:lineRule="auto"/>
              <w:jc w:val="both"/>
              <w:rPr>
                <w:rFonts w:ascii="Arial" w:hAnsi="Arial" w:cs="Arial"/>
                <w:sz w:val="20"/>
                <w:szCs w:val="20"/>
              </w:rPr>
            </w:pPr>
          </w:p>
          <w:p w14:paraId="73C06746"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lastRenderedPageBreak/>
              <w:t xml:space="preserve">a) Instituto: el Instituto Electoral y de Participación Ciudadana del Estado de Jalisco; </w:t>
            </w:r>
          </w:p>
          <w:p w14:paraId="3746DE98"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b) Comisión: la Comisión de Quejas y Denuncias; y, </w:t>
            </w:r>
          </w:p>
          <w:p w14:paraId="34D631EE"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c) Secretaría: la Secretaría Ejecutiva. </w:t>
            </w:r>
          </w:p>
          <w:p w14:paraId="18464098"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d)Órganos: Se entenderán como órganos desconcentrados del instituto, los consejos distritales y municipales. </w:t>
            </w:r>
          </w:p>
          <w:p w14:paraId="5A28C57C" w14:textId="77777777" w:rsidR="005048FD" w:rsidRPr="00D6141D" w:rsidRDefault="005048FD" w:rsidP="005048FD">
            <w:pPr>
              <w:pStyle w:val="Sinespaciado"/>
              <w:spacing w:line="276" w:lineRule="auto"/>
              <w:jc w:val="both"/>
              <w:rPr>
                <w:rFonts w:ascii="Arial" w:hAnsi="Arial" w:cs="Arial"/>
                <w:sz w:val="20"/>
                <w:szCs w:val="20"/>
              </w:rPr>
            </w:pPr>
          </w:p>
          <w:p w14:paraId="692CFDB6"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III. En cuanto a los conceptos: </w:t>
            </w:r>
          </w:p>
          <w:p w14:paraId="7E0E1CE2" w14:textId="77777777" w:rsidR="005048FD" w:rsidRPr="00D6141D" w:rsidRDefault="005048FD" w:rsidP="005048FD">
            <w:pPr>
              <w:pStyle w:val="Sinespaciado"/>
              <w:spacing w:line="276" w:lineRule="auto"/>
              <w:jc w:val="both"/>
              <w:rPr>
                <w:rFonts w:ascii="Arial" w:hAnsi="Arial" w:cs="Arial"/>
                <w:sz w:val="20"/>
                <w:szCs w:val="20"/>
              </w:rPr>
            </w:pPr>
          </w:p>
          <w:p w14:paraId="7E770E46"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a) Procedimiento sancionador ordinario: es aquel que se inicia de oficio o a petición de parte, por escrito, de manera verbal o por algún medio de comunicación ante algún órgano del Instituto, por presuntas violaciones a la normatividad electoral, bajo los supuestos que establece la propia legislación. </w:t>
            </w:r>
          </w:p>
          <w:p w14:paraId="386B7D28" w14:textId="7CF55D24"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b) Procedimiento sancionador especial: procedimiento aplicable para los casos de violaciones a lo establecido en el segundo párrafo del artículo 116-bis de la Constitución Política de la entidad; que contravengan las normas sobre propaganda política o electoral establecidas en el Código; o que constituyan actos anticipados de precampaña o campaña.</w:t>
            </w:r>
          </w:p>
          <w:p w14:paraId="0EAD2666"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c) Queja o denuncia: acto por medio del cual se hacen del conocimiento del Instituto los hechos presuntamente violatorios de la normatividad electoral local; </w:t>
            </w:r>
          </w:p>
          <w:p w14:paraId="23A6D9BE"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d) Parte quejosa o denunciante: sujeto que formula la queja o denuncia;</w:t>
            </w:r>
          </w:p>
          <w:p w14:paraId="52FC1AD3" w14:textId="77777777" w:rsidR="005048FD" w:rsidRPr="00D6141D" w:rsidRDefault="005048FD" w:rsidP="005048FD">
            <w:pPr>
              <w:pStyle w:val="Sinespaciado"/>
              <w:spacing w:line="276" w:lineRule="auto"/>
              <w:jc w:val="both"/>
              <w:rPr>
                <w:rFonts w:ascii="Arial" w:hAnsi="Arial" w:cs="Arial"/>
                <w:b/>
                <w:bCs/>
                <w:sz w:val="20"/>
                <w:szCs w:val="20"/>
              </w:rPr>
            </w:pPr>
            <w:r w:rsidRPr="00D6141D">
              <w:rPr>
                <w:rFonts w:ascii="Arial" w:hAnsi="Arial" w:cs="Arial"/>
                <w:sz w:val="20"/>
                <w:szCs w:val="20"/>
              </w:rPr>
              <w:t>e) Parte denunciada: sujeto que se señale como probable responsable de los actos u omisiones motivo del procedimiento;</w:t>
            </w:r>
          </w:p>
          <w:p w14:paraId="2C9DF176"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f) Oficialía de partes virtual: Plataforma digital que permitirá la recepción de documentos, y dar de alta trámites y el seguimiento de </w:t>
            </w:r>
            <w:proofErr w:type="gramStart"/>
            <w:r w:rsidRPr="00D6141D">
              <w:rPr>
                <w:rFonts w:ascii="Arial" w:hAnsi="Arial" w:cs="Arial"/>
                <w:sz w:val="20"/>
                <w:szCs w:val="20"/>
              </w:rPr>
              <w:t>los mismos</w:t>
            </w:r>
            <w:proofErr w:type="gramEnd"/>
            <w:r w:rsidRPr="00D6141D">
              <w:rPr>
                <w:rFonts w:ascii="Arial" w:hAnsi="Arial" w:cs="Arial"/>
                <w:sz w:val="20"/>
                <w:szCs w:val="20"/>
              </w:rPr>
              <w:t>.</w:t>
            </w:r>
          </w:p>
          <w:p w14:paraId="4245096B"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g) Sistema de notificaciones electrónicas: Este procedimiento se establece para realizar notificaciones por medios electrónicos, es decir, dicho sistema de </w:t>
            </w:r>
            <w:proofErr w:type="gramStart"/>
            <w:r w:rsidRPr="00D6141D">
              <w:rPr>
                <w:rFonts w:ascii="Arial" w:hAnsi="Arial" w:cs="Arial"/>
                <w:sz w:val="20"/>
                <w:szCs w:val="20"/>
              </w:rPr>
              <w:t>notificaciones,</w:t>
            </w:r>
            <w:proofErr w:type="gramEnd"/>
            <w:r w:rsidRPr="00D6141D">
              <w:rPr>
                <w:rFonts w:ascii="Arial" w:hAnsi="Arial" w:cs="Arial"/>
                <w:sz w:val="20"/>
                <w:szCs w:val="20"/>
              </w:rPr>
              <w:t xml:space="preserve"> automáticamente genera un aviso de notificación y una constancia de envío y acuse de recibo de la comunicación procesal practicada. </w:t>
            </w:r>
          </w:p>
          <w:p w14:paraId="6D8727A2"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lastRenderedPageBreak/>
              <w:t>h) Audiencia virtual: Aquella celebrada de manera remota. Se realiza a través de los medios tecnológicos que proporcionan comunicación bidireccional o multidireccional de manera directa, fluida y flexible de audio, imagen, video y datos de alta calidad, permitiendo una interacción simultánea y en tiempo real, entre las personas involucradas en su celebración, las personas funcionarias del Instituto y las partes, en los lugares de transmisión y recepción indicados para tales fines.</w:t>
            </w:r>
          </w:p>
          <w:p w14:paraId="750862EA"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i) Proyecto: proyecto de resolución. </w:t>
            </w:r>
          </w:p>
          <w:p w14:paraId="5DC7AEF4"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j) Candidata o candidato: es aquella persona que es registrada ante el Instituto para participar en una elección constitucional, incluyendo quien se postula en forma independiente a un partido político. </w:t>
            </w:r>
          </w:p>
          <w:p w14:paraId="508FC1E6"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k) Precandidata o precandidato: es la persona que pretende ser postulada por un partido político o coalición a una candidatura para contender por un cargo de elección popular, conforme al Código y a los estatutos de un partido político, en el proceso de selección interna de candidatos a cargos de elección popular. </w:t>
            </w:r>
          </w:p>
          <w:p w14:paraId="360E66AD"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l) Aspirante: es quien externa de manera pública su intención de contender por un cargo de elección popular. </w:t>
            </w:r>
          </w:p>
          <w:p w14:paraId="103F06B1" w14:textId="4FD16063"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m) Estereotipo de género: Preconcepción de atributos, conductas o características poseídas o papeles que corresponden, </w:t>
            </w:r>
            <w:proofErr w:type="gramStart"/>
            <w:r w:rsidRPr="00D6141D">
              <w:rPr>
                <w:rFonts w:ascii="Arial" w:hAnsi="Arial" w:cs="Arial"/>
                <w:sz w:val="20"/>
                <w:szCs w:val="20"/>
              </w:rPr>
              <w:t>de acuerdo a</w:t>
            </w:r>
            <w:proofErr w:type="gramEnd"/>
            <w:r w:rsidRPr="00D6141D">
              <w:rPr>
                <w:rFonts w:ascii="Arial" w:hAnsi="Arial" w:cs="Arial"/>
                <w:sz w:val="20"/>
                <w:szCs w:val="20"/>
              </w:rPr>
              <w:t xml:space="preserve"> lo que deben ser y hacer hombres y mujeres.</w:t>
            </w:r>
          </w:p>
          <w:p w14:paraId="5CF06B26" w14:textId="77777777"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Funcionan como modelos de conducta y que es posible asociar a la subordinación histórica de las mujeres, debido a prácticas basadas en estereotipos de género socialmente dominantes y persistentes. </w:t>
            </w:r>
          </w:p>
          <w:p w14:paraId="0E4B6926" w14:textId="70A3960E"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n) Grupo en situación de discriminación y subrepresentado: Son los que se determinan en el artículo 15 </w:t>
            </w:r>
            <w:proofErr w:type="spellStart"/>
            <w:r w:rsidRPr="00D6141D">
              <w:rPr>
                <w:rFonts w:ascii="Arial" w:hAnsi="Arial" w:cs="Arial"/>
                <w:sz w:val="20"/>
                <w:szCs w:val="20"/>
              </w:rPr>
              <w:t>Octavus</w:t>
            </w:r>
            <w:proofErr w:type="spellEnd"/>
            <w:r w:rsidRPr="00D6141D">
              <w:rPr>
                <w:rFonts w:ascii="Arial" w:hAnsi="Arial" w:cs="Arial"/>
                <w:sz w:val="20"/>
                <w:szCs w:val="20"/>
              </w:rPr>
              <w:t xml:space="preserve">, de la Ley Federal para Prevenir y Eliminar la Discriminación. </w:t>
            </w:r>
          </w:p>
          <w:p w14:paraId="7E0D9032" w14:textId="3860F6E0"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 xml:space="preserve">o) Medidas cautelares: Actos procedimentales que determine el Consejo o la Comisión, a solicitud de parte o de manera oficiosa, con el fin de lograr el cese de los actos o hechos que pudieran constituir una infracción a la normatividad electoral, con el objeto de evitar la producción de daños irreparables, la afectación de los principios que </w:t>
            </w:r>
            <w:r w:rsidRPr="00D6141D">
              <w:rPr>
                <w:rFonts w:ascii="Arial" w:hAnsi="Arial" w:cs="Arial"/>
                <w:sz w:val="20"/>
                <w:szCs w:val="20"/>
              </w:rPr>
              <w:lastRenderedPageBreak/>
              <w:t xml:space="preserve">rigen los procesos electorales o la vulneración de los bienes jurídicos tutelados por las disposiciones contenidas en la normatividad electoral. </w:t>
            </w:r>
          </w:p>
          <w:p w14:paraId="22EE0B86" w14:textId="28C28DBB" w:rsidR="005048FD" w:rsidRPr="00D6141D"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p) Tutela preventiva: Medida de prevención que las autoridades deben adoptar para garantizar la más amplía protección, a fin de evitar que determinada conducta ilícita o probablemente ilícita continúe o se repita y con ello se lesione el interés original, considerando que existen valores, principios y derechos que requieren de una protección específica, oportuna, real, adecuada y efectiva.</w:t>
            </w:r>
          </w:p>
          <w:p w14:paraId="213CCF7A" w14:textId="5E9E451E" w:rsidR="005048FD" w:rsidRPr="00A11BBA" w:rsidRDefault="005048FD" w:rsidP="005048FD">
            <w:pPr>
              <w:pStyle w:val="Sinespaciado"/>
              <w:spacing w:line="276" w:lineRule="auto"/>
              <w:jc w:val="both"/>
              <w:rPr>
                <w:rFonts w:ascii="Arial" w:hAnsi="Arial" w:cs="Arial"/>
                <w:sz w:val="20"/>
                <w:szCs w:val="20"/>
              </w:rPr>
            </w:pPr>
            <w:r w:rsidRPr="00D6141D">
              <w:rPr>
                <w:rFonts w:ascii="Arial" w:hAnsi="Arial" w:cs="Arial"/>
                <w:sz w:val="20"/>
                <w:szCs w:val="20"/>
              </w:rPr>
              <w:t>q) Víctima: Aquellas personas físicas que pudieran estar sufriendo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w:t>
            </w:r>
          </w:p>
          <w:p w14:paraId="6493BC8A" w14:textId="77777777" w:rsidR="00B247AE" w:rsidRPr="00A11BBA" w:rsidRDefault="00B247AE" w:rsidP="00A11BBA">
            <w:pPr>
              <w:spacing w:line="276" w:lineRule="auto"/>
              <w:jc w:val="both"/>
              <w:rPr>
                <w:rFonts w:ascii="Arial" w:hAnsi="Arial" w:cs="Arial"/>
                <w:b/>
                <w:bCs/>
                <w:sz w:val="20"/>
                <w:szCs w:val="20"/>
              </w:rPr>
            </w:pPr>
          </w:p>
        </w:tc>
      </w:tr>
      <w:tr w:rsidR="002E6BBC" w:rsidRPr="00A11BBA" w14:paraId="73ACF534" w14:textId="77777777" w:rsidTr="00897F3D">
        <w:tc>
          <w:tcPr>
            <w:tcW w:w="6658" w:type="dxa"/>
          </w:tcPr>
          <w:p w14:paraId="65A33744" w14:textId="77777777" w:rsidR="00EC0969" w:rsidRPr="00EC0969" w:rsidRDefault="00EC0969" w:rsidP="00A11BBA">
            <w:pPr>
              <w:pStyle w:val="Sinespaciado"/>
              <w:spacing w:line="276" w:lineRule="auto"/>
              <w:jc w:val="both"/>
              <w:rPr>
                <w:rFonts w:ascii="Arial" w:hAnsi="Arial" w:cs="Arial"/>
                <w:b/>
                <w:bCs/>
                <w:sz w:val="20"/>
                <w:szCs w:val="20"/>
              </w:rPr>
            </w:pPr>
            <w:r w:rsidRPr="00EC0969">
              <w:rPr>
                <w:rFonts w:ascii="Arial" w:hAnsi="Arial" w:cs="Arial"/>
                <w:b/>
                <w:bCs/>
                <w:sz w:val="20"/>
                <w:szCs w:val="20"/>
              </w:rPr>
              <w:lastRenderedPageBreak/>
              <w:t xml:space="preserve">Artículo 10. </w:t>
            </w:r>
          </w:p>
          <w:p w14:paraId="3658592A" w14:textId="77777777" w:rsidR="00EC0969" w:rsidRPr="00EC0969" w:rsidRDefault="00EC0969" w:rsidP="00A11BBA">
            <w:pPr>
              <w:pStyle w:val="Sinespaciado"/>
              <w:spacing w:line="276" w:lineRule="auto"/>
              <w:jc w:val="both"/>
              <w:rPr>
                <w:rFonts w:ascii="Arial" w:hAnsi="Arial" w:cs="Arial"/>
                <w:sz w:val="20"/>
                <w:szCs w:val="20"/>
              </w:rPr>
            </w:pPr>
          </w:p>
          <w:p w14:paraId="04F4A1B0" w14:textId="77777777" w:rsidR="00EC0969"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 xml:space="preserve">1. Serán medidas cautelares en materia electoral, los actos procesales que determine la Comisión, a petición de la parte quejosa o denunciante </w:t>
            </w:r>
            <w:r w:rsidRPr="00EC0969">
              <w:rPr>
                <w:rFonts w:ascii="Arial" w:hAnsi="Arial" w:cs="Arial"/>
                <w:sz w:val="20"/>
                <w:szCs w:val="20"/>
              </w:rPr>
              <w:lastRenderedPageBreak/>
              <w:t xml:space="preserve">o a propuesta de la Secretaría, a fin de lograr el cese de los actos o hechos que constituyan la presunta infracción, evitar la producción de daños irreparables, la afectación de los principios que rigen los procesos electorales o la vulneración de los bienes jurídicos tutelados por las disposiciones contenidas en el Código, hasta en tanto se apruebe la resolución definitiva. </w:t>
            </w:r>
          </w:p>
          <w:p w14:paraId="64FB8E10" w14:textId="77777777" w:rsidR="00EC0969" w:rsidRDefault="00EC0969" w:rsidP="00A11BBA">
            <w:pPr>
              <w:pStyle w:val="Sinespaciado"/>
              <w:spacing w:line="276" w:lineRule="auto"/>
              <w:jc w:val="both"/>
              <w:rPr>
                <w:rFonts w:ascii="Arial" w:hAnsi="Arial" w:cs="Arial"/>
                <w:sz w:val="20"/>
                <w:szCs w:val="20"/>
              </w:rPr>
            </w:pPr>
          </w:p>
          <w:p w14:paraId="29F17058" w14:textId="77777777" w:rsidR="00EC0969"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 xml:space="preserve">2. Por actos irreparables se entenderán aquéllos que sean materialmente imposibles de restituir al estado en que se encontraban antes de que ocurrieran. </w:t>
            </w:r>
          </w:p>
          <w:p w14:paraId="0ED93024" w14:textId="77777777" w:rsidR="00EC0969" w:rsidRDefault="00EC0969" w:rsidP="00A11BBA">
            <w:pPr>
              <w:pStyle w:val="Sinespaciado"/>
              <w:spacing w:line="276" w:lineRule="auto"/>
              <w:jc w:val="both"/>
              <w:rPr>
                <w:rFonts w:ascii="Arial" w:hAnsi="Arial" w:cs="Arial"/>
                <w:sz w:val="20"/>
                <w:szCs w:val="20"/>
              </w:rPr>
            </w:pPr>
          </w:p>
          <w:p w14:paraId="737A3BFA" w14:textId="3D189D03" w:rsidR="002E6BBC"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3. Las medidas cautelares se ordenarán por la Comisión a petición de parte interesada o a propuesta de la Secretaría. 4. La Comisión deberá fundar y motivar las medidas cautelares que adopte con base en lo siguiente:</w:t>
            </w:r>
          </w:p>
          <w:p w14:paraId="744C3DF3" w14:textId="77777777" w:rsidR="00EC0969" w:rsidRPr="00EC0969" w:rsidRDefault="00EC0969" w:rsidP="00A11BBA">
            <w:pPr>
              <w:pStyle w:val="Sinespaciado"/>
              <w:spacing w:line="276" w:lineRule="auto"/>
              <w:jc w:val="both"/>
              <w:rPr>
                <w:rFonts w:ascii="Arial" w:hAnsi="Arial" w:cs="Arial"/>
                <w:sz w:val="20"/>
                <w:szCs w:val="20"/>
              </w:rPr>
            </w:pPr>
          </w:p>
          <w:p w14:paraId="6BC25DE0" w14:textId="77777777" w:rsidR="00EC0969"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 xml:space="preserve">I. Condiciones a las que se encuentra sujeto su pronunciamiento: </w:t>
            </w:r>
          </w:p>
          <w:p w14:paraId="6178D5DA" w14:textId="77777777" w:rsidR="00EC0969" w:rsidRDefault="00EC0969" w:rsidP="00A11BBA">
            <w:pPr>
              <w:pStyle w:val="Sinespaciado"/>
              <w:spacing w:line="276" w:lineRule="auto"/>
              <w:jc w:val="both"/>
              <w:rPr>
                <w:rFonts w:ascii="Arial" w:hAnsi="Arial" w:cs="Arial"/>
                <w:sz w:val="20"/>
                <w:szCs w:val="20"/>
              </w:rPr>
            </w:pPr>
          </w:p>
          <w:p w14:paraId="699D1D94" w14:textId="77777777" w:rsidR="00EC0969"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 xml:space="preserve">a) La probable existencia de un derecho, del cual se pide la tutela en el procedimiento; y, </w:t>
            </w:r>
          </w:p>
          <w:p w14:paraId="3B9A6EB8" w14:textId="77777777" w:rsidR="00EC0969"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 xml:space="preserve">b) El temor fundado de que, mientras llega la tutela jurídica definitiva, desaparezcan las circunstancias de hecho necesarias para alcanzar una decisión sobre el derecho o bien jurídico cuya restitución se reclama. </w:t>
            </w:r>
          </w:p>
          <w:p w14:paraId="56D3CD98" w14:textId="77777777" w:rsidR="00EC0969" w:rsidRDefault="00EC0969" w:rsidP="00A11BBA">
            <w:pPr>
              <w:pStyle w:val="Sinespaciado"/>
              <w:spacing w:line="276" w:lineRule="auto"/>
              <w:jc w:val="both"/>
              <w:rPr>
                <w:rFonts w:ascii="Arial" w:hAnsi="Arial" w:cs="Arial"/>
                <w:sz w:val="20"/>
                <w:szCs w:val="20"/>
              </w:rPr>
            </w:pPr>
          </w:p>
          <w:p w14:paraId="417121C1" w14:textId="77777777" w:rsidR="00EC0969"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 xml:space="preserve">II. Las medidas cautelares deberán justificar: </w:t>
            </w:r>
          </w:p>
          <w:p w14:paraId="345E4A35" w14:textId="77777777" w:rsidR="00EC0969" w:rsidRDefault="00EC0969" w:rsidP="00A11BBA">
            <w:pPr>
              <w:pStyle w:val="Sinespaciado"/>
              <w:spacing w:line="276" w:lineRule="auto"/>
              <w:jc w:val="both"/>
              <w:rPr>
                <w:rFonts w:ascii="Arial" w:hAnsi="Arial" w:cs="Arial"/>
                <w:sz w:val="20"/>
                <w:szCs w:val="20"/>
              </w:rPr>
            </w:pPr>
          </w:p>
          <w:p w14:paraId="781F86C0" w14:textId="77777777" w:rsidR="00EC0969"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 xml:space="preserve">a) La </w:t>
            </w:r>
            <w:proofErr w:type="spellStart"/>
            <w:r w:rsidRPr="00EC0969">
              <w:rPr>
                <w:rFonts w:ascii="Arial" w:hAnsi="Arial" w:cs="Arial"/>
                <w:sz w:val="20"/>
                <w:szCs w:val="20"/>
              </w:rPr>
              <w:t>irreparabilidad</w:t>
            </w:r>
            <w:proofErr w:type="spellEnd"/>
            <w:r w:rsidRPr="00EC0969">
              <w:rPr>
                <w:rFonts w:ascii="Arial" w:hAnsi="Arial" w:cs="Arial"/>
                <w:sz w:val="20"/>
                <w:szCs w:val="20"/>
              </w:rPr>
              <w:t xml:space="preserve"> de la afectación; </w:t>
            </w:r>
          </w:p>
          <w:p w14:paraId="3C0837DF" w14:textId="77777777" w:rsidR="00EC0969"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 xml:space="preserve">b) La idoneidad de la medida; </w:t>
            </w:r>
          </w:p>
          <w:p w14:paraId="164D526C" w14:textId="77777777" w:rsidR="00EC0969"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 xml:space="preserve">c) La razonabilidad; y, </w:t>
            </w:r>
          </w:p>
          <w:p w14:paraId="03635FF3" w14:textId="77777777" w:rsidR="00EC0969"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 xml:space="preserve">d) La proporcionalidad. </w:t>
            </w:r>
          </w:p>
          <w:p w14:paraId="2DF65819" w14:textId="77777777" w:rsidR="00EC0969" w:rsidRDefault="00EC0969" w:rsidP="00A11BBA">
            <w:pPr>
              <w:pStyle w:val="Sinespaciado"/>
              <w:spacing w:line="276" w:lineRule="auto"/>
              <w:jc w:val="both"/>
              <w:rPr>
                <w:rFonts w:ascii="Arial" w:hAnsi="Arial" w:cs="Arial"/>
                <w:sz w:val="20"/>
                <w:szCs w:val="20"/>
              </w:rPr>
            </w:pPr>
          </w:p>
          <w:p w14:paraId="7FEBF04A" w14:textId="77777777" w:rsidR="00EC0969"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 xml:space="preserve">5. La Secretaría podrá proponer a la Comisión, de manera enunciativa y no limitativa, las siguientes medidas cautelares: </w:t>
            </w:r>
          </w:p>
          <w:p w14:paraId="345403A4" w14:textId="77777777" w:rsidR="00EC0969" w:rsidRDefault="00EC0969" w:rsidP="00A11BBA">
            <w:pPr>
              <w:pStyle w:val="Sinespaciado"/>
              <w:spacing w:line="276" w:lineRule="auto"/>
              <w:jc w:val="both"/>
              <w:rPr>
                <w:rFonts w:ascii="Arial" w:hAnsi="Arial" w:cs="Arial"/>
                <w:sz w:val="20"/>
                <w:szCs w:val="20"/>
              </w:rPr>
            </w:pPr>
          </w:p>
          <w:p w14:paraId="5C450EBE" w14:textId="77777777" w:rsidR="00EC0969"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 xml:space="preserve">I. Ordenar la suspensión de la distribución de propaganda contraria a la normatividad electoral, excepto la transmitida por radio y televisión; y </w:t>
            </w:r>
          </w:p>
          <w:p w14:paraId="27A6CA05" w14:textId="77777777" w:rsidR="00EC0969" w:rsidRDefault="00EC0969" w:rsidP="00A11BBA">
            <w:pPr>
              <w:pStyle w:val="Sinespaciado"/>
              <w:spacing w:line="276" w:lineRule="auto"/>
              <w:jc w:val="both"/>
              <w:rPr>
                <w:rFonts w:ascii="Arial" w:hAnsi="Arial" w:cs="Arial"/>
                <w:sz w:val="20"/>
                <w:szCs w:val="20"/>
              </w:rPr>
            </w:pPr>
          </w:p>
          <w:p w14:paraId="6C6ACA27" w14:textId="77777777" w:rsidR="00EC0969"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 xml:space="preserve">II. Ordenar el retiro de propaganda contraria a la ley. </w:t>
            </w:r>
          </w:p>
          <w:p w14:paraId="67D07958" w14:textId="77777777" w:rsidR="00EC0969" w:rsidRDefault="00EC0969" w:rsidP="00A11BBA">
            <w:pPr>
              <w:pStyle w:val="Sinespaciado"/>
              <w:spacing w:line="276" w:lineRule="auto"/>
              <w:jc w:val="both"/>
              <w:rPr>
                <w:rFonts w:ascii="Arial" w:hAnsi="Arial" w:cs="Arial"/>
                <w:sz w:val="20"/>
                <w:szCs w:val="20"/>
              </w:rPr>
            </w:pPr>
          </w:p>
          <w:p w14:paraId="09C93A03" w14:textId="77777777" w:rsidR="00EC0969"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 xml:space="preserve">6. En la resolución mediante la cual se ordenen las medidas cautelares, se atenderá lo siguiente: </w:t>
            </w:r>
          </w:p>
          <w:p w14:paraId="69F5E679" w14:textId="77777777" w:rsidR="00EC0969" w:rsidRDefault="00EC0969" w:rsidP="00A11BBA">
            <w:pPr>
              <w:pStyle w:val="Sinespaciado"/>
              <w:spacing w:line="276" w:lineRule="auto"/>
              <w:jc w:val="both"/>
              <w:rPr>
                <w:rFonts w:ascii="Arial" w:hAnsi="Arial" w:cs="Arial"/>
                <w:sz w:val="20"/>
                <w:szCs w:val="20"/>
              </w:rPr>
            </w:pPr>
          </w:p>
          <w:p w14:paraId="668DFD45" w14:textId="77777777" w:rsidR="00EC0969"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I. Establecerá que la parte denunciada retire la propaganda en un plazo no mayor de tres días, para el caso del procedimiento sancionador ordinario, y de veinticuatro horas para el procedimiento sancionador especial; y,</w:t>
            </w:r>
          </w:p>
          <w:p w14:paraId="027DA501" w14:textId="77777777" w:rsidR="00EC0969" w:rsidRDefault="00EC0969" w:rsidP="00A11BBA">
            <w:pPr>
              <w:pStyle w:val="Sinespaciado"/>
              <w:spacing w:line="276" w:lineRule="auto"/>
              <w:jc w:val="both"/>
              <w:rPr>
                <w:rFonts w:ascii="Arial" w:hAnsi="Arial" w:cs="Arial"/>
                <w:sz w:val="20"/>
                <w:szCs w:val="20"/>
              </w:rPr>
            </w:pPr>
          </w:p>
          <w:p w14:paraId="36B8FBAB" w14:textId="40C5E20B" w:rsidR="00EC0969" w:rsidRPr="00EC0969"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II. En el caso de la distribución de propaganda contraria a la normatividad electoral que no sea transmitida en radio y televisión, la Comisión ordenará la suspensión inmediata.</w:t>
            </w:r>
          </w:p>
          <w:p w14:paraId="490FBEA7" w14:textId="77777777" w:rsidR="006619F6" w:rsidRDefault="006619F6" w:rsidP="00A11BBA">
            <w:pPr>
              <w:pStyle w:val="Sinespaciado"/>
              <w:spacing w:line="276" w:lineRule="auto"/>
              <w:jc w:val="both"/>
              <w:rPr>
                <w:rFonts w:ascii="Arial" w:hAnsi="Arial" w:cs="Arial"/>
                <w:sz w:val="20"/>
                <w:szCs w:val="20"/>
              </w:rPr>
            </w:pPr>
          </w:p>
          <w:p w14:paraId="57C763BF" w14:textId="77777777" w:rsidR="006619F6"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 xml:space="preserve">7. De conformidad con el artículo 459 Bis del Código, en los procedimientos relacionados con violencia política contra las mujeres </w:t>
            </w:r>
            <w:proofErr w:type="gramStart"/>
            <w:r w:rsidRPr="00EC0969">
              <w:rPr>
                <w:rFonts w:ascii="Arial" w:hAnsi="Arial" w:cs="Arial"/>
                <w:sz w:val="20"/>
                <w:szCs w:val="20"/>
              </w:rPr>
              <w:t>en razón de</w:t>
            </w:r>
            <w:proofErr w:type="gramEnd"/>
            <w:r w:rsidRPr="00EC0969">
              <w:rPr>
                <w:rFonts w:ascii="Arial" w:hAnsi="Arial" w:cs="Arial"/>
                <w:sz w:val="20"/>
                <w:szCs w:val="20"/>
              </w:rPr>
              <w:t xml:space="preserve"> género, se podrán dictar las siguientes medidas cautelares y órdenes de protección: </w:t>
            </w:r>
          </w:p>
          <w:p w14:paraId="2221404F" w14:textId="77777777" w:rsidR="006619F6" w:rsidRDefault="006619F6" w:rsidP="00A11BBA">
            <w:pPr>
              <w:pStyle w:val="Sinespaciado"/>
              <w:spacing w:line="276" w:lineRule="auto"/>
              <w:jc w:val="both"/>
              <w:rPr>
                <w:rFonts w:ascii="Arial" w:hAnsi="Arial" w:cs="Arial"/>
                <w:sz w:val="20"/>
                <w:szCs w:val="20"/>
              </w:rPr>
            </w:pPr>
          </w:p>
          <w:p w14:paraId="305EEBD0" w14:textId="77777777" w:rsidR="006619F6"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t xml:space="preserve">I. Realizar análisis de riesgos y un plan de seguridad, con la colaboración de instituciones especializadas; Para la realización del análisis de riesgo y plan de seguridad a que haya lugar, inmediatamente después de recibida la queja o denuncia, se dará vista a la Fiscalía Especializada en Materia de Delitos Electorales del estado. Tratándose del otorgamiento de órdenes de protección, se deberá atender lo dispuesto por el artículo 57 de la Ley de Acceso, el cual establece </w:t>
            </w:r>
            <w:proofErr w:type="gramStart"/>
            <w:r w:rsidRPr="00EC0969">
              <w:rPr>
                <w:rFonts w:ascii="Arial" w:hAnsi="Arial" w:cs="Arial"/>
                <w:sz w:val="20"/>
                <w:szCs w:val="20"/>
              </w:rPr>
              <w:t>que</w:t>
            </w:r>
            <w:proofErr w:type="gramEnd"/>
            <w:r w:rsidRPr="00EC0969">
              <w:rPr>
                <w:rFonts w:ascii="Arial" w:hAnsi="Arial" w:cs="Arial"/>
                <w:sz w:val="20"/>
                <w:szCs w:val="20"/>
              </w:rPr>
              <w:t xml:space="preserve"> en los casos de violencia política contra las mujeres en razón de género, el Instituto podrá solicitar a las autoridades competentes dicten las medidas de protección previstas en dicha Ley.</w:t>
            </w:r>
          </w:p>
          <w:p w14:paraId="4993C037" w14:textId="77777777" w:rsidR="006619F6" w:rsidRDefault="00EC0969" w:rsidP="00A11BBA">
            <w:pPr>
              <w:pStyle w:val="Sinespaciado"/>
              <w:spacing w:line="276" w:lineRule="auto"/>
              <w:jc w:val="both"/>
              <w:rPr>
                <w:rFonts w:ascii="Arial" w:hAnsi="Arial" w:cs="Arial"/>
                <w:sz w:val="20"/>
                <w:szCs w:val="20"/>
              </w:rPr>
            </w:pPr>
            <w:r w:rsidRPr="00EC0969">
              <w:rPr>
                <w:rFonts w:ascii="Arial" w:hAnsi="Arial" w:cs="Arial"/>
                <w:sz w:val="20"/>
                <w:szCs w:val="20"/>
              </w:rPr>
              <w:lastRenderedPageBreak/>
              <w:t xml:space="preserve">II. Ordenar el retiro de la campaña violenta contra la víctima, haciendo públicas las razones; </w:t>
            </w:r>
          </w:p>
          <w:p w14:paraId="762099C7" w14:textId="679E93AA" w:rsidR="00EC0969" w:rsidRPr="00EC0969" w:rsidRDefault="00EC0969" w:rsidP="00A11BBA">
            <w:pPr>
              <w:pStyle w:val="Sinespaciado"/>
              <w:spacing w:line="276" w:lineRule="auto"/>
              <w:jc w:val="both"/>
              <w:rPr>
                <w:rFonts w:ascii="Arial" w:hAnsi="Arial" w:cs="Arial"/>
                <w:b/>
                <w:bCs/>
                <w:sz w:val="20"/>
                <w:szCs w:val="20"/>
              </w:rPr>
            </w:pPr>
            <w:r w:rsidRPr="00EC0969">
              <w:rPr>
                <w:rFonts w:ascii="Arial" w:hAnsi="Arial" w:cs="Arial"/>
                <w:sz w:val="20"/>
                <w:szCs w:val="20"/>
              </w:rPr>
              <w:t>III. Cuando la conducta sea reiterada por lo menos en una ocasión, suspender el uso de las prerrogativas asignadas a la persona agresora; IV. Ordenar la suspensión del cargo partidista, de la persona agresora; y V. Cualquier otra requerida para la protección de la mujer víctima, o quien ella solicite.</w:t>
            </w:r>
          </w:p>
          <w:p w14:paraId="3B27CD7E" w14:textId="244D5A23" w:rsidR="002E6BBC" w:rsidRPr="00D6141D" w:rsidRDefault="002E6BBC" w:rsidP="00A11BBA">
            <w:pPr>
              <w:pStyle w:val="Sinespaciado"/>
              <w:spacing w:line="276" w:lineRule="auto"/>
              <w:jc w:val="both"/>
              <w:rPr>
                <w:rFonts w:ascii="Arial" w:hAnsi="Arial" w:cs="Arial"/>
                <w:b/>
                <w:bCs/>
                <w:sz w:val="20"/>
                <w:szCs w:val="20"/>
              </w:rPr>
            </w:pPr>
          </w:p>
        </w:tc>
        <w:tc>
          <w:tcPr>
            <w:tcW w:w="6574" w:type="dxa"/>
          </w:tcPr>
          <w:p w14:paraId="180C5921" w14:textId="77777777" w:rsidR="00AB08AE" w:rsidRPr="00EC0969" w:rsidRDefault="00AB08AE" w:rsidP="00AB08AE">
            <w:pPr>
              <w:pStyle w:val="Sinespaciado"/>
              <w:spacing w:line="276" w:lineRule="auto"/>
              <w:jc w:val="both"/>
              <w:rPr>
                <w:rFonts w:ascii="Arial" w:hAnsi="Arial" w:cs="Arial"/>
                <w:b/>
                <w:bCs/>
                <w:sz w:val="20"/>
                <w:szCs w:val="20"/>
              </w:rPr>
            </w:pPr>
            <w:r w:rsidRPr="00EC0969">
              <w:rPr>
                <w:rFonts w:ascii="Arial" w:hAnsi="Arial" w:cs="Arial"/>
                <w:b/>
                <w:bCs/>
                <w:sz w:val="20"/>
                <w:szCs w:val="20"/>
              </w:rPr>
              <w:lastRenderedPageBreak/>
              <w:t xml:space="preserve">Artículo 10. </w:t>
            </w:r>
          </w:p>
          <w:p w14:paraId="2CC4082D" w14:textId="77777777" w:rsidR="00AB08AE" w:rsidRPr="00EC0969" w:rsidRDefault="00AB08AE" w:rsidP="00AB08AE">
            <w:pPr>
              <w:pStyle w:val="Sinespaciado"/>
              <w:spacing w:line="276" w:lineRule="auto"/>
              <w:jc w:val="both"/>
              <w:rPr>
                <w:rFonts w:ascii="Arial" w:hAnsi="Arial" w:cs="Arial"/>
                <w:sz w:val="20"/>
                <w:szCs w:val="20"/>
              </w:rPr>
            </w:pPr>
          </w:p>
          <w:p w14:paraId="777A813C" w14:textId="77777777" w:rsidR="00AB08AE"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 xml:space="preserve">1. Serán medidas cautelares en materia electoral, los actos procesales que determine la Comisión, a petición de la parte quejosa o denunciante </w:t>
            </w:r>
            <w:r w:rsidRPr="00EC0969">
              <w:rPr>
                <w:rFonts w:ascii="Arial" w:hAnsi="Arial" w:cs="Arial"/>
                <w:sz w:val="20"/>
                <w:szCs w:val="20"/>
              </w:rPr>
              <w:lastRenderedPageBreak/>
              <w:t xml:space="preserve">o a propuesta de la Secretaría, a fin de lograr el cese de los actos o hechos que constituyan la presunta infracción, evitar la producción de daños irreparables, la afectación de los principios que rigen los procesos electorales o la vulneración de los bienes jurídicos tutelados por las disposiciones contenidas en el Código, hasta en tanto se apruebe la resolución definitiva. </w:t>
            </w:r>
          </w:p>
          <w:p w14:paraId="31BCC14D" w14:textId="77777777" w:rsidR="00AB08AE" w:rsidRDefault="00AB08AE" w:rsidP="00AB08AE">
            <w:pPr>
              <w:pStyle w:val="Sinespaciado"/>
              <w:spacing w:line="276" w:lineRule="auto"/>
              <w:jc w:val="both"/>
              <w:rPr>
                <w:rFonts w:ascii="Arial" w:hAnsi="Arial" w:cs="Arial"/>
                <w:sz w:val="20"/>
                <w:szCs w:val="20"/>
              </w:rPr>
            </w:pPr>
          </w:p>
          <w:p w14:paraId="31506D08" w14:textId="77777777" w:rsidR="00AB08AE"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 xml:space="preserve">2. Por actos irreparables se entenderán aquéllos que sean materialmente imposibles de restituir al estado en que se encontraban antes de que ocurrieran. </w:t>
            </w:r>
          </w:p>
          <w:p w14:paraId="75739F60" w14:textId="77777777" w:rsidR="00AB08AE" w:rsidRDefault="00AB08AE" w:rsidP="00AB08AE">
            <w:pPr>
              <w:pStyle w:val="Sinespaciado"/>
              <w:spacing w:line="276" w:lineRule="auto"/>
              <w:jc w:val="both"/>
              <w:rPr>
                <w:rFonts w:ascii="Arial" w:hAnsi="Arial" w:cs="Arial"/>
                <w:sz w:val="20"/>
                <w:szCs w:val="20"/>
              </w:rPr>
            </w:pPr>
          </w:p>
          <w:p w14:paraId="6FB60D0C" w14:textId="77777777" w:rsidR="00AB08AE"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3. Las medidas cautelares se ordenarán por la Comisión a petición de parte interesada o a propuesta de la Secretaría. 4. La Comisión deberá fundar y motivar las medidas cautelares que adopte con base en lo siguiente:</w:t>
            </w:r>
          </w:p>
          <w:p w14:paraId="361F8A35" w14:textId="77777777" w:rsidR="00AB08AE" w:rsidRPr="00EC0969" w:rsidRDefault="00AB08AE" w:rsidP="00AB08AE">
            <w:pPr>
              <w:pStyle w:val="Sinespaciado"/>
              <w:spacing w:line="276" w:lineRule="auto"/>
              <w:jc w:val="both"/>
              <w:rPr>
                <w:rFonts w:ascii="Arial" w:hAnsi="Arial" w:cs="Arial"/>
                <w:sz w:val="20"/>
                <w:szCs w:val="20"/>
              </w:rPr>
            </w:pPr>
          </w:p>
          <w:p w14:paraId="7305EF0A" w14:textId="77777777" w:rsidR="00AB08AE"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 xml:space="preserve">I. Condiciones a las que se encuentra sujeto su pronunciamiento: </w:t>
            </w:r>
          </w:p>
          <w:p w14:paraId="45B04007" w14:textId="77777777" w:rsidR="00AB08AE" w:rsidRDefault="00AB08AE" w:rsidP="00AB08AE">
            <w:pPr>
              <w:pStyle w:val="Sinespaciado"/>
              <w:spacing w:line="276" w:lineRule="auto"/>
              <w:jc w:val="both"/>
              <w:rPr>
                <w:rFonts w:ascii="Arial" w:hAnsi="Arial" w:cs="Arial"/>
                <w:sz w:val="20"/>
                <w:szCs w:val="20"/>
              </w:rPr>
            </w:pPr>
          </w:p>
          <w:p w14:paraId="15952DE1" w14:textId="77777777" w:rsidR="00AB08AE"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 xml:space="preserve">a) La probable existencia de un derecho, del cual se pide la tutela en el procedimiento; y, </w:t>
            </w:r>
          </w:p>
          <w:p w14:paraId="170DC258" w14:textId="77777777" w:rsidR="00AB08AE"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 xml:space="preserve">b) El temor fundado de que, mientras llega la tutela jurídica definitiva, desaparezcan las circunstancias de hecho necesarias para alcanzar una decisión sobre el derecho o bien jurídico cuya restitución se reclama. </w:t>
            </w:r>
          </w:p>
          <w:p w14:paraId="05E566E4" w14:textId="77777777" w:rsidR="00AB08AE" w:rsidRDefault="00AB08AE" w:rsidP="00AB08AE">
            <w:pPr>
              <w:pStyle w:val="Sinespaciado"/>
              <w:spacing w:line="276" w:lineRule="auto"/>
              <w:jc w:val="both"/>
              <w:rPr>
                <w:rFonts w:ascii="Arial" w:hAnsi="Arial" w:cs="Arial"/>
                <w:sz w:val="20"/>
                <w:szCs w:val="20"/>
              </w:rPr>
            </w:pPr>
          </w:p>
          <w:p w14:paraId="4CA8DFCA" w14:textId="77777777" w:rsidR="00AB08AE"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 xml:space="preserve">II. Las medidas cautelares deberán justificar: </w:t>
            </w:r>
          </w:p>
          <w:p w14:paraId="059E339C" w14:textId="77777777" w:rsidR="00AB08AE" w:rsidRDefault="00AB08AE" w:rsidP="00AB08AE">
            <w:pPr>
              <w:pStyle w:val="Sinespaciado"/>
              <w:spacing w:line="276" w:lineRule="auto"/>
              <w:jc w:val="both"/>
              <w:rPr>
                <w:rFonts w:ascii="Arial" w:hAnsi="Arial" w:cs="Arial"/>
                <w:sz w:val="20"/>
                <w:szCs w:val="20"/>
              </w:rPr>
            </w:pPr>
          </w:p>
          <w:p w14:paraId="212E9861" w14:textId="77777777" w:rsidR="00AB08AE"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 xml:space="preserve">a) La </w:t>
            </w:r>
            <w:proofErr w:type="spellStart"/>
            <w:r w:rsidRPr="00EC0969">
              <w:rPr>
                <w:rFonts w:ascii="Arial" w:hAnsi="Arial" w:cs="Arial"/>
                <w:sz w:val="20"/>
                <w:szCs w:val="20"/>
              </w:rPr>
              <w:t>irreparabilidad</w:t>
            </w:r>
            <w:proofErr w:type="spellEnd"/>
            <w:r w:rsidRPr="00EC0969">
              <w:rPr>
                <w:rFonts w:ascii="Arial" w:hAnsi="Arial" w:cs="Arial"/>
                <w:sz w:val="20"/>
                <w:szCs w:val="20"/>
              </w:rPr>
              <w:t xml:space="preserve"> de la afectación; </w:t>
            </w:r>
          </w:p>
          <w:p w14:paraId="13987744" w14:textId="77777777" w:rsidR="00AB08AE"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 xml:space="preserve">b) La idoneidad de la medida; </w:t>
            </w:r>
          </w:p>
          <w:p w14:paraId="5B241DC1" w14:textId="77777777" w:rsidR="00AB08AE"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 xml:space="preserve">c) La razonabilidad; y, </w:t>
            </w:r>
          </w:p>
          <w:p w14:paraId="13965BD8" w14:textId="77777777" w:rsidR="00AB08AE"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 xml:space="preserve">d) La proporcionalidad. </w:t>
            </w:r>
          </w:p>
          <w:p w14:paraId="0A4E2212" w14:textId="77777777" w:rsidR="00AB08AE" w:rsidRDefault="00AB08AE" w:rsidP="00AB08AE">
            <w:pPr>
              <w:pStyle w:val="Sinespaciado"/>
              <w:spacing w:line="276" w:lineRule="auto"/>
              <w:jc w:val="both"/>
              <w:rPr>
                <w:rFonts w:ascii="Arial" w:hAnsi="Arial" w:cs="Arial"/>
                <w:sz w:val="20"/>
                <w:szCs w:val="20"/>
              </w:rPr>
            </w:pPr>
          </w:p>
          <w:p w14:paraId="727DD3A5" w14:textId="77777777" w:rsidR="00AB08AE"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 xml:space="preserve">5. La Secretaría podrá proponer a la Comisión, de manera enunciativa y no limitativa, las siguientes medidas cautelares: </w:t>
            </w:r>
          </w:p>
          <w:p w14:paraId="602D493D" w14:textId="77777777" w:rsidR="00AB08AE" w:rsidRDefault="00AB08AE" w:rsidP="00AB08AE">
            <w:pPr>
              <w:pStyle w:val="Sinespaciado"/>
              <w:spacing w:line="276" w:lineRule="auto"/>
              <w:jc w:val="both"/>
              <w:rPr>
                <w:rFonts w:ascii="Arial" w:hAnsi="Arial" w:cs="Arial"/>
                <w:sz w:val="20"/>
                <w:szCs w:val="20"/>
              </w:rPr>
            </w:pPr>
          </w:p>
          <w:p w14:paraId="445FA35E" w14:textId="77777777" w:rsidR="00AB08AE"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 xml:space="preserve">I. Ordenar la suspensión de la distribución de propaganda contraria a la normatividad electoral, excepto la transmitida por radio y televisión; y </w:t>
            </w:r>
          </w:p>
          <w:p w14:paraId="240B30CE" w14:textId="77777777" w:rsidR="00AB08AE" w:rsidRDefault="00AB08AE" w:rsidP="00AB08AE">
            <w:pPr>
              <w:pStyle w:val="Sinespaciado"/>
              <w:spacing w:line="276" w:lineRule="auto"/>
              <w:jc w:val="both"/>
              <w:rPr>
                <w:rFonts w:ascii="Arial" w:hAnsi="Arial" w:cs="Arial"/>
                <w:sz w:val="20"/>
                <w:szCs w:val="20"/>
              </w:rPr>
            </w:pPr>
          </w:p>
          <w:p w14:paraId="5C5C18A4" w14:textId="77777777" w:rsidR="00AB08AE"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 xml:space="preserve">II. Ordenar el retiro de propaganda contraria a la ley. </w:t>
            </w:r>
          </w:p>
          <w:p w14:paraId="542A2232" w14:textId="77777777" w:rsidR="00AB08AE" w:rsidRDefault="00AB08AE" w:rsidP="00AB08AE">
            <w:pPr>
              <w:pStyle w:val="Sinespaciado"/>
              <w:spacing w:line="276" w:lineRule="auto"/>
              <w:jc w:val="both"/>
              <w:rPr>
                <w:rFonts w:ascii="Arial" w:hAnsi="Arial" w:cs="Arial"/>
                <w:sz w:val="20"/>
                <w:szCs w:val="20"/>
              </w:rPr>
            </w:pPr>
          </w:p>
          <w:p w14:paraId="6F6EB11A" w14:textId="77777777" w:rsidR="00AB08AE"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 xml:space="preserve">6. En la resolución mediante la cual se ordenen las medidas cautelares, se atenderá lo siguiente: </w:t>
            </w:r>
          </w:p>
          <w:p w14:paraId="048D2397" w14:textId="77777777" w:rsidR="00AB08AE" w:rsidRDefault="00AB08AE" w:rsidP="00AB08AE">
            <w:pPr>
              <w:pStyle w:val="Sinespaciado"/>
              <w:spacing w:line="276" w:lineRule="auto"/>
              <w:jc w:val="both"/>
              <w:rPr>
                <w:rFonts w:ascii="Arial" w:hAnsi="Arial" w:cs="Arial"/>
                <w:sz w:val="20"/>
                <w:szCs w:val="20"/>
              </w:rPr>
            </w:pPr>
          </w:p>
          <w:p w14:paraId="359B161F" w14:textId="77777777" w:rsidR="00AB08AE"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I. Establecerá que la parte denunciada retire la propaganda en un plazo no mayor de tres días, para el caso del procedimiento sancionador ordinario, y de veinticuatro horas para el procedimiento sancionador especial; y,</w:t>
            </w:r>
          </w:p>
          <w:p w14:paraId="19AC7AEE" w14:textId="77777777" w:rsidR="00AB08AE" w:rsidRDefault="00AB08AE" w:rsidP="00AB08AE">
            <w:pPr>
              <w:pStyle w:val="Sinespaciado"/>
              <w:spacing w:line="276" w:lineRule="auto"/>
              <w:jc w:val="both"/>
              <w:rPr>
                <w:rFonts w:ascii="Arial" w:hAnsi="Arial" w:cs="Arial"/>
                <w:sz w:val="20"/>
                <w:szCs w:val="20"/>
              </w:rPr>
            </w:pPr>
          </w:p>
          <w:p w14:paraId="08F4C3DF" w14:textId="77777777" w:rsidR="00AB08AE" w:rsidRPr="00EC0969" w:rsidRDefault="00AB08AE" w:rsidP="00AB08AE">
            <w:pPr>
              <w:pStyle w:val="Sinespaciado"/>
              <w:spacing w:line="276" w:lineRule="auto"/>
              <w:jc w:val="both"/>
              <w:rPr>
                <w:rFonts w:ascii="Arial" w:hAnsi="Arial" w:cs="Arial"/>
                <w:sz w:val="20"/>
                <w:szCs w:val="20"/>
              </w:rPr>
            </w:pPr>
            <w:r w:rsidRPr="00EC0969">
              <w:rPr>
                <w:rFonts w:ascii="Arial" w:hAnsi="Arial" w:cs="Arial"/>
                <w:sz w:val="20"/>
                <w:szCs w:val="20"/>
              </w:rPr>
              <w:t>II. En el caso de la distribución de propaganda contraria a la normatividad electoral que no sea transmitida en radio y televisión, la Comisión ordenará la suspensión inmediata.</w:t>
            </w:r>
          </w:p>
          <w:p w14:paraId="310AF976" w14:textId="77777777" w:rsidR="00AB08AE" w:rsidRDefault="00AB08AE" w:rsidP="00AB08AE">
            <w:pPr>
              <w:pStyle w:val="Sinespaciado"/>
              <w:spacing w:line="276" w:lineRule="auto"/>
              <w:jc w:val="both"/>
              <w:rPr>
                <w:rFonts w:ascii="Arial" w:hAnsi="Arial" w:cs="Arial"/>
                <w:sz w:val="20"/>
                <w:szCs w:val="20"/>
              </w:rPr>
            </w:pPr>
          </w:p>
          <w:p w14:paraId="010338F6" w14:textId="77777777" w:rsidR="002E6BBC" w:rsidRPr="00D6141D" w:rsidRDefault="002E6BBC" w:rsidP="00AB08AE">
            <w:pPr>
              <w:pStyle w:val="Sinespaciado"/>
              <w:spacing w:line="276" w:lineRule="auto"/>
              <w:jc w:val="both"/>
              <w:rPr>
                <w:rFonts w:ascii="Arial" w:hAnsi="Arial" w:cs="Arial"/>
                <w:b/>
                <w:bCs/>
                <w:sz w:val="20"/>
                <w:szCs w:val="20"/>
              </w:rPr>
            </w:pPr>
          </w:p>
        </w:tc>
      </w:tr>
      <w:tr w:rsidR="00737BEE" w:rsidRPr="00A11BBA" w14:paraId="2D245C27" w14:textId="77777777" w:rsidTr="00897F3D">
        <w:tc>
          <w:tcPr>
            <w:tcW w:w="6658" w:type="dxa"/>
          </w:tcPr>
          <w:p w14:paraId="0F2744B7" w14:textId="32101C65" w:rsidR="00737BEE" w:rsidRPr="00737BEE" w:rsidRDefault="00737BEE" w:rsidP="00A11BBA">
            <w:pPr>
              <w:pStyle w:val="Sinespaciado"/>
              <w:spacing w:line="276" w:lineRule="auto"/>
              <w:jc w:val="both"/>
              <w:rPr>
                <w:rFonts w:ascii="Arial" w:hAnsi="Arial" w:cs="Arial"/>
                <w:b/>
                <w:bCs/>
                <w:sz w:val="20"/>
                <w:szCs w:val="20"/>
              </w:rPr>
            </w:pPr>
            <w:r w:rsidRPr="00737BEE">
              <w:rPr>
                <w:rFonts w:ascii="Arial" w:hAnsi="Arial" w:cs="Arial"/>
                <w:b/>
                <w:bCs/>
                <w:sz w:val="20"/>
                <w:szCs w:val="20"/>
              </w:rPr>
              <w:lastRenderedPageBreak/>
              <w:t xml:space="preserve">Artículo 26. </w:t>
            </w:r>
          </w:p>
          <w:p w14:paraId="2F1E1A72" w14:textId="77777777" w:rsidR="00737BEE" w:rsidRPr="00737BEE" w:rsidRDefault="00737BEE" w:rsidP="00A11BBA">
            <w:pPr>
              <w:pStyle w:val="Sinespaciado"/>
              <w:spacing w:line="276" w:lineRule="auto"/>
              <w:jc w:val="both"/>
              <w:rPr>
                <w:rFonts w:ascii="Arial" w:hAnsi="Arial" w:cs="Arial"/>
                <w:sz w:val="20"/>
                <w:szCs w:val="20"/>
              </w:rPr>
            </w:pPr>
          </w:p>
          <w:p w14:paraId="02310437" w14:textId="77777777" w:rsidR="00737BEE" w:rsidRDefault="00737BEE" w:rsidP="00A11BBA">
            <w:pPr>
              <w:pStyle w:val="Sinespaciado"/>
              <w:spacing w:line="276" w:lineRule="auto"/>
              <w:jc w:val="both"/>
              <w:rPr>
                <w:rFonts w:ascii="Arial" w:hAnsi="Arial" w:cs="Arial"/>
                <w:sz w:val="20"/>
                <w:szCs w:val="20"/>
              </w:rPr>
            </w:pPr>
            <w:r w:rsidRPr="00737BEE">
              <w:rPr>
                <w:rFonts w:ascii="Arial" w:hAnsi="Arial" w:cs="Arial"/>
                <w:sz w:val="20"/>
                <w:szCs w:val="20"/>
              </w:rPr>
              <w:t xml:space="preserve">1. Este procedimiento tiene como finalidad determinar, de manera sumaria, la existencia de infracciones y responsabilidad de los sujetos señalados en el Código, mediante la valoración de los medios de prueba que obren en el expediente, atendiendo a los supuestos contenidos en el artículo 471 del Código. </w:t>
            </w:r>
            <w:r w:rsidRPr="00520B1E">
              <w:rPr>
                <w:rFonts w:ascii="Arial" w:hAnsi="Arial" w:cs="Arial"/>
                <w:sz w:val="20"/>
                <w:szCs w:val="20"/>
              </w:rPr>
              <w:t xml:space="preserve">Los procedimientos sancionadores relacionados con la difusión de propaganda que calumnie o ejerza violencia política contra las mujeres </w:t>
            </w:r>
            <w:proofErr w:type="gramStart"/>
            <w:r w:rsidRPr="00520B1E">
              <w:rPr>
                <w:rFonts w:ascii="Arial" w:hAnsi="Arial" w:cs="Arial"/>
                <w:sz w:val="20"/>
                <w:szCs w:val="20"/>
              </w:rPr>
              <w:t>en razón de</w:t>
            </w:r>
            <w:proofErr w:type="gramEnd"/>
            <w:r w:rsidRPr="00520B1E">
              <w:rPr>
                <w:rFonts w:ascii="Arial" w:hAnsi="Arial" w:cs="Arial"/>
                <w:sz w:val="20"/>
                <w:szCs w:val="20"/>
              </w:rPr>
              <w:t xml:space="preserve"> género en medios distintos a radio y televisión, sólo podrán iniciar a instancia de parte afectada.</w:t>
            </w:r>
            <w:r w:rsidRPr="00737BEE">
              <w:rPr>
                <w:rFonts w:ascii="Arial" w:hAnsi="Arial" w:cs="Arial"/>
                <w:sz w:val="20"/>
                <w:szCs w:val="20"/>
              </w:rPr>
              <w:t xml:space="preserve"> </w:t>
            </w:r>
          </w:p>
          <w:p w14:paraId="7123F45C" w14:textId="77777777" w:rsidR="00737BEE" w:rsidRDefault="00737BEE" w:rsidP="00A11BBA">
            <w:pPr>
              <w:pStyle w:val="Sinespaciado"/>
              <w:spacing w:line="276" w:lineRule="auto"/>
              <w:jc w:val="both"/>
              <w:rPr>
                <w:rFonts w:ascii="Arial" w:hAnsi="Arial" w:cs="Arial"/>
                <w:sz w:val="20"/>
                <w:szCs w:val="20"/>
              </w:rPr>
            </w:pPr>
          </w:p>
          <w:p w14:paraId="250C80C7" w14:textId="2D7B6023" w:rsidR="00737BEE" w:rsidRPr="00737BEE" w:rsidRDefault="00737BEE" w:rsidP="00A11BBA">
            <w:pPr>
              <w:pStyle w:val="Sinespaciado"/>
              <w:spacing w:line="276" w:lineRule="auto"/>
              <w:jc w:val="both"/>
              <w:rPr>
                <w:rFonts w:ascii="Arial" w:hAnsi="Arial" w:cs="Arial"/>
                <w:b/>
                <w:bCs/>
                <w:sz w:val="20"/>
                <w:szCs w:val="20"/>
              </w:rPr>
            </w:pPr>
            <w:r w:rsidRPr="00737BEE">
              <w:rPr>
                <w:rFonts w:ascii="Arial" w:hAnsi="Arial" w:cs="Arial"/>
                <w:sz w:val="20"/>
                <w:szCs w:val="20"/>
              </w:rPr>
              <w:t>2. Cuando la queja se promueva por dos o más personas con interés común, deberán designar entre ellas un representante, en su defecto, lo hará la Secretaría en el primer acuerdo, sin perjuicio de que la parte respectiva lo sustituya por otro. La parte denunciada podrá también nombrar representante común.</w:t>
            </w:r>
          </w:p>
          <w:p w14:paraId="052E8C15" w14:textId="72031A02" w:rsidR="00737BEE" w:rsidRPr="00EC0969" w:rsidRDefault="00737BEE" w:rsidP="00A11BBA">
            <w:pPr>
              <w:pStyle w:val="Sinespaciado"/>
              <w:spacing w:line="276" w:lineRule="auto"/>
              <w:jc w:val="both"/>
              <w:rPr>
                <w:rFonts w:ascii="Arial" w:hAnsi="Arial" w:cs="Arial"/>
                <w:b/>
                <w:bCs/>
                <w:sz w:val="20"/>
                <w:szCs w:val="20"/>
              </w:rPr>
            </w:pPr>
          </w:p>
        </w:tc>
        <w:tc>
          <w:tcPr>
            <w:tcW w:w="6574" w:type="dxa"/>
          </w:tcPr>
          <w:p w14:paraId="7BCD265D" w14:textId="77777777" w:rsidR="002D0D6A" w:rsidRPr="00737BEE" w:rsidRDefault="002D0D6A" w:rsidP="002D0D6A">
            <w:pPr>
              <w:pStyle w:val="Sinespaciado"/>
              <w:spacing w:line="276" w:lineRule="auto"/>
              <w:jc w:val="both"/>
              <w:rPr>
                <w:rFonts w:ascii="Arial" w:hAnsi="Arial" w:cs="Arial"/>
                <w:b/>
                <w:bCs/>
                <w:sz w:val="20"/>
                <w:szCs w:val="20"/>
              </w:rPr>
            </w:pPr>
            <w:r w:rsidRPr="00737BEE">
              <w:rPr>
                <w:rFonts w:ascii="Arial" w:hAnsi="Arial" w:cs="Arial"/>
                <w:b/>
                <w:bCs/>
                <w:sz w:val="20"/>
                <w:szCs w:val="20"/>
              </w:rPr>
              <w:t xml:space="preserve">Artículo 26. </w:t>
            </w:r>
          </w:p>
          <w:p w14:paraId="0845C6FC" w14:textId="77777777" w:rsidR="002D0D6A" w:rsidRPr="00737BEE" w:rsidRDefault="002D0D6A" w:rsidP="002D0D6A">
            <w:pPr>
              <w:pStyle w:val="Sinespaciado"/>
              <w:spacing w:line="276" w:lineRule="auto"/>
              <w:jc w:val="both"/>
              <w:rPr>
                <w:rFonts w:ascii="Arial" w:hAnsi="Arial" w:cs="Arial"/>
                <w:sz w:val="20"/>
                <w:szCs w:val="20"/>
              </w:rPr>
            </w:pPr>
          </w:p>
          <w:p w14:paraId="77EF5522" w14:textId="058C397A" w:rsidR="002D0D6A" w:rsidRDefault="002D0D6A" w:rsidP="002D0D6A">
            <w:pPr>
              <w:pStyle w:val="Sinespaciado"/>
              <w:spacing w:line="276" w:lineRule="auto"/>
              <w:jc w:val="both"/>
              <w:rPr>
                <w:rFonts w:ascii="Arial" w:hAnsi="Arial" w:cs="Arial"/>
                <w:sz w:val="20"/>
                <w:szCs w:val="20"/>
              </w:rPr>
            </w:pPr>
            <w:r w:rsidRPr="00737BEE">
              <w:rPr>
                <w:rFonts w:ascii="Arial" w:hAnsi="Arial" w:cs="Arial"/>
                <w:sz w:val="20"/>
                <w:szCs w:val="20"/>
              </w:rPr>
              <w:t xml:space="preserve">1. Este procedimiento tiene como finalidad determinar, de manera sumaria, la existencia de infracciones y responsabilidad de los sujetos señalados en el Código, mediante la valoración de los medios de prueba que obren en el expediente, atendiendo a los supuestos contenidos en el artículo 471 del Código. </w:t>
            </w:r>
          </w:p>
          <w:p w14:paraId="33A20445" w14:textId="77777777" w:rsidR="002D0D6A" w:rsidRDefault="002D0D6A" w:rsidP="002D0D6A">
            <w:pPr>
              <w:pStyle w:val="Sinespaciado"/>
              <w:spacing w:line="276" w:lineRule="auto"/>
              <w:jc w:val="both"/>
              <w:rPr>
                <w:rFonts w:ascii="Arial" w:hAnsi="Arial" w:cs="Arial"/>
                <w:sz w:val="20"/>
                <w:szCs w:val="20"/>
              </w:rPr>
            </w:pPr>
          </w:p>
          <w:p w14:paraId="698A9BE9" w14:textId="77777777" w:rsidR="002D0D6A" w:rsidRPr="00737BEE" w:rsidRDefault="002D0D6A" w:rsidP="002D0D6A">
            <w:pPr>
              <w:pStyle w:val="Sinespaciado"/>
              <w:spacing w:line="276" w:lineRule="auto"/>
              <w:jc w:val="both"/>
              <w:rPr>
                <w:rFonts w:ascii="Arial" w:hAnsi="Arial" w:cs="Arial"/>
                <w:b/>
                <w:bCs/>
                <w:sz w:val="20"/>
                <w:szCs w:val="20"/>
              </w:rPr>
            </w:pPr>
            <w:r w:rsidRPr="00737BEE">
              <w:rPr>
                <w:rFonts w:ascii="Arial" w:hAnsi="Arial" w:cs="Arial"/>
                <w:sz w:val="20"/>
                <w:szCs w:val="20"/>
              </w:rPr>
              <w:t>2. Cuando la queja se promueva por dos o más personas con interés común, deberán designar entre ellas un representante, en su defecto, lo hará la Secretaría en el primer acuerdo, sin perjuicio de que la parte respectiva lo sustituya por otro. La parte denunciada podrá también nombrar representante común.</w:t>
            </w:r>
          </w:p>
          <w:p w14:paraId="65C0B674" w14:textId="77777777" w:rsidR="00737BEE" w:rsidRPr="00EC0969" w:rsidRDefault="00737BEE" w:rsidP="00AB08AE">
            <w:pPr>
              <w:pStyle w:val="Sinespaciado"/>
              <w:spacing w:line="276" w:lineRule="auto"/>
              <w:jc w:val="both"/>
              <w:rPr>
                <w:rFonts w:ascii="Arial" w:hAnsi="Arial" w:cs="Arial"/>
                <w:b/>
                <w:bCs/>
                <w:sz w:val="20"/>
                <w:szCs w:val="20"/>
              </w:rPr>
            </w:pPr>
          </w:p>
        </w:tc>
      </w:tr>
      <w:tr w:rsidR="008705FF" w:rsidRPr="00A11BBA" w14:paraId="730C6E49" w14:textId="77777777" w:rsidTr="00897F3D">
        <w:tc>
          <w:tcPr>
            <w:tcW w:w="6658" w:type="dxa"/>
          </w:tcPr>
          <w:p w14:paraId="10DB4257" w14:textId="77777777" w:rsidR="008705FF" w:rsidRDefault="008705FF" w:rsidP="00A11BBA">
            <w:pPr>
              <w:pStyle w:val="Sinespaciado"/>
              <w:spacing w:line="276" w:lineRule="auto"/>
              <w:jc w:val="both"/>
              <w:rPr>
                <w:rFonts w:ascii="Arial" w:hAnsi="Arial" w:cs="Arial"/>
                <w:b/>
                <w:bCs/>
                <w:sz w:val="20"/>
                <w:szCs w:val="20"/>
              </w:rPr>
            </w:pPr>
          </w:p>
          <w:p w14:paraId="3083B1AA" w14:textId="50C0BEA4" w:rsidR="00331CAA" w:rsidRDefault="00331CAA" w:rsidP="00331CAA">
            <w:pPr>
              <w:pStyle w:val="Sinespaciado"/>
              <w:spacing w:line="276" w:lineRule="auto"/>
              <w:jc w:val="center"/>
              <w:rPr>
                <w:rFonts w:ascii="Arial" w:hAnsi="Arial" w:cs="Arial"/>
                <w:b/>
                <w:bCs/>
                <w:sz w:val="20"/>
                <w:szCs w:val="20"/>
              </w:rPr>
            </w:pPr>
            <w:r w:rsidRPr="00331CAA">
              <w:rPr>
                <w:rFonts w:ascii="Arial" w:hAnsi="Arial" w:cs="Arial"/>
                <w:b/>
                <w:bCs/>
                <w:sz w:val="20"/>
                <w:szCs w:val="20"/>
              </w:rPr>
              <w:t>Capítulo Tercero</w:t>
            </w:r>
          </w:p>
          <w:p w14:paraId="0D5E706C" w14:textId="77777777" w:rsidR="00331CAA" w:rsidRPr="00331CAA" w:rsidRDefault="00331CAA" w:rsidP="00331CAA">
            <w:pPr>
              <w:pStyle w:val="Sinespaciado"/>
              <w:spacing w:line="276" w:lineRule="auto"/>
              <w:jc w:val="center"/>
              <w:rPr>
                <w:rFonts w:ascii="Arial" w:hAnsi="Arial" w:cs="Arial"/>
                <w:b/>
                <w:bCs/>
                <w:sz w:val="20"/>
                <w:szCs w:val="20"/>
              </w:rPr>
            </w:pPr>
          </w:p>
          <w:p w14:paraId="227A6E39" w14:textId="7D7FF269" w:rsidR="008705FF" w:rsidRPr="00331CAA" w:rsidRDefault="00331CAA" w:rsidP="00A11BBA">
            <w:pPr>
              <w:pStyle w:val="Sinespaciado"/>
              <w:spacing w:line="276" w:lineRule="auto"/>
              <w:jc w:val="both"/>
              <w:rPr>
                <w:rFonts w:ascii="Arial" w:hAnsi="Arial" w:cs="Arial"/>
                <w:b/>
                <w:bCs/>
                <w:sz w:val="20"/>
                <w:szCs w:val="20"/>
              </w:rPr>
            </w:pPr>
            <w:r w:rsidRPr="00331CAA">
              <w:rPr>
                <w:rFonts w:ascii="Arial" w:hAnsi="Arial" w:cs="Arial"/>
                <w:b/>
                <w:bCs/>
                <w:sz w:val="20"/>
                <w:szCs w:val="20"/>
              </w:rPr>
              <w:t xml:space="preserve">Disposiciones relativas a los procedimientos sancionadores especiales por violencia política contra las mujeres </w:t>
            </w:r>
            <w:proofErr w:type="gramStart"/>
            <w:r w:rsidRPr="00331CAA">
              <w:rPr>
                <w:rFonts w:ascii="Arial" w:hAnsi="Arial" w:cs="Arial"/>
                <w:b/>
                <w:bCs/>
                <w:sz w:val="20"/>
                <w:szCs w:val="20"/>
              </w:rPr>
              <w:t>en razón de</w:t>
            </w:r>
            <w:proofErr w:type="gramEnd"/>
            <w:r w:rsidRPr="00331CAA">
              <w:rPr>
                <w:rFonts w:ascii="Arial" w:hAnsi="Arial" w:cs="Arial"/>
                <w:b/>
                <w:bCs/>
                <w:sz w:val="20"/>
                <w:szCs w:val="20"/>
              </w:rPr>
              <w:t xml:space="preserve"> género.</w:t>
            </w:r>
          </w:p>
          <w:p w14:paraId="206F9F96" w14:textId="6157A143" w:rsidR="008705FF" w:rsidRDefault="008705FF" w:rsidP="00A11BBA">
            <w:pPr>
              <w:pStyle w:val="Sinespaciado"/>
              <w:spacing w:line="276" w:lineRule="auto"/>
              <w:jc w:val="both"/>
              <w:rPr>
                <w:rFonts w:ascii="Arial" w:hAnsi="Arial" w:cs="Arial"/>
                <w:b/>
                <w:bCs/>
                <w:sz w:val="20"/>
                <w:szCs w:val="20"/>
              </w:rPr>
            </w:pPr>
          </w:p>
          <w:p w14:paraId="79D28092" w14:textId="76EBEE52" w:rsidR="00A40A51" w:rsidRDefault="00A40A51" w:rsidP="00A11BBA">
            <w:pPr>
              <w:pStyle w:val="Sinespaciado"/>
              <w:spacing w:line="276" w:lineRule="auto"/>
              <w:jc w:val="both"/>
              <w:rPr>
                <w:rFonts w:ascii="Arial" w:hAnsi="Arial" w:cs="Arial"/>
                <w:b/>
                <w:bCs/>
                <w:sz w:val="20"/>
                <w:szCs w:val="20"/>
              </w:rPr>
            </w:pPr>
            <w:r>
              <w:rPr>
                <w:rFonts w:ascii="Arial" w:hAnsi="Arial" w:cs="Arial"/>
                <w:b/>
                <w:bCs/>
                <w:sz w:val="20"/>
                <w:szCs w:val="20"/>
              </w:rPr>
              <w:t>Artículo 30.</w:t>
            </w:r>
          </w:p>
          <w:p w14:paraId="5422AF5B" w14:textId="0A861A79" w:rsidR="00A40A51" w:rsidRDefault="00A40A51" w:rsidP="00A11BBA">
            <w:pPr>
              <w:pStyle w:val="Sinespaciado"/>
              <w:spacing w:line="276" w:lineRule="auto"/>
              <w:jc w:val="both"/>
              <w:rPr>
                <w:rFonts w:ascii="Arial" w:hAnsi="Arial" w:cs="Arial"/>
                <w:b/>
                <w:bCs/>
                <w:sz w:val="20"/>
                <w:szCs w:val="20"/>
              </w:rPr>
            </w:pPr>
            <w:r>
              <w:rPr>
                <w:rFonts w:ascii="Arial" w:hAnsi="Arial" w:cs="Arial"/>
                <w:b/>
                <w:bCs/>
                <w:sz w:val="20"/>
                <w:szCs w:val="20"/>
              </w:rPr>
              <w:lastRenderedPageBreak/>
              <w:t>(…)</w:t>
            </w:r>
          </w:p>
          <w:p w14:paraId="30CDCA58" w14:textId="77777777" w:rsidR="008705FF" w:rsidRDefault="008705FF" w:rsidP="00A11BBA">
            <w:pPr>
              <w:pStyle w:val="Sinespaciado"/>
              <w:spacing w:line="276" w:lineRule="auto"/>
              <w:jc w:val="both"/>
              <w:rPr>
                <w:rFonts w:ascii="Arial" w:hAnsi="Arial" w:cs="Arial"/>
                <w:b/>
                <w:bCs/>
                <w:sz w:val="20"/>
                <w:szCs w:val="20"/>
              </w:rPr>
            </w:pPr>
          </w:p>
          <w:p w14:paraId="4593028C" w14:textId="77777777" w:rsidR="008705FF" w:rsidRDefault="008705FF" w:rsidP="00A11BBA">
            <w:pPr>
              <w:pStyle w:val="Sinespaciado"/>
              <w:spacing w:line="276" w:lineRule="auto"/>
              <w:jc w:val="both"/>
              <w:rPr>
                <w:rFonts w:ascii="Arial" w:hAnsi="Arial" w:cs="Arial"/>
                <w:b/>
                <w:bCs/>
                <w:sz w:val="20"/>
                <w:szCs w:val="20"/>
              </w:rPr>
            </w:pPr>
          </w:p>
          <w:p w14:paraId="3CF666D3" w14:textId="2E9F4B6B" w:rsidR="00A40A51" w:rsidRDefault="00A40A51" w:rsidP="00A40A51">
            <w:pPr>
              <w:pStyle w:val="Sinespaciado"/>
              <w:spacing w:line="276" w:lineRule="auto"/>
              <w:jc w:val="both"/>
              <w:rPr>
                <w:rFonts w:ascii="Arial" w:hAnsi="Arial" w:cs="Arial"/>
                <w:b/>
                <w:bCs/>
                <w:sz w:val="20"/>
                <w:szCs w:val="20"/>
              </w:rPr>
            </w:pPr>
            <w:r>
              <w:rPr>
                <w:rFonts w:ascii="Arial" w:hAnsi="Arial" w:cs="Arial"/>
                <w:b/>
                <w:bCs/>
                <w:sz w:val="20"/>
                <w:szCs w:val="20"/>
              </w:rPr>
              <w:t>Artículo 31.</w:t>
            </w:r>
          </w:p>
          <w:p w14:paraId="53D38F08" w14:textId="77777777" w:rsidR="00A40A51" w:rsidRDefault="00A40A51" w:rsidP="00A40A51">
            <w:pPr>
              <w:pStyle w:val="Sinespaciado"/>
              <w:spacing w:line="276" w:lineRule="auto"/>
              <w:jc w:val="both"/>
              <w:rPr>
                <w:rFonts w:ascii="Arial" w:hAnsi="Arial" w:cs="Arial"/>
                <w:b/>
                <w:bCs/>
                <w:sz w:val="20"/>
                <w:szCs w:val="20"/>
              </w:rPr>
            </w:pPr>
            <w:r>
              <w:rPr>
                <w:rFonts w:ascii="Arial" w:hAnsi="Arial" w:cs="Arial"/>
                <w:b/>
                <w:bCs/>
                <w:sz w:val="20"/>
                <w:szCs w:val="20"/>
              </w:rPr>
              <w:t>(…)</w:t>
            </w:r>
          </w:p>
          <w:p w14:paraId="4836449A" w14:textId="77777777" w:rsidR="00A40A51" w:rsidRDefault="00A40A51" w:rsidP="00A40A51">
            <w:pPr>
              <w:pStyle w:val="Sinespaciado"/>
              <w:spacing w:line="276" w:lineRule="auto"/>
              <w:jc w:val="both"/>
              <w:rPr>
                <w:rFonts w:ascii="Arial" w:hAnsi="Arial" w:cs="Arial"/>
                <w:b/>
                <w:bCs/>
                <w:sz w:val="20"/>
                <w:szCs w:val="20"/>
              </w:rPr>
            </w:pPr>
          </w:p>
          <w:p w14:paraId="762312B3" w14:textId="64C08189" w:rsidR="00A40A51" w:rsidRDefault="00A40A51" w:rsidP="00A40A51">
            <w:pPr>
              <w:pStyle w:val="Sinespaciado"/>
              <w:spacing w:line="276" w:lineRule="auto"/>
              <w:jc w:val="both"/>
              <w:rPr>
                <w:rFonts w:ascii="Arial" w:hAnsi="Arial" w:cs="Arial"/>
                <w:b/>
                <w:bCs/>
                <w:sz w:val="20"/>
                <w:szCs w:val="20"/>
              </w:rPr>
            </w:pPr>
            <w:r>
              <w:rPr>
                <w:rFonts w:ascii="Arial" w:hAnsi="Arial" w:cs="Arial"/>
                <w:b/>
                <w:bCs/>
                <w:sz w:val="20"/>
                <w:szCs w:val="20"/>
              </w:rPr>
              <w:t>Artículo 32.</w:t>
            </w:r>
          </w:p>
          <w:p w14:paraId="3A915357" w14:textId="77777777" w:rsidR="00A40A51" w:rsidRDefault="00A40A51" w:rsidP="00A40A51">
            <w:pPr>
              <w:pStyle w:val="Sinespaciado"/>
              <w:spacing w:line="276" w:lineRule="auto"/>
              <w:jc w:val="both"/>
              <w:rPr>
                <w:rFonts w:ascii="Arial" w:hAnsi="Arial" w:cs="Arial"/>
                <w:b/>
                <w:bCs/>
                <w:sz w:val="20"/>
                <w:szCs w:val="20"/>
              </w:rPr>
            </w:pPr>
            <w:r>
              <w:rPr>
                <w:rFonts w:ascii="Arial" w:hAnsi="Arial" w:cs="Arial"/>
                <w:b/>
                <w:bCs/>
                <w:sz w:val="20"/>
                <w:szCs w:val="20"/>
              </w:rPr>
              <w:t>(…)</w:t>
            </w:r>
          </w:p>
          <w:p w14:paraId="4D09F89C" w14:textId="77777777" w:rsidR="00A40A51" w:rsidRDefault="00A40A51" w:rsidP="00A40A51">
            <w:pPr>
              <w:pStyle w:val="Sinespaciado"/>
              <w:spacing w:line="276" w:lineRule="auto"/>
              <w:jc w:val="both"/>
              <w:rPr>
                <w:rFonts w:ascii="Arial" w:hAnsi="Arial" w:cs="Arial"/>
                <w:b/>
                <w:bCs/>
                <w:sz w:val="20"/>
                <w:szCs w:val="20"/>
              </w:rPr>
            </w:pPr>
          </w:p>
          <w:p w14:paraId="74370340" w14:textId="64F2ADFF" w:rsidR="00A40A51" w:rsidRDefault="00A40A51" w:rsidP="00A40A51">
            <w:pPr>
              <w:pStyle w:val="Sinespaciado"/>
              <w:spacing w:line="276" w:lineRule="auto"/>
              <w:jc w:val="both"/>
              <w:rPr>
                <w:rFonts w:ascii="Arial" w:hAnsi="Arial" w:cs="Arial"/>
                <w:b/>
                <w:bCs/>
                <w:sz w:val="20"/>
                <w:szCs w:val="20"/>
              </w:rPr>
            </w:pPr>
            <w:r>
              <w:rPr>
                <w:rFonts w:ascii="Arial" w:hAnsi="Arial" w:cs="Arial"/>
                <w:b/>
                <w:bCs/>
                <w:sz w:val="20"/>
                <w:szCs w:val="20"/>
              </w:rPr>
              <w:t>Artículo 33.</w:t>
            </w:r>
          </w:p>
          <w:p w14:paraId="7D84957F" w14:textId="77777777" w:rsidR="00A40A51" w:rsidRDefault="00A40A51" w:rsidP="00A40A51">
            <w:pPr>
              <w:pStyle w:val="Sinespaciado"/>
              <w:spacing w:line="276" w:lineRule="auto"/>
              <w:jc w:val="both"/>
              <w:rPr>
                <w:rFonts w:ascii="Arial" w:hAnsi="Arial" w:cs="Arial"/>
                <w:b/>
                <w:bCs/>
                <w:sz w:val="20"/>
                <w:szCs w:val="20"/>
              </w:rPr>
            </w:pPr>
            <w:r>
              <w:rPr>
                <w:rFonts w:ascii="Arial" w:hAnsi="Arial" w:cs="Arial"/>
                <w:b/>
                <w:bCs/>
                <w:sz w:val="20"/>
                <w:szCs w:val="20"/>
              </w:rPr>
              <w:t>(…)</w:t>
            </w:r>
          </w:p>
          <w:p w14:paraId="20075AC6" w14:textId="77777777" w:rsidR="008705FF" w:rsidRDefault="008705FF" w:rsidP="00A11BBA">
            <w:pPr>
              <w:pStyle w:val="Sinespaciado"/>
              <w:spacing w:line="276" w:lineRule="auto"/>
              <w:jc w:val="both"/>
              <w:rPr>
                <w:rFonts w:ascii="Arial" w:hAnsi="Arial" w:cs="Arial"/>
                <w:b/>
                <w:bCs/>
                <w:sz w:val="20"/>
                <w:szCs w:val="20"/>
              </w:rPr>
            </w:pPr>
          </w:p>
          <w:p w14:paraId="00702AD0" w14:textId="77777777" w:rsidR="008705FF" w:rsidRDefault="008705FF" w:rsidP="00A11BBA">
            <w:pPr>
              <w:pStyle w:val="Sinespaciado"/>
              <w:spacing w:line="276" w:lineRule="auto"/>
              <w:jc w:val="both"/>
              <w:rPr>
                <w:rFonts w:ascii="Arial" w:hAnsi="Arial" w:cs="Arial"/>
                <w:b/>
                <w:bCs/>
                <w:sz w:val="20"/>
                <w:szCs w:val="20"/>
              </w:rPr>
            </w:pPr>
          </w:p>
          <w:p w14:paraId="7C75B3EC" w14:textId="77777777" w:rsidR="008705FF" w:rsidRDefault="008705FF" w:rsidP="00A11BBA">
            <w:pPr>
              <w:pStyle w:val="Sinespaciado"/>
              <w:spacing w:line="276" w:lineRule="auto"/>
              <w:jc w:val="both"/>
              <w:rPr>
                <w:rFonts w:ascii="Arial" w:hAnsi="Arial" w:cs="Arial"/>
                <w:b/>
                <w:bCs/>
                <w:sz w:val="20"/>
                <w:szCs w:val="20"/>
              </w:rPr>
            </w:pPr>
          </w:p>
          <w:p w14:paraId="50866686" w14:textId="77777777" w:rsidR="008705FF" w:rsidRDefault="008705FF" w:rsidP="00A11BBA">
            <w:pPr>
              <w:pStyle w:val="Sinespaciado"/>
              <w:spacing w:line="276" w:lineRule="auto"/>
              <w:jc w:val="both"/>
              <w:rPr>
                <w:rFonts w:ascii="Arial" w:hAnsi="Arial" w:cs="Arial"/>
                <w:b/>
                <w:bCs/>
                <w:sz w:val="20"/>
                <w:szCs w:val="20"/>
              </w:rPr>
            </w:pPr>
          </w:p>
          <w:p w14:paraId="654AF6FB" w14:textId="77777777" w:rsidR="008705FF" w:rsidRDefault="008705FF" w:rsidP="00A11BBA">
            <w:pPr>
              <w:pStyle w:val="Sinespaciado"/>
              <w:spacing w:line="276" w:lineRule="auto"/>
              <w:jc w:val="both"/>
              <w:rPr>
                <w:rFonts w:ascii="Arial" w:hAnsi="Arial" w:cs="Arial"/>
                <w:b/>
                <w:bCs/>
                <w:sz w:val="20"/>
                <w:szCs w:val="20"/>
              </w:rPr>
            </w:pPr>
          </w:p>
          <w:p w14:paraId="4D6D886E" w14:textId="4F17F626" w:rsidR="008705FF" w:rsidRPr="00737BEE" w:rsidRDefault="008705FF" w:rsidP="00A11BBA">
            <w:pPr>
              <w:pStyle w:val="Sinespaciado"/>
              <w:spacing w:line="276" w:lineRule="auto"/>
              <w:jc w:val="both"/>
              <w:rPr>
                <w:rFonts w:ascii="Arial" w:hAnsi="Arial" w:cs="Arial"/>
                <w:b/>
                <w:bCs/>
                <w:sz w:val="20"/>
                <w:szCs w:val="20"/>
              </w:rPr>
            </w:pPr>
          </w:p>
        </w:tc>
        <w:tc>
          <w:tcPr>
            <w:tcW w:w="6574" w:type="dxa"/>
          </w:tcPr>
          <w:p w14:paraId="24260341" w14:textId="77777777" w:rsidR="008705FF" w:rsidRDefault="008705FF" w:rsidP="002D0D6A">
            <w:pPr>
              <w:pStyle w:val="Sinespaciado"/>
              <w:spacing w:line="276" w:lineRule="auto"/>
              <w:jc w:val="both"/>
              <w:rPr>
                <w:rFonts w:ascii="Arial" w:hAnsi="Arial" w:cs="Arial"/>
                <w:b/>
                <w:bCs/>
                <w:sz w:val="20"/>
                <w:szCs w:val="20"/>
              </w:rPr>
            </w:pPr>
          </w:p>
          <w:p w14:paraId="7E17D327" w14:textId="34E665BE" w:rsidR="00A40A51" w:rsidRPr="00737BEE" w:rsidRDefault="00A40A51" w:rsidP="002D0D6A">
            <w:pPr>
              <w:pStyle w:val="Sinespaciado"/>
              <w:spacing w:line="276" w:lineRule="auto"/>
              <w:jc w:val="both"/>
              <w:rPr>
                <w:rFonts w:ascii="Arial" w:hAnsi="Arial" w:cs="Arial"/>
                <w:b/>
                <w:bCs/>
                <w:sz w:val="20"/>
                <w:szCs w:val="20"/>
              </w:rPr>
            </w:pPr>
            <w:r>
              <w:rPr>
                <w:rFonts w:ascii="Arial" w:hAnsi="Arial" w:cs="Arial"/>
                <w:b/>
                <w:bCs/>
                <w:sz w:val="20"/>
                <w:szCs w:val="20"/>
              </w:rPr>
              <w:t>Se deroga el Capítulo Tercero.</w:t>
            </w:r>
          </w:p>
        </w:tc>
      </w:tr>
    </w:tbl>
    <w:p w14:paraId="44BBB17D" w14:textId="39374353" w:rsidR="000F4655" w:rsidRDefault="000F4655" w:rsidP="00A11BBA">
      <w:pPr>
        <w:spacing w:line="276" w:lineRule="auto"/>
        <w:rPr>
          <w:rFonts w:ascii="Arial" w:eastAsia="Calibri" w:hAnsi="Arial" w:cs="Arial"/>
          <w:sz w:val="20"/>
          <w:szCs w:val="20"/>
        </w:rPr>
      </w:pPr>
    </w:p>
    <w:p w14:paraId="181E9814" w14:textId="77777777" w:rsidR="008705FF" w:rsidRPr="00A11BBA" w:rsidRDefault="008705FF" w:rsidP="00A11BBA">
      <w:pPr>
        <w:spacing w:line="276" w:lineRule="auto"/>
        <w:rPr>
          <w:rFonts w:ascii="Arial" w:eastAsia="Calibri" w:hAnsi="Arial" w:cs="Arial"/>
          <w:sz w:val="20"/>
          <w:szCs w:val="20"/>
        </w:rPr>
      </w:pPr>
    </w:p>
    <w:p w14:paraId="3EF79491" w14:textId="77777777" w:rsidR="000F4655" w:rsidRPr="00A11BBA" w:rsidRDefault="000F4655" w:rsidP="00A11BBA">
      <w:pPr>
        <w:spacing w:line="276" w:lineRule="auto"/>
        <w:rPr>
          <w:rFonts w:ascii="Arial" w:eastAsia="Calibri" w:hAnsi="Arial" w:cs="Arial"/>
          <w:sz w:val="20"/>
          <w:szCs w:val="20"/>
        </w:rPr>
      </w:pPr>
    </w:p>
    <w:p w14:paraId="1B640710" w14:textId="3B0B5B10" w:rsidR="000F4655" w:rsidRPr="00A11BBA" w:rsidRDefault="000F4655" w:rsidP="00A11BBA">
      <w:pPr>
        <w:spacing w:line="276" w:lineRule="auto"/>
        <w:rPr>
          <w:rFonts w:ascii="Arial" w:eastAsia="Calibri" w:hAnsi="Arial" w:cs="Arial"/>
          <w:sz w:val="20"/>
          <w:szCs w:val="20"/>
        </w:rPr>
      </w:pPr>
    </w:p>
    <w:p w14:paraId="3DB14D3A" w14:textId="55EC90CC" w:rsidR="00A916E8" w:rsidRPr="00A11BBA" w:rsidRDefault="000F4655" w:rsidP="00A11BBA">
      <w:pPr>
        <w:tabs>
          <w:tab w:val="left" w:pos="7245"/>
        </w:tabs>
        <w:spacing w:line="276" w:lineRule="auto"/>
        <w:rPr>
          <w:rFonts w:ascii="Arial" w:eastAsia="Calibri" w:hAnsi="Arial" w:cs="Arial"/>
          <w:sz w:val="20"/>
          <w:szCs w:val="20"/>
        </w:rPr>
      </w:pPr>
      <w:r w:rsidRPr="00A11BBA">
        <w:rPr>
          <w:rFonts w:ascii="Arial" w:eastAsia="Calibri" w:hAnsi="Arial" w:cs="Arial"/>
          <w:sz w:val="20"/>
          <w:szCs w:val="20"/>
        </w:rPr>
        <w:tab/>
      </w:r>
    </w:p>
    <w:p w14:paraId="32CBEC46" w14:textId="77777777" w:rsidR="00393D27" w:rsidRPr="00A11BBA" w:rsidRDefault="00393D27" w:rsidP="00A11BBA">
      <w:pPr>
        <w:tabs>
          <w:tab w:val="left" w:pos="7245"/>
        </w:tabs>
        <w:spacing w:line="276" w:lineRule="auto"/>
        <w:rPr>
          <w:rFonts w:ascii="Arial" w:eastAsia="Calibri" w:hAnsi="Arial" w:cs="Arial"/>
          <w:sz w:val="20"/>
          <w:szCs w:val="20"/>
        </w:rPr>
      </w:pPr>
    </w:p>
    <w:sectPr w:rsidR="00393D27" w:rsidRPr="00A11BBA" w:rsidSect="00897F3D">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23949" w14:textId="77777777" w:rsidR="0001423E" w:rsidRDefault="0001423E" w:rsidP="008951C0">
      <w:pPr>
        <w:spacing w:after="0" w:line="240" w:lineRule="auto"/>
      </w:pPr>
      <w:r>
        <w:separator/>
      </w:r>
    </w:p>
  </w:endnote>
  <w:endnote w:type="continuationSeparator" w:id="0">
    <w:p w14:paraId="765C79E2" w14:textId="77777777" w:rsidR="0001423E" w:rsidRDefault="0001423E" w:rsidP="0089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332A" w14:textId="77777777" w:rsidR="008951C0" w:rsidRDefault="008951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B6B7" w14:textId="77777777" w:rsidR="008951C0" w:rsidRDefault="008951C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D48E" w14:textId="77777777" w:rsidR="008951C0" w:rsidRDefault="008951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7B47" w14:textId="77777777" w:rsidR="0001423E" w:rsidRDefault="0001423E" w:rsidP="008951C0">
      <w:pPr>
        <w:spacing w:after="0" w:line="240" w:lineRule="auto"/>
      </w:pPr>
      <w:r>
        <w:separator/>
      </w:r>
    </w:p>
  </w:footnote>
  <w:footnote w:type="continuationSeparator" w:id="0">
    <w:p w14:paraId="10ABB415" w14:textId="77777777" w:rsidR="0001423E" w:rsidRDefault="0001423E" w:rsidP="00895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14E7" w14:textId="6B4C7BA2" w:rsidR="008951C0" w:rsidRDefault="008951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EB00" w14:textId="702FD7A1" w:rsidR="008951C0" w:rsidRDefault="008951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E059" w14:textId="48366EFB" w:rsidR="008951C0" w:rsidRDefault="008951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B6A"/>
    <w:multiLevelType w:val="hybridMultilevel"/>
    <w:tmpl w:val="806C48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9F6E6A"/>
    <w:multiLevelType w:val="hybridMultilevel"/>
    <w:tmpl w:val="29282F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D5459F"/>
    <w:multiLevelType w:val="hybridMultilevel"/>
    <w:tmpl w:val="10143E90"/>
    <w:lvl w:ilvl="0" w:tplc="349EF1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84289"/>
    <w:multiLevelType w:val="hybridMultilevel"/>
    <w:tmpl w:val="1820CEE0"/>
    <w:lvl w:ilvl="0" w:tplc="7D92A9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D51344"/>
    <w:multiLevelType w:val="hybridMultilevel"/>
    <w:tmpl w:val="F9FE4752"/>
    <w:lvl w:ilvl="0" w:tplc="7AD24F78">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F32798E"/>
    <w:multiLevelType w:val="hybridMultilevel"/>
    <w:tmpl w:val="BE1A78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9158E7"/>
    <w:multiLevelType w:val="hybridMultilevel"/>
    <w:tmpl w:val="E8908A5E"/>
    <w:lvl w:ilvl="0" w:tplc="5CDAAAB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6901B9F"/>
    <w:multiLevelType w:val="hybridMultilevel"/>
    <w:tmpl w:val="0BF4D56E"/>
    <w:lvl w:ilvl="0" w:tplc="1DC09D6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15:restartNumberingAfterBreak="0">
    <w:nsid w:val="4B4B307B"/>
    <w:multiLevelType w:val="hybridMultilevel"/>
    <w:tmpl w:val="29282F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5A4D6E"/>
    <w:multiLevelType w:val="hybridMultilevel"/>
    <w:tmpl w:val="A596FD98"/>
    <w:lvl w:ilvl="0" w:tplc="4BBE097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DCF3DCF"/>
    <w:multiLevelType w:val="hybridMultilevel"/>
    <w:tmpl w:val="8B7C8EEC"/>
    <w:lvl w:ilvl="0" w:tplc="F14A4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BF1569"/>
    <w:multiLevelType w:val="hybridMultilevel"/>
    <w:tmpl w:val="05F269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B624B5"/>
    <w:multiLevelType w:val="hybridMultilevel"/>
    <w:tmpl w:val="B04A84CC"/>
    <w:lvl w:ilvl="0" w:tplc="EEF25284">
      <w:start w:val="1"/>
      <w:numFmt w:val="upperRoman"/>
      <w:lvlText w:val="%1."/>
      <w:lvlJc w:val="left"/>
      <w:pPr>
        <w:ind w:left="1080" w:hanging="720"/>
      </w:pPr>
      <w:rPr>
        <w:rFonts w:hint="default"/>
      </w:rPr>
    </w:lvl>
    <w:lvl w:ilvl="1" w:tplc="EEDE6D5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EC66D9"/>
    <w:multiLevelType w:val="hybridMultilevel"/>
    <w:tmpl w:val="37620D58"/>
    <w:lvl w:ilvl="0" w:tplc="210EA17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63D41296"/>
    <w:multiLevelType w:val="hybridMultilevel"/>
    <w:tmpl w:val="D5803C1C"/>
    <w:lvl w:ilvl="0" w:tplc="88CA2218">
      <w:start w:val="1"/>
      <w:numFmt w:val="upperRoman"/>
      <w:lvlText w:val="%1."/>
      <w:lvlJc w:val="left"/>
      <w:pPr>
        <w:ind w:left="1080" w:hanging="720"/>
      </w:pPr>
      <w:rPr>
        <w:rFonts w:hint="default"/>
      </w:rPr>
    </w:lvl>
    <w:lvl w:ilvl="1" w:tplc="44A27000">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542F45"/>
    <w:multiLevelType w:val="hybridMultilevel"/>
    <w:tmpl w:val="7EC832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FBB72EA"/>
    <w:multiLevelType w:val="hybridMultilevel"/>
    <w:tmpl w:val="0F6614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911442">
    <w:abstractNumId w:val="10"/>
  </w:num>
  <w:num w:numId="2" w16cid:durableId="418601440">
    <w:abstractNumId w:val="11"/>
  </w:num>
  <w:num w:numId="3" w16cid:durableId="45302859">
    <w:abstractNumId w:val="5"/>
  </w:num>
  <w:num w:numId="4" w16cid:durableId="2025669748">
    <w:abstractNumId w:val="9"/>
  </w:num>
  <w:num w:numId="5" w16cid:durableId="755325368">
    <w:abstractNumId w:val="8"/>
  </w:num>
  <w:num w:numId="6" w16cid:durableId="1273593682">
    <w:abstractNumId w:val="7"/>
  </w:num>
  <w:num w:numId="7" w16cid:durableId="868302412">
    <w:abstractNumId w:val="12"/>
  </w:num>
  <w:num w:numId="8" w16cid:durableId="591089119">
    <w:abstractNumId w:val="15"/>
  </w:num>
  <w:num w:numId="9" w16cid:durableId="795372295">
    <w:abstractNumId w:val="2"/>
  </w:num>
  <w:num w:numId="10" w16cid:durableId="1191066534">
    <w:abstractNumId w:val="14"/>
  </w:num>
  <w:num w:numId="11" w16cid:durableId="1067991767">
    <w:abstractNumId w:val="4"/>
  </w:num>
  <w:num w:numId="12" w16cid:durableId="1547255763">
    <w:abstractNumId w:val="6"/>
  </w:num>
  <w:num w:numId="13" w16cid:durableId="1990861895">
    <w:abstractNumId w:val="13"/>
  </w:num>
  <w:num w:numId="14" w16cid:durableId="1438017565">
    <w:abstractNumId w:val="1"/>
  </w:num>
  <w:num w:numId="15" w16cid:durableId="1904170905">
    <w:abstractNumId w:val="0"/>
  </w:num>
  <w:num w:numId="16" w16cid:durableId="2095585078">
    <w:abstractNumId w:val="3"/>
  </w:num>
  <w:num w:numId="17" w16cid:durableId="715587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E8"/>
    <w:rsid w:val="0000213D"/>
    <w:rsid w:val="0001423E"/>
    <w:rsid w:val="00070D53"/>
    <w:rsid w:val="0009582B"/>
    <w:rsid w:val="000F4655"/>
    <w:rsid w:val="001401C1"/>
    <w:rsid w:val="00142294"/>
    <w:rsid w:val="00154D91"/>
    <w:rsid w:val="00187454"/>
    <w:rsid w:val="001A113E"/>
    <w:rsid w:val="001B080F"/>
    <w:rsid w:val="001B6849"/>
    <w:rsid w:val="001D6273"/>
    <w:rsid w:val="001D68CE"/>
    <w:rsid w:val="0021372E"/>
    <w:rsid w:val="002829CD"/>
    <w:rsid w:val="002B66DA"/>
    <w:rsid w:val="002C767C"/>
    <w:rsid w:val="002D0D6A"/>
    <w:rsid w:val="002D682D"/>
    <w:rsid w:val="002E2E9E"/>
    <w:rsid w:val="002E6BBC"/>
    <w:rsid w:val="00301AE3"/>
    <w:rsid w:val="00321788"/>
    <w:rsid w:val="00327637"/>
    <w:rsid w:val="00331CAA"/>
    <w:rsid w:val="00354EB7"/>
    <w:rsid w:val="0036103D"/>
    <w:rsid w:val="00393D27"/>
    <w:rsid w:val="003A5AF5"/>
    <w:rsid w:val="0040633D"/>
    <w:rsid w:val="00414A93"/>
    <w:rsid w:val="004A6190"/>
    <w:rsid w:val="004A6A4E"/>
    <w:rsid w:val="004B3994"/>
    <w:rsid w:val="004F08A0"/>
    <w:rsid w:val="00504586"/>
    <w:rsid w:val="005048FD"/>
    <w:rsid w:val="00506C92"/>
    <w:rsid w:val="00510B25"/>
    <w:rsid w:val="00520B1E"/>
    <w:rsid w:val="0053477D"/>
    <w:rsid w:val="00565E17"/>
    <w:rsid w:val="005835B2"/>
    <w:rsid w:val="00594F32"/>
    <w:rsid w:val="005C4ECA"/>
    <w:rsid w:val="005C7B56"/>
    <w:rsid w:val="005D79F6"/>
    <w:rsid w:val="005F5D81"/>
    <w:rsid w:val="00602D4E"/>
    <w:rsid w:val="00613BA5"/>
    <w:rsid w:val="00633686"/>
    <w:rsid w:val="006554F1"/>
    <w:rsid w:val="006619F6"/>
    <w:rsid w:val="00671A0A"/>
    <w:rsid w:val="00694F7A"/>
    <w:rsid w:val="006A0846"/>
    <w:rsid w:val="006C331F"/>
    <w:rsid w:val="006F4CA7"/>
    <w:rsid w:val="00737BEE"/>
    <w:rsid w:val="0074311E"/>
    <w:rsid w:val="00753656"/>
    <w:rsid w:val="007671BB"/>
    <w:rsid w:val="007C0C57"/>
    <w:rsid w:val="007C1837"/>
    <w:rsid w:val="007C39AF"/>
    <w:rsid w:val="00804ADF"/>
    <w:rsid w:val="0086503E"/>
    <w:rsid w:val="008705FF"/>
    <w:rsid w:val="008951C0"/>
    <w:rsid w:val="00897F3D"/>
    <w:rsid w:val="008A366E"/>
    <w:rsid w:val="008B27D0"/>
    <w:rsid w:val="008B2C3E"/>
    <w:rsid w:val="008B49B9"/>
    <w:rsid w:val="008D6E86"/>
    <w:rsid w:val="008E1790"/>
    <w:rsid w:val="008E65C4"/>
    <w:rsid w:val="008F58D3"/>
    <w:rsid w:val="0097744D"/>
    <w:rsid w:val="009D3C71"/>
    <w:rsid w:val="00A11BBA"/>
    <w:rsid w:val="00A234B0"/>
    <w:rsid w:val="00A40A51"/>
    <w:rsid w:val="00A4670E"/>
    <w:rsid w:val="00A51CC5"/>
    <w:rsid w:val="00A84CBE"/>
    <w:rsid w:val="00A916E8"/>
    <w:rsid w:val="00AB08AE"/>
    <w:rsid w:val="00AD38F4"/>
    <w:rsid w:val="00AF3320"/>
    <w:rsid w:val="00B2104F"/>
    <w:rsid w:val="00B233F4"/>
    <w:rsid w:val="00B247AE"/>
    <w:rsid w:val="00B77C18"/>
    <w:rsid w:val="00BB7E9C"/>
    <w:rsid w:val="00BD7B39"/>
    <w:rsid w:val="00BF2FD3"/>
    <w:rsid w:val="00C11B98"/>
    <w:rsid w:val="00C41B99"/>
    <w:rsid w:val="00C70BF5"/>
    <w:rsid w:val="00C944CA"/>
    <w:rsid w:val="00CB4F7C"/>
    <w:rsid w:val="00CB6966"/>
    <w:rsid w:val="00CC4505"/>
    <w:rsid w:val="00CF463D"/>
    <w:rsid w:val="00D37591"/>
    <w:rsid w:val="00D6141D"/>
    <w:rsid w:val="00D61E1D"/>
    <w:rsid w:val="00D64BD6"/>
    <w:rsid w:val="00D70B31"/>
    <w:rsid w:val="00D72403"/>
    <w:rsid w:val="00DA2AEE"/>
    <w:rsid w:val="00DB18B4"/>
    <w:rsid w:val="00DB68F7"/>
    <w:rsid w:val="00DC2031"/>
    <w:rsid w:val="00DE685A"/>
    <w:rsid w:val="00DE6AF4"/>
    <w:rsid w:val="00E35C9F"/>
    <w:rsid w:val="00E43D1D"/>
    <w:rsid w:val="00E74CE8"/>
    <w:rsid w:val="00E9746B"/>
    <w:rsid w:val="00EA6DF1"/>
    <w:rsid w:val="00EB1B4C"/>
    <w:rsid w:val="00EB64F4"/>
    <w:rsid w:val="00EC0969"/>
    <w:rsid w:val="00F14B18"/>
    <w:rsid w:val="00F1697A"/>
    <w:rsid w:val="00F6115D"/>
    <w:rsid w:val="00F90D38"/>
    <w:rsid w:val="00F913E9"/>
    <w:rsid w:val="00F96577"/>
    <w:rsid w:val="00FA5B39"/>
    <w:rsid w:val="00FB66C4"/>
    <w:rsid w:val="00FC5D39"/>
    <w:rsid w:val="00FE75F3"/>
    <w:rsid w:val="00FF44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7845B"/>
  <w15:docId w15:val="{62A02D5E-D516-447B-AB63-AE502844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9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16E8"/>
    <w:pPr>
      <w:ind w:left="720"/>
      <w:contextualSpacing/>
    </w:pPr>
  </w:style>
  <w:style w:type="paragraph" w:styleId="Sinespaciado">
    <w:name w:val="No Spacing"/>
    <w:uiPriority w:val="1"/>
    <w:qFormat/>
    <w:rsid w:val="00A916E8"/>
    <w:pPr>
      <w:spacing w:after="0" w:line="240" w:lineRule="auto"/>
    </w:pPr>
  </w:style>
  <w:style w:type="character" w:styleId="Refdecomentario">
    <w:name w:val="annotation reference"/>
    <w:basedOn w:val="Fuentedeprrafopredeter"/>
    <w:uiPriority w:val="99"/>
    <w:semiHidden/>
    <w:unhideWhenUsed/>
    <w:rsid w:val="00A916E8"/>
    <w:rPr>
      <w:sz w:val="16"/>
      <w:szCs w:val="16"/>
    </w:rPr>
  </w:style>
  <w:style w:type="paragraph" w:styleId="Textocomentario">
    <w:name w:val="annotation text"/>
    <w:basedOn w:val="Normal"/>
    <w:link w:val="TextocomentarioCar"/>
    <w:uiPriority w:val="99"/>
    <w:semiHidden/>
    <w:unhideWhenUsed/>
    <w:rsid w:val="00A916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16E8"/>
    <w:rPr>
      <w:sz w:val="20"/>
      <w:szCs w:val="20"/>
    </w:rPr>
  </w:style>
  <w:style w:type="paragraph" w:styleId="Textodeglobo">
    <w:name w:val="Balloon Text"/>
    <w:basedOn w:val="Normal"/>
    <w:link w:val="TextodegloboCar"/>
    <w:uiPriority w:val="99"/>
    <w:semiHidden/>
    <w:unhideWhenUsed/>
    <w:rsid w:val="00A916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16E8"/>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9746B"/>
    <w:rPr>
      <w:b/>
      <w:bCs/>
    </w:rPr>
  </w:style>
  <w:style w:type="character" w:customStyle="1" w:styleId="AsuntodelcomentarioCar">
    <w:name w:val="Asunto del comentario Car"/>
    <w:basedOn w:val="TextocomentarioCar"/>
    <w:link w:val="Asuntodelcomentario"/>
    <w:uiPriority w:val="99"/>
    <w:semiHidden/>
    <w:rsid w:val="00E9746B"/>
    <w:rPr>
      <w:b/>
      <w:bCs/>
      <w:sz w:val="20"/>
      <w:szCs w:val="20"/>
    </w:rPr>
  </w:style>
  <w:style w:type="paragraph" w:styleId="Encabezado">
    <w:name w:val="header"/>
    <w:basedOn w:val="Normal"/>
    <w:link w:val="EncabezadoCar"/>
    <w:uiPriority w:val="99"/>
    <w:unhideWhenUsed/>
    <w:rsid w:val="008951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1C0"/>
  </w:style>
  <w:style w:type="paragraph" w:styleId="Piedepgina">
    <w:name w:val="footer"/>
    <w:basedOn w:val="Normal"/>
    <w:link w:val="PiedepginaCar"/>
    <w:uiPriority w:val="99"/>
    <w:unhideWhenUsed/>
    <w:rsid w:val="008951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5779">
      <w:bodyDiv w:val="1"/>
      <w:marLeft w:val="0"/>
      <w:marRight w:val="0"/>
      <w:marTop w:val="0"/>
      <w:marBottom w:val="0"/>
      <w:divBdr>
        <w:top w:val="none" w:sz="0" w:space="0" w:color="auto"/>
        <w:left w:val="none" w:sz="0" w:space="0" w:color="auto"/>
        <w:bottom w:val="none" w:sz="0" w:space="0" w:color="auto"/>
        <w:right w:val="none" w:sz="0" w:space="0" w:color="auto"/>
      </w:divBdr>
    </w:div>
    <w:div w:id="208347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2381-F53C-464F-919B-C2B7AB1A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3451</Words>
  <Characters>18986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 caudillo</dc:creator>
  <cp:lastModifiedBy>Ricardo Escobar Cibrian</cp:lastModifiedBy>
  <cp:revision>5</cp:revision>
  <cp:lastPrinted>2020-09-25T18:45:00Z</cp:lastPrinted>
  <dcterms:created xsi:type="dcterms:W3CDTF">2023-02-21T17:38:00Z</dcterms:created>
  <dcterms:modified xsi:type="dcterms:W3CDTF">2023-06-23T20:18:00Z</dcterms:modified>
</cp:coreProperties>
</file>