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60A85868" w:rsidR="001044B3" w:rsidRPr="00DF714D" w:rsidRDefault="001044B3" w:rsidP="00E963EE">
      <w:pPr>
        <w:spacing w:after="0" w:line="360" w:lineRule="auto"/>
        <w:ind w:right="-518"/>
        <w:jc w:val="both"/>
        <w:rPr>
          <w:rFonts w:ascii="Century Gothic" w:hAnsi="Century Gothic"/>
          <w:b/>
          <w:bCs/>
          <w:sz w:val="24"/>
          <w:szCs w:val="24"/>
        </w:rPr>
      </w:pPr>
      <w:r w:rsidRPr="00DF714D">
        <w:rPr>
          <w:rFonts w:ascii="Century Gothic" w:hAnsi="Century Gothic"/>
          <w:b/>
          <w:bCs/>
          <w:sz w:val="24"/>
          <w:szCs w:val="24"/>
        </w:rPr>
        <w:t xml:space="preserve">VOTO </w:t>
      </w:r>
      <w:r w:rsidR="004E6084" w:rsidRPr="00DF714D">
        <w:rPr>
          <w:rFonts w:ascii="Century Gothic" w:hAnsi="Century Gothic"/>
          <w:b/>
          <w:bCs/>
          <w:sz w:val="24"/>
          <w:szCs w:val="24"/>
        </w:rPr>
        <w:t>CONCURRENTE</w:t>
      </w:r>
      <w:r w:rsidRPr="00DF714D">
        <w:rPr>
          <w:rFonts w:ascii="Century Gothic" w:hAnsi="Century Gothic"/>
          <w:b/>
          <w:bCs/>
          <w:sz w:val="24"/>
          <w:szCs w:val="24"/>
        </w:rPr>
        <w:t xml:space="preserve"> QUE EMITEN LAS CONSEJERAS SILVIA GUADALUPE BUSTOS VÁSQUEZ Y ZOAD JEANINE GARCÍA GONZÁLEZ, </w:t>
      </w:r>
      <w:r w:rsidR="004E6084" w:rsidRPr="00DF714D">
        <w:rPr>
          <w:rFonts w:ascii="Century Gothic" w:hAnsi="Century Gothic"/>
          <w:b/>
          <w:bCs/>
          <w:sz w:val="24"/>
          <w:szCs w:val="24"/>
        </w:rPr>
        <w:t>RESPECTO DEL ACUERDO DEL CONSEJO GENERAL DEL INSTITUTO ELECTORAL Y DE PARTICIPACIÓN CIUDADANA DEL ESTADO DE JALISCO, QUE DECLARA INVIABLES LAS PRETEN</w:t>
      </w:r>
      <w:r w:rsidR="00423058" w:rsidRPr="00DF714D">
        <w:rPr>
          <w:rFonts w:ascii="Century Gothic" w:hAnsi="Century Gothic"/>
          <w:b/>
          <w:bCs/>
          <w:sz w:val="24"/>
          <w:szCs w:val="24"/>
        </w:rPr>
        <w:t>S</w:t>
      </w:r>
      <w:r w:rsidR="004E6084" w:rsidRPr="00DF714D">
        <w:rPr>
          <w:rFonts w:ascii="Century Gothic" w:hAnsi="Century Gothic"/>
          <w:b/>
          <w:bCs/>
          <w:sz w:val="24"/>
          <w:szCs w:val="24"/>
        </w:rPr>
        <w:t>IONES DE LOS CIUDADANOS JOSÉ ABEL RODRÍGUEZ RAMOS Y OTROS, FORMULADAS EN EL RECURSO DE REVISIÓN INDENTIFICADO CON EL NÚMERO DE EXPEDIENTE REV-0</w:t>
      </w:r>
      <w:r w:rsidR="00B070C2" w:rsidRPr="00DF714D">
        <w:rPr>
          <w:rFonts w:ascii="Century Gothic" w:hAnsi="Century Gothic"/>
          <w:b/>
          <w:bCs/>
          <w:sz w:val="24"/>
          <w:szCs w:val="24"/>
        </w:rPr>
        <w:t>0</w:t>
      </w:r>
      <w:r w:rsidR="004E6084" w:rsidRPr="00DF714D">
        <w:rPr>
          <w:rFonts w:ascii="Century Gothic" w:hAnsi="Century Gothic"/>
          <w:b/>
          <w:bCs/>
          <w:sz w:val="24"/>
          <w:szCs w:val="24"/>
        </w:rPr>
        <w:t>7/2020, ASÍ COMO DE SU ANEXO, EL INFORME RENDIDO POR LA SECRETARÍA EJECUTIVA</w:t>
      </w:r>
      <w:r w:rsidRPr="00DF714D">
        <w:rPr>
          <w:rFonts w:ascii="Century Gothic" w:hAnsi="Century Gothic"/>
          <w:b/>
          <w:bCs/>
          <w:sz w:val="24"/>
          <w:szCs w:val="24"/>
        </w:rPr>
        <w:t>.</w:t>
      </w:r>
    </w:p>
    <w:p w14:paraId="37B6E228" w14:textId="77777777" w:rsidR="001044B3" w:rsidRPr="00DF714D" w:rsidRDefault="001044B3" w:rsidP="00E963EE">
      <w:pPr>
        <w:spacing w:after="0" w:line="360" w:lineRule="auto"/>
        <w:ind w:right="-518"/>
        <w:jc w:val="both"/>
        <w:rPr>
          <w:rFonts w:ascii="Century Gothic" w:hAnsi="Century Gothic"/>
          <w:b/>
          <w:bCs/>
          <w:sz w:val="24"/>
          <w:szCs w:val="24"/>
        </w:rPr>
      </w:pPr>
    </w:p>
    <w:p w14:paraId="1285A615" w14:textId="725BF978" w:rsidR="002B6012" w:rsidRPr="00DF714D" w:rsidRDefault="00ED336C" w:rsidP="00E963EE">
      <w:pPr>
        <w:spacing w:after="0" w:line="360" w:lineRule="auto"/>
        <w:ind w:right="-518"/>
        <w:jc w:val="both"/>
        <w:rPr>
          <w:rFonts w:ascii="Century Gothic" w:hAnsi="Century Gothic"/>
          <w:sz w:val="24"/>
          <w:szCs w:val="24"/>
        </w:rPr>
      </w:pPr>
      <w:r w:rsidRPr="00DF714D">
        <w:rPr>
          <w:rFonts w:ascii="Century Gothic" w:hAnsi="Century Gothic"/>
          <w:sz w:val="24"/>
          <w:szCs w:val="24"/>
        </w:rPr>
        <w:t>Con fundamento en el artículo 50, párrafo 2, del Reglamento de Sesiones del Consejo General del Instituto Electoral y de Participación Ciudadana del Estado de Jalisco, respetuosamente, se emite el presente VOTO CONCURRENTE respecto del ACUERDO DEL CONSEJO GENERAL DEL INSTITUTO ELECTORAL Y DE PARTICIPACIÓN CIUDADANA DEL ESTADO DE JALISCO, QUE DECLARA INVIABLES LAS PRETEN</w:t>
      </w:r>
      <w:r w:rsidR="00423058" w:rsidRPr="00DF714D">
        <w:rPr>
          <w:rFonts w:ascii="Century Gothic" w:hAnsi="Century Gothic"/>
          <w:sz w:val="24"/>
          <w:szCs w:val="24"/>
        </w:rPr>
        <w:t>S</w:t>
      </w:r>
      <w:r w:rsidRPr="00DF714D">
        <w:rPr>
          <w:rFonts w:ascii="Century Gothic" w:hAnsi="Century Gothic"/>
          <w:sz w:val="24"/>
          <w:szCs w:val="24"/>
        </w:rPr>
        <w:t>IONES DE LOS CIUDADANOS JOSÉ ABEL RODRÍGUEZ RAMOS Y OTROS, FORMULADAS EN EL RECURSO DE REVISIÓN INDENTIFICADO CON EL NÚMERO DE EXPEDIENTE REV-0</w:t>
      </w:r>
      <w:r w:rsidR="0081280C" w:rsidRPr="00DF714D">
        <w:rPr>
          <w:rFonts w:ascii="Century Gothic" w:hAnsi="Century Gothic"/>
          <w:sz w:val="24"/>
          <w:szCs w:val="24"/>
        </w:rPr>
        <w:t>0</w:t>
      </w:r>
      <w:r w:rsidRPr="00DF714D">
        <w:rPr>
          <w:rFonts w:ascii="Century Gothic" w:hAnsi="Century Gothic"/>
          <w:sz w:val="24"/>
          <w:szCs w:val="24"/>
        </w:rPr>
        <w:t xml:space="preserve">7/2020, ASÍ COMO DE SU ANEXO, EL INFORME RENDIDO POR LA SECRETARÍA EJECUTIVA, mismo que fue aprobado por mayoría de votos en sesión ORDINARIA celebrada el </w:t>
      </w:r>
      <w:r w:rsidR="00EC005B" w:rsidRPr="00DF714D">
        <w:rPr>
          <w:rFonts w:ascii="Century Gothic" w:hAnsi="Century Gothic"/>
          <w:sz w:val="24"/>
          <w:szCs w:val="24"/>
        </w:rPr>
        <w:t xml:space="preserve">24 </w:t>
      </w:r>
      <w:r w:rsidRPr="00DF714D">
        <w:rPr>
          <w:rFonts w:ascii="Century Gothic" w:hAnsi="Century Gothic"/>
          <w:sz w:val="24"/>
          <w:szCs w:val="24"/>
        </w:rPr>
        <w:t>de mayo</w:t>
      </w:r>
      <w:r w:rsidR="002B6012" w:rsidRPr="00DF714D">
        <w:rPr>
          <w:rFonts w:ascii="Century Gothic" w:hAnsi="Century Gothic"/>
          <w:sz w:val="24"/>
          <w:szCs w:val="24"/>
        </w:rPr>
        <w:t xml:space="preserve"> del presente año, toda vez que, coincidimos con el sentido, más no con la argumentación que lo sostiene, por las siguientes consideraciones y razonamientos:</w:t>
      </w:r>
    </w:p>
    <w:p w14:paraId="0B9379A3" w14:textId="237BB61B" w:rsidR="001044B3" w:rsidRPr="00DF714D" w:rsidRDefault="001044B3" w:rsidP="00E963EE">
      <w:pPr>
        <w:spacing w:after="0" w:line="360" w:lineRule="auto"/>
        <w:ind w:right="-518"/>
        <w:jc w:val="both"/>
        <w:rPr>
          <w:rFonts w:ascii="Century Gothic" w:hAnsi="Century Gothic"/>
          <w:sz w:val="24"/>
          <w:szCs w:val="24"/>
        </w:rPr>
      </w:pPr>
    </w:p>
    <w:p w14:paraId="1B7BE6E3" w14:textId="62F77FB3" w:rsidR="00CA0E9E" w:rsidRPr="00DF714D" w:rsidRDefault="00837888" w:rsidP="00E963EE">
      <w:pPr>
        <w:spacing w:after="0" w:line="360" w:lineRule="auto"/>
        <w:ind w:right="-518"/>
        <w:jc w:val="both"/>
        <w:rPr>
          <w:rFonts w:ascii="Century Gothic" w:hAnsi="Century Gothic"/>
          <w:sz w:val="24"/>
          <w:szCs w:val="24"/>
        </w:rPr>
      </w:pPr>
      <w:r w:rsidRPr="00DF714D">
        <w:rPr>
          <w:rFonts w:ascii="Century Gothic" w:hAnsi="Century Gothic"/>
          <w:sz w:val="24"/>
          <w:szCs w:val="24"/>
        </w:rPr>
        <w:t>En primer lugar,</w:t>
      </w:r>
      <w:r w:rsidR="00CA0E9E" w:rsidRPr="00DF714D">
        <w:rPr>
          <w:rFonts w:ascii="Century Gothic" w:hAnsi="Century Gothic"/>
          <w:sz w:val="24"/>
          <w:szCs w:val="24"/>
        </w:rPr>
        <w:t xml:space="preserve"> </w:t>
      </w:r>
      <w:r w:rsidR="00323C13" w:rsidRPr="00DF714D">
        <w:rPr>
          <w:rFonts w:ascii="Century Gothic" w:hAnsi="Century Gothic"/>
          <w:sz w:val="24"/>
          <w:szCs w:val="24"/>
        </w:rPr>
        <w:t xml:space="preserve">considerando que el </w:t>
      </w:r>
      <w:r w:rsidR="007C370D" w:rsidRPr="00DF714D">
        <w:rPr>
          <w:rFonts w:ascii="Century Gothic" w:hAnsi="Century Gothic"/>
          <w:sz w:val="24"/>
          <w:szCs w:val="24"/>
        </w:rPr>
        <w:t xml:space="preserve">Acuerdo </w:t>
      </w:r>
      <w:r w:rsidR="00302049" w:rsidRPr="00DF714D">
        <w:rPr>
          <w:rFonts w:ascii="Century Gothic" w:hAnsi="Century Gothic"/>
          <w:sz w:val="24"/>
          <w:szCs w:val="24"/>
        </w:rPr>
        <w:t xml:space="preserve">que declara </w:t>
      </w:r>
      <w:r w:rsidR="00AC1961" w:rsidRPr="00DF714D">
        <w:rPr>
          <w:rFonts w:ascii="Century Gothic" w:hAnsi="Century Gothic"/>
          <w:sz w:val="24"/>
          <w:szCs w:val="24"/>
        </w:rPr>
        <w:t xml:space="preserve">la inviabilidad de las </w:t>
      </w:r>
      <w:r w:rsidR="00E3204D" w:rsidRPr="00DF714D">
        <w:rPr>
          <w:rFonts w:ascii="Century Gothic" w:hAnsi="Century Gothic"/>
          <w:sz w:val="24"/>
          <w:szCs w:val="24"/>
        </w:rPr>
        <w:t>pretensiones</w:t>
      </w:r>
      <w:r w:rsidR="00AC1961" w:rsidRPr="00DF714D">
        <w:rPr>
          <w:rFonts w:ascii="Century Gothic" w:hAnsi="Century Gothic"/>
          <w:sz w:val="24"/>
          <w:szCs w:val="24"/>
        </w:rPr>
        <w:t xml:space="preserve"> de los actores </w:t>
      </w:r>
      <w:r w:rsidR="00E3204D" w:rsidRPr="00DF714D">
        <w:rPr>
          <w:rFonts w:ascii="Century Gothic" w:hAnsi="Century Gothic"/>
          <w:sz w:val="24"/>
          <w:szCs w:val="24"/>
        </w:rPr>
        <w:t>del REV-007/202</w:t>
      </w:r>
      <w:r w:rsidR="001856C3" w:rsidRPr="00DF714D">
        <w:rPr>
          <w:rFonts w:ascii="Century Gothic" w:hAnsi="Century Gothic"/>
          <w:sz w:val="24"/>
          <w:szCs w:val="24"/>
        </w:rPr>
        <w:t>0</w:t>
      </w:r>
      <w:r w:rsidR="00E3204D" w:rsidRPr="00DF714D">
        <w:rPr>
          <w:rFonts w:ascii="Century Gothic" w:hAnsi="Century Gothic"/>
          <w:sz w:val="24"/>
          <w:szCs w:val="24"/>
        </w:rPr>
        <w:t>,</w:t>
      </w:r>
      <w:r w:rsidR="00C42CAD" w:rsidRPr="00DF714D">
        <w:rPr>
          <w:rFonts w:ascii="Century Gothic" w:hAnsi="Century Gothic"/>
          <w:sz w:val="24"/>
          <w:szCs w:val="24"/>
        </w:rPr>
        <w:t xml:space="preserve"> además de atender una instrucción del propio Consejo General en el citado recurso de revisión,</w:t>
      </w:r>
      <w:r w:rsidR="00CA0E9E" w:rsidRPr="00DF714D">
        <w:rPr>
          <w:rFonts w:ascii="Century Gothic" w:hAnsi="Century Gothic"/>
          <w:sz w:val="24"/>
          <w:szCs w:val="24"/>
        </w:rPr>
        <w:t xml:space="preserve"> </w:t>
      </w:r>
      <w:r w:rsidR="00C42CAD" w:rsidRPr="00DF714D">
        <w:rPr>
          <w:rFonts w:ascii="Century Gothic" w:hAnsi="Century Gothic"/>
          <w:sz w:val="24"/>
          <w:szCs w:val="24"/>
        </w:rPr>
        <w:t xml:space="preserve">pretende dar cumplimiento </w:t>
      </w:r>
      <w:r w:rsidR="00323C13" w:rsidRPr="00DF714D">
        <w:rPr>
          <w:rFonts w:ascii="Century Gothic" w:hAnsi="Century Gothic"/>
          <w:sz w:val="24"/>
          <w:szCs w:val="24"/>
        </w:rPr>
        <w:t xml:space="preserve">a lo ordenado por el Tribunal Electoral del Estado de Jalisco en la resolución del juicio ciudadano JDC-003/2023, </w:t>
      </w:r>
      <w:r w:rsidR="00C42CAD" w:rsidRPr="00DF714D">
        <w:rPr>
          <w:rFonts w:ascii="Century Gothic" w:hAnsi="Century Gothic"/>
          <w:sz w:val="24"/>
          <w:szCs w:val="24"/>
        </w:rPr>
        <w:t xml:space="preserve">su acatamiento debe apegarse de manera puntual a lo </w:t>
      </w:r>
      <w:r w:rsidR="00336CCB" w:rsidRPr="00DF714D">
        <w:rPr>
          <w:rFonts w:ascii="Century Gothic" w:hAnsi="Century Gothic"/>
          <w:sz w:val="24"/>
          <w:szCs w:val="24"/>
        </w:rPr>
        <w:t>mandatado</w:t>
      </w:r>
      <w:r w:rsidR="00C42CAD" w:rsidRPr="00DF714D">
        <w:rPr>
          <w:rFonts w:ascii="Century Gothic" w:hAnsi="Century Gothic"/>
          <w:sz w:val="24"/>
          <w:szCs w:val="24"/>
        </w:rPr>
        <w:t xml:space="preserve"> en el apartado de Efectos</w:t>
      </w:r>
      <w:r w:rsidR="00336CCB" w:rsidRPr="00DF714D">
        <w:rPr>
          <w:rFonts w:ascii="Century Gothic" w:hAnsi="Century Gothic"/>
          <w:sz w:val="24"/>
          <w:szCs w:val="24"/>
        </w:rPr>
        <w:t xml:space="preserve">, lo que en los </w:t>
      </w:r>
      <w:r w:rsidR="00336CCB" w:rsidRPr="00DF714D">
        <w:rPr>
          <w:rFonts w:ascii="Century Gothic" w:hAnsi="Century Gothic"/>
          <w:sz w:val="24"/>
          <w:szCs w:val="24"/>
        </w:rPr>
        <w:lastRenderedPageBreak/>
        <w:t>hechos no se dio, por el contrario, e</w:t>
      </w:r>
      <w:r w:rsidR="00CA0E9E" w:rsidRPr="00DF714D">
        <w:rPr>
          <w:rFonts w:ascii="Century Gothic" w:hAnsi="Century Gothic"/>
          <w:sz w:val="24"/>
          <w:szCs w:val="24"/>
        </w:rPr>
        <w:t xml:space="preserve">l trámite por parte de la Secretaría Ejecutiva </w:t>
      </w:r>
      <w:r w:rsidR="00336CCB" w:rsidRPr="00DF714D">
        <w:rPr>
          <w:rFonts w:ascii="Century Gothic" w:hAnsi="Century Gothic"/>
          <w:sz w:val="24"/>
          <w:szCs w:val="24"/>
        </w:rPr>
        <w:t>resulta deficiente, dado que no cumplió con los actos y plazos establecidos por la mencionada autoridad jurisdiccional como más adelante se ilustra. Previo a ello, para mayor claridad, se transcriben los efectos de la resolución:</w:t>
      </w:r>
    </w:p>
    <w:p w14:paraId="56905A72" w14:textId="7B554663" w:rsidR="00CA0E9E" w:rsidRPr="00DF714D" w:rsidRDefault="00CA0E9E" w:rsidP="00E963EE">
      <w:pPr>
        <w:spacing w:after="0" w:line="360" w:lineRule="auto"/>
        <w:ind w:right="-518"/>
        <w:jc w:val="both"/>
        <w:rPr>
          <w:rFonts w:ascii="Century Gothic" w:hAnsi="Century Gothic"/>
          <w:sz w:val="24"/>
          <w:szCs w:val="24"/>
        </w:rPr>
      </w:pPr>
    </w:p>
    <w:p w14:paraId="39AA99BA"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w:t>
      </w:r>
      <w:r w:rsidRPr="00DF714D">
        <w:rPr>
          <w:rFonts w:ascii="Century Gothic" w:hAnsi="Century Gothic" w:cs="Arial"/>
          <w:b/>
          <w:bCs/>
          <w:i/>
          <w:iCs/>
          <w:lang w:val="es-ES"/>
        </w:rPr>
        <w:t>Vincular a la Consejera Presidenta del Instituto Electoral local, para que, en el ejercicio de su atribución de vigilar que se cumplan los acuerdos que emita el Consejo General</w:t>
      </w:r>
      <w:r w:rsidRPr="00DF714D">
        <w:rPr>
          <w:rFonts w:ascii="Century Gothic" w:hAnsi="Century Gothic" w:cs="Arial"/>
          <w:i/>
          <w:iCs/>
          <w:lang w:val="es-ES"/>
        </w:rPr>
        <w:t xml:space="preserve">, prevista en el artículo 137, numeral 1, fracción XI, del Código Electoral local, </w:t>
      </w:r>
      <w:r w:rsidRPr="00DF714D">
        <w:rPr>
          <w:rFonts w:ascii="Century Gothic" w:hAnsi="Century Gothic" w:cs="Arial"/>
          <w:b/>
          <w:bCs/>
          <w:i/>
          <w:iCs/>
          <w:lang w:val="es-ES"/>
        </w:rPr>
        <w:t>dentro del plazo de 3 tres días hábiles siguientes a que le sea notificada esta sentencia, formule un requerimiento a la Secretaría Ejecutiva, a fin de constreñirla al debido cumplimiento de lo ordenado en la resolución del Recurso de Revisión REV-007/2020, para lo cual, deberá fijarle un plazo no mayor a diez días hábiles</w:t>
      </w:r>
      <w:r w:rsidRPr="00DF714D">
        <w:rPr>
          <w:rFonts w:ascii="Century Gothic" w:hAnsi="Century Gothic" w:cs="Arial"/>
          <w:i/>
          <w:iCs/>
          <w:lang w:val="es-ES"/>
        </w:rPr>
        <w:t>.</w:t>
      </w:r>
    </w:p>
    <w:p w14:paraId="60D8572D" w14:textId="77777777" w:rsidR="00CA0E9E" w:rsidRPr="00DF714D" w:rsidRDefault="00CA0E9E" w:rsidP="00E963EE">
      <w:pPr>
        <w:spacing w:after="0" w:line="360" w:lineRule="auto"/>
        <w:ind w:left="708" w:right="-518"/>
        <w:jc w:val="both"/>
        <w:rPr>
          <w:rFonts w:ascii="Century Gothic" w:hAnsi="Century Gothic" w:cs="Arial"/>
          <w:i/>
          <w:iCs/>
          <w:lang w:val="es-ES"/>
        </w:rPr>
      </w:pPr>
    </w:p>
    <w:p w14:paraId="669534AF"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w:t>
      </w:r>
    </w:p>
    <w:p w14:paraId="05130787"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b/>
          <w:bCs/>
          <w:i/>
          <w:iCs/>
          <w:lang w:val="es-ES"/>
        </w:rPr>
        <w:t>Hecho lo anterior, dentro del término señalado, la Secretaría Ejecutiva deberá entregar al Consejo General, el informe sobre la viabilidad</w:t>
      </w:r>
      <w:r w:rsidRPr="00DF714D">
        <w:rPr>
          <w:rFonts w:ascii="Century Gothic" w:hAnsi="Century Gothic" w:cs="Arial"/>
          <w:i/>
          <w:iCs/>
          <w:lang w:val="es-ES"/>
        </w:rPr>
        <w:t xml:space="preserve"> de las pretensiones de los promoventes, en los términos ordenados en el Recurso de Revisión materia de este juicio. </w:t>
      </w:r>
    </w:p>
    <w:p w14:paraId="46147360" w14:textId="77777777" w:rsidR="00CA0E9E" w:rsidRPr="00DF714D" w:rsidRDefault="00CA0E9E" w:rsidP="00E963EE">
      <w:pPr>
        <w:spacing w:after="0" w:line="360" w:lineRule="auto"/>
        <w:ind w:left="708" w:right="-518"/>
        <w:jc w:val="both"/>
        <w:rPr>
          <w:rFonts w:ascii="Century Gothic" w:hAnsi="Century Gothic" w:cs="Arial"/>
          <w:i/>
          <w:iCs/>
          <w:lang w:val="es-ES"/>
        </w:rPr>
      </w:pPr>
    </w:p>
    <w:p w14:paraId="199AFF98"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 xml:space="preserve">Por su parte, </w:t>
      </w:r>
      <w:r w:rsidRPr="00DF714D">
        <w:rPr>
          <w:rFonts w:ascii="Century Gothic" w:hAnsi="Century Gothic" w:cs="Arial"/>
          <w:b/>
          <w:bCs/>
          <w:i/>
          <w:iCs/>
          <w:lang w:val="es-ES"/>
        </w:rPr>
        <w:t>dentro de los diez días posteriores a que reciba el informe, el Consejo General deberá de proveer lo que corresponda</w:t>
      </w:r>
      <w:r w:rsidRPr="00DF714D">
        <w:rPr>
          <w:rFonts w:ascii="Century Gothic" w:hAnsi="Century Gothic" w:cs="Arial"/>
          <w:i/>
          <w:iCs/>
          <w:lang w:val="es-ES"/>
        </w:rPr>
        <w:t xml:space="preserve"> y notificar de forma personal a los promoventes, en el domicilio que para tal efecto señalaron en su escrito impugnatorio que originó el recurso de revisión.</w:t>
      </w:r>
    </w:p>
    <w:p w14:paraId="6A4C3C43" w14:textId="77777777" w:rsidR="00CA0E9E" w:rsidRPr="00DF714D" w:rsidRDefault="00CA0E9E" w:rsidP="00E963EE">
      <w:pPr>
        <w:spacing w:after="0" w:line="360" w:lineRule="auto"/>
        <w:ind w:left="708" w:right="-518"/>
        <w:jc w:val="both"/>
        <w:rPr>
          <w:rFonts w:ascii="Century Gothic" w:hAnsi="Century Gothic" w:cs="Arial"/>
          <w:i/>
          <w:iCs/>
          <w:lang w:val="es-ES"/>
        </w:rPr>
      </w:pPr>
    </w:p>
    <w:p w14:paraId="09B0D293"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Finalmente, realizados los actos precisados, el Instituto Electoral local deberá informar de forma inmediata a este Tribunal Electoral el debido cumplimiento a lo ordenado en la presente sentencia, anexando para ello copia certificada de las constancias correspondientes.”</w:t>
      </w:r>
    </w:p>
    <w:p w14:paraId="19B9E3F0" w14:textId="77777777" w:rsidR="00CA0E9E" w:rsidRPr="00DF714D" w:rsidRDefault="00CA0E9E" w:rsidP="00E963EE">
      <w:pPr>
        <w:spacing w:after="0" w:line="360" w:lineRule="auto"/>
        <w:ind w:right="-518"/>
        <w:jc w:val="both"/>
        <w:rPr>
          <w:rFonts w:ascii="Century Gothic" w:hAnsi="Century Gothic"/>
          <w:sz w:val="24"/>
          <w:szCs w:val="24"/>
        </w:rPr>
      </w:pPr>
    </w:p>
    <w:p w14:paraId="62A31C0C"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lastRenderedPageBreak/>
        <w:t>“</w:t>
      </w:r>
      <w:r w:rsidRPr="00DF714D">
        <w:rPr>
          <w:rFonts w:ascii="Century Gothic" w:hAnsi="Century Gothic" w:cs="Arial"/>
          <w:b/>
          <w:bCs/>
          <w:i/>
          <w:iCs/>
          <w:lang w:val="es-ES"/>
        </w:rPr>
        <w:t>Vincular a la Consejera Presidenta del Instituto Electoral local, para que, en el ejercicio de su atribución de vigilar que se cumplan los acuerdos que emita el Consejo General</w:t>
      </w:r>
      <w:r w:rsidRPr="00DF714D">
        <w:rPr>
          <w:rFonts w:ascii="Century Gothic" w:hAnsi="Century Gothic" w:cs="Arial"/>
          <w:i/>
          <w:iCs/>
          <w:lang w:val="es-ES"/>
        </w:rPr>
        <w:t xml:space="preserve">, prevista en el artículo 137, numeral 1, fracción XI, del Código Electoral local, </w:t>
      </w:r>
      <w:r w:rsidRPr="00DF714D">
        <w:rPr>
          <w:rFonts w:ascii="Century Gothic" w:hAnsi="Century Gothic" w:cs="Arial"/>
          <w:b/>
          <w:bCs/>
          <w:i/>
          <w:iCs/>
          <w:lang w:val="es-ES"/>
        </w:rPr>
        <w:t>dentro del plazo de 3 tres días hábiles siguientes a que le sea notificada esta sentencia, formule un requerimiento a la Secretaría Ejecutiva, a fin de constreñirla al debido cumplimiento de lo ordenado en la resolución del Recurso de Revisión REV-007/2020, para lo cual, deberá fijarle un plazo no mayor a diez días hábiles</w:t>
      </w:r>
      <w:r w:rsidRPr="00DF714D">
        <w:rPr>
          <w:rFonts w:ascii="Century Gothic" w:hAnsi="Century Gothic" w:cs="Arial"/>
          <w:i/>
          <w:iCs/>
          <w:lang w:val="es-ES"/>
        </w:rPr>
        <w:t>.</w:t>
      </w:r>
    </w:p>
    <w:p w14:paraId="5E34FB49"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w:t>
      </w:r>
    </w:p>
    <w:p w14:paraId="3198F5C3"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b/>
          <w:bCs/>
          <w:i/>
          <w:iCs/>
          <w:lang w:val="es-ES"/>
        </w:rPr>
        <w:t>Hecho lo anterior, dentro del término señalado, la Secretaría Ejecutiva deberá entregar al Consejo General, el informe sobre la viabilidad</w:t>
      </w:r>
      <w:r w:rsidRPr="00DF714D">
        <w:rPr>
          <w:rFonts w:ascii="Century Gothic" w:hAnsi="Century Gothic" w:cs="Arial"/>
          <w:i/>
          <w:iCs/>
          <w:lang w:val="es-ES"/>
        </w:rPr>
        <w:t xml:space="preserve"> de las pretensiones de los promoventes, en los términos ordenados en el Recurso de Revisión materia de este juicio. </w:t>
      </w:r>
    </w:p>
    <w:p w14:paraId="5419164D" w14:textId="77777777" w:rsidR="00CA0E9E" w:rsidRPr="00DF714D" w:rsidRDefault="00CA0E9E" w:rsidP="00E963EE">
      <w:pPr>
        <w:spacing w:after="0" w:line="360" w:lineRule="auto"/>
        <w:ind w:left="708" w:right="-518"/>
        <w:jc w:val="both"/>
        <w:rPr>
          <w:rFonts w:ascii="Century Gothic" w:hAnsi="Century Gothic" w:cs="Arial"/>
          <w:i/>
          <w:iCs/>
          <w:lang w:val="es-ES"/>
        </w:rPr>
      </w:pPr>
    </w:p>
    <w:p w14:paraId="6179675B"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 xml:space="preserve">Por su parte, </w:t>
      </w:r>
      <w:r w:rsidRPr="00DF714D">
        <w:rPr>
          <w:rFonts w:ascii="Century Gothic" w:hAnsi="Century Gothic" w:cs="Arial"/>
          <w:b/>
          <w:bCs/>
          <w:i/>
          <w:iCs/>
          <w:lang w:val="es-ES"/>
        </w:rPr>
        <w:t>dentro de los diez días posteriores a que reciba el informe, el Consejo General deberá de proveer lo que corresponda</w:t>
      </w:r>
      <w:r w:rsidRPr="00DF714D">
        <w:rPr>
          <w:rFonts w:ascii="Century Gothic" w:hAnsi="Century Gothic" w:cs="Arial"/>
          <w:i/>
          <w:iCs/>
          <w:lang w:val="es-ES"/>
        </w:rPr>
        <w:t xml:space="preserve"> y notificar de forma personal a los promoventes, en el domicilio que para tal efecto señalaron en su escrito impugnatorio que originó el recurso de revisión.</w:t>
      </w:r>
    </w:p>
    <w:p w14:paraId="097EF0AB" w14:textId="77777777" w:rsidR="00CA0E9E" w:rsidRPr="00DF714D" w:rsidRDefault="00CA0E9E" w:rsidP="00E963EE">
      <w:pPr>
        <w:spacing w:after="0" w:line="360" w:lineRule="auto"/>
        <w:ind w:left="708" w:right="-518"/>
        <w:jc w:val="both"/>
        <w:rPr>
          <w:rFonts w:ascii="Century Gothic" w:hAnsi="Century Gothic" w:cs="Arial"/>
          <w:i/>
          <w:iCs/>
          <w:lang w:val="es-ES"/>
        </w:rPr>
      </w:pPr>
    </w:p>
    <w:p w14:paraId="65E38518" w14:textId="77777777" w:rsidR="00CA0E9E" w:rsidRPr="00DF714D" w:rsidRDefault="00CA0E9E" w:rsidP="00E963EE">
      <w:pPr>
        <w:spacing w:after="0" w:line="360" w:lineRule="auto"/>
        <w:ind w:left="708" w:right="-518"/>
        <w:jc w:val="both"/>
        <w:rPr>
          <w:rFonts w:ascii="Century Gothic" w:hAnsi="Century Gothic" w:cs="Arial"/>
          <w:i/>
          <w:iCs/>
          <w:lang w:val="es-ES"/>
        </w:rPr>
      </w:pPr>
      <w:r w:rsidRPr="00DF714D">
        <w:rPr>
          <w:rFonts w:ascii="Century Gothic" w:hAnsi="Century Gothic" w:cs="Arial"/>
          <w:i/>
          <w:iCs/>
          <w:lang w:val="es-ES"/>
        </w:rPr>
        <w:t>Finalmente, realizados los actos precisados, el Instituto Electoral local deberá informar de forma inmediata a este Tribunal Electoral el debido cumplimiento a lo ordenado en la presente sentencia, anexando para ello copia certificada de las constancias correspondientes.”</w:t>
      </w:r>
    </w:p>
    <w:p w14:paraId="6475D3AA" w14:textId="77777777" w:rsidR="00CA0E9E" w:rsidRPr="00DF714D" w:rsidRDefault="00CA0E9E" w:rsidP="00E963EE">
      <w:pPr>
        <w:spacing w:after="0" w:line="360" w:lineRule="auto"/>
        <w:ind w:right="-518"/>
        <w:jc w:val="both"/>
        <w:rPr>
          <w:rFonts w:ascii="Century Gothic" w:hAnsi="Century Gothic"/>
          <w:sz w:val="24"/>
          <w:szCs w:val="24"/>
        </w:rPr>
      </w:pPr>
    </w:p>
    <w:p w14:paraId="17461AD2" w14:textId="674A7069" w:rsidR="00CA0E9E" w:rsidRPr="00DF714D" w:rsidRDefault="00CA0E9E" w:rsidP="00E963EE">
      <w:pPr>
        <w:spacing w:after="0" w:line="360" w:lineRule="auto"/>
        <w:ind w:right="-518"/>
        <w:jc w:val="both"/>
        <w:rPr>
          <w:rFonts w:ascii="Century Gothic" w:hAnsi="Century Gothic"/>
          <w:sz w:val="24"/>
          <w:szCs w:val="24"/>
        </w:rPr>
      </w:pPr>
      <w:r w:rsidRPr="00DF714D">
        <w:rPr>
          <w:rFonts w:ascii="Century Gothic" w:hAnsi="Century Gothic"/>
          <w:sz w:val="24"/>
          <w:szCs w:val="24"/>
        </w:rPr>
        <w:t>De lo transcrito se advierte que</w:t>
      </w:r>
      <w:r w:rsidR="00336CCB" w:rsidRPr="00DF714D">
        <w:rPr>
          <w:rFonts w:ascii="Century Gothic" w:hAnsi="Century Gothic"/>
          <w:sz w:val="24"/>
          <w:szCs w:val="24"/>
        </w:rPr>
        <w:t>,</w:t>
      </w:r>
      <w:r w:rsidRPr="00DF714D">
        <w:rPr>
          <w:rFonts w:ascii="Century Gothic" w:hAnsi="Century Gothic"/>
          <w:sz w:val="24"/>
          <w:szCs w:val="24"/>
        </w:rPr>
        <w:t xml:space="preserve"> </w:t>
      </w:r>
      <w:r w:rsidR="008501F5" w:rsidRPr="00DF714D">
        <w:rPr>
          <w:rFonts w:ascii="Century Gothic" w:hAnsi="Century Gothic"/>
          <w:sz w:val="24"/>
          <w:szCs w:val="24"/>
        </w:rPr>
        <w:t>esencialmente</w:t>
      </w:r>
      <w:r w:rsidR="00423058" w:rsidRPr="00DF714D">
        <w:rPr>
          <w:rFonts w:ascii="Century Gothic" w:hAnsi="Century Gothic"/>
          <w:sz w:val="24"/>
          <w:szCs w:val="24"/>
        </w:rPr>
        <w:t>,</w:t>
      </w:r>
      <w:r w:rsidRPr="00DF714D">
        <w:rPr>
          <w:rFonts w:ascii="Century Gothic" w:hAnsi="Century Gothic"/>
          <w:sz w:val="24"/>
          <w:szCs w:val="24"/>
        </w:rPr>
        <w:t xml:space="preserve"> </w:t>
      </w:r>
      <w:r w:rsidR="00423058" w:rsidRPr="00DF714D">
        <w:rPr>
          <w:rFonts w:ascii="Century Gothic" w:hAnsi="Century Gothic"/>
          <w:sz w:val="24"/>
          <w:szCs w:val="24"/>
        </w:rPr>
        <w:t xml:space="preserve">los efectos </w:t>
      </w:r>
      <w:r w:rsidRPr="00DF714D">
        <w:rPr>
          <w:rFonts w:ascii="Century Gothic" w:hAnsi="Century Gothic"/>
          <w:sz w:val="24"/>
          <w:szCs w:val="24"/>
        </w:rPr>
        <w:t>fueron:</w:t>
      </w:r>
    </w:p>
    <w:p w14:paraId="777F99A4" w14:textId="77777777" w:rsidR="00CA0E9E" w:rsidRPr="00DF714D" w:rsidRDefault="00CA0E9E" w:rsidP="00E963EE">
      <w:pPr>
        <w:spacing w:after="0" w:line="360" w:lineRule="auto"/>
        <w:ind w:right="-518"/>
        <w:jc w:val="both"/>
        <w:rPr>
          <w:rFonts w:ascii="Century Gothic" w:hAnsi="Century Gothic"/>
          <w:sz w:val="24"/>
          <w:szCs w:val="24"/>
        </w:rPr>
      </w:pPr>
    </w:p>
    <w:p w14:paraId="753620FC" w14:textId="1FD4C916" w:rsidR="00CA0E9E" w:rsidRPr="00DF714D" w:rsidRDefault="00CA0E9E" w:rsidP="00E963EE">
      <w:pPr>
        <w:spacing w:after="0" w:line="360" w:lineRule="auto"/>
        <w:ind w:right="-518"/>
        <w:jc w:val="both"/>
        <w:rPr>
          <w:rFonts w:ascii="Century Gothic" w:hAnsi="Century Gothic" w:cs="Arial"/>
          <w:sz w:val="24"/>
          <w:szCs w:val="24"/>
          <w:lang w:val="es-ES"/>
        </w:rPr>
      </w:pPr>
      <w:r w:rsidRPr="00DF714D">
        <w:rPr>
          <w:rFonts w:ascii="Century Gothic" w:hAnsi="Century Gothic"/>
          <w:sz w:val="24"/>
          <w:szCs w:val="24"/>
        </w:rPr>
        <w:t xml:space="preserve">1. Un plazo de 3 días para que la </w:t>
      </w:r>
      <w:r w:rsidR="008501F5" w:rsidRPr="00DF714D">
        <w:rPr>
          <w:rFonts w:ascii="Century Gothic" w:hAnsi="Century Gothic"/>
          <w:sz w:val="24"/>
          <w:szCs w:val="24"/>
        </w:rPr>
        <w:t>consejera presidenta</w:t>
      </w:r>
      <w:r w:rsidRPr="00DF714D">
        <w:rPr>
          <w:rFonts w:ascii="Century Gothic" w:hAnsi="Century Gothic"/>
          <w:sz w:val="24"/>
          <w:szCs w:val="24"/>
        </w:rPr>
        <w:t xml:space="preserve"> requiera a la Secretaría Ejecutiva </w:t>
      </w:r>
      <w:r w:rsidR="00423058" w:rsidRPr="00DF714D">
        <w:rPr>
          <w:rFonts w:ascii="Century Gothic" w:hAnsi="Century Gothic"/>
          <w:sz w:val="24"/>
          <w:szCs w:val="24"/>
        </w:rPr>
        <w:t>e</w:t>
      </w:r>
      <w:r w:rsidRPr="00DF714D">
        <w:rPr>
          <w:rFonts w:ascii="Century Gothic" w:hAnsi="Century Gothic" w:cs="Arial"/>
          <w:sz w:val="24"/>
          <w:szCs w:val="24"/>
          <w:lang w:val="es-ES"/>
        </w:rPr>
        <w:t xml:space="preserve">l debido cumplimiento de lo ordenado en la resolución del Recurso </w:t>
      </w:r>
      <w:r w:rsidRPr="00DF714D">
        <w:rPr>
          <w:rFonts w:ascii="Century Gothic" w:hAnsi="Century Gothic" w:cs="Arial"/>
          <w:sz w:val="24"/>
          <w:szCs w:val="24"/>
          <w:lang w:val="es-ES"/>
        </w:rPr>
        <w:lastRenderedPageBreak/>
        <w:t>de Revisión REV-007/2020,</w:t>
      </w:r>
      <w:r w:rsidR="00423058" w:rsidRPr="00DF714D">
        <w:rPr>
          <w:rFonts w:ascii="Century Gothic" w:hAnsi="Century Gothic" w:cs="Arial"/>
          <w:sz w:val="24"/>
          <w:szCs w:val="24"/>
          <w:lang w:val="es-ES"/>
        </w:rPr>
        <w:t xml:space="preserve"> para lo cual debía otorgarle</w:t>
      </w:r>
      <w:r w:rsidRPr="00DF714D">
        <w:rPr>
          <w:rFonts w:ascii="Century Gothic" w:hAnsi="Century Gothic" w:cs="Arial"/>
          <w:sz w:val="24"/>
          <w:szCs w:val="24"/>
          <w:lang w:val="es-ES"/>
        </w:rPr>
        <w:t xml:space="preserve"> un plazo de 10 días,</w:t>
      </w:r>
      <w:r w:rsidR="00423058" w:rsidRPr="00DF714D">
        <w:rPr>
          <w:rFonts w:ascii="Century Gothic" w:hAnsi="Century Gothic" w:cs="Arial"/>
          <w:sz w:val="24"/>
          <w:szCs w:val="24"/>
          <w:lang w:val="es-ES"/>
        </w:rPr>
        <w:t xml:space="preserve"> con el objeto de elaborar </w:t>
      </w:r>
      <w:r w:rsidRPr="00DF714D">
        <w:rPr>
          <w:rFonts w:ascii="Century Gothic" w:hAnsi="Century Gothic" w:cs="Arial"/>
          <w:sz w:val="24"/>
          <w:szCs w:val="24"/>
          <w:lang w:val="es-ES"/>
        </w:rPr>
        <w:t>el documento respectivo.</w:t>
      </w:r>
    </w:p>
    <w:p w14:paraId="389C5FDB" w14:textId="77777777" w:rsidR="00CA0E9E" w:rsidRPr="00DF714D" w:rsidRDefault="00CA0E9E" w:rsidP="00E963EE">
      <w:pPr>
        <w:spacing w:after="0" w:line="360" w:lineRule="auto"/>
        <w:ind w:right="-518"/>
        <w:jc w:val="both"/>
        <w:rPr>
          <w:rFonts w:ascii="Century Gothic" w:hAnsi="Century Gothic" w:cs="Arial"/>
          <w:sz w:val="24"/>
          <w:szCs w:val="24"/>
          <w:lang w:val="es-ES"/>
        </w:rPr>
      </w:pPr>
    </w:p>
    <w:p w14:paraId="62161538" w14:textId="3BB04495" w:rsidR="00CA0E9E" w:rsidRPr="00DF714D" w:rsidRDefault="00CA0E9E"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2. Dentro del plazo de los 10 días otorgados, la Secretaría Ejecutiva deb</w:t>
      </w:r>
      <w:r w:rsidR="00423058" w:rsidRPr="00DF714D">
        <w:rPr>
          <w:rFonts w:ascii="Century Gothic" w:hAnsi="Century Gothic" w:cs="Arial"/>
          <w:sz w:val="24"/>
          <w:szCs w:val="24"/>
          <w:lang w:val="es-ES"/>
        </w:rPr>
        <w:t>ía</w:t>
      </w:r>
      <w:r w:rsidRPr="00DF714D">
        <w:rPr>
          <w:rFonts w:ascii="Century Gothic" w:hAnsi="Century Gothic" w:cs="Arial"/>
          <w:sz w:val="24"/>
          <w:szCs w:val="24"/>
          <w:lang w:val="es-ES"/>
        </w:rPr>
        <w:t xml:space="preserve"> presentar al Consejo General el informe</w:t>
      </w:r>
      <w:r w:rsidR="008501F5" w:rsidRPr="00DF714D">
        <w:rPr>
          <w:rFonts w:ascii="Century Gothic" w:hAnsi="Century Gothic" w:cs="Arial"/>
          <w:sz w:val="24"/>
          <w:szCs w:val="24"/>
          <w:lang w:val="es-ES"/>
        </w:rPr>
        <w:t xml:space="preserve"> que diera cuenta </w:t>
      </w:r>
      <w:r w:rsidRPr="00DF714D">
        <w:rPr>
          <w:rFonts w:ascii="Century Gothic" w:hAnsi="Century Gothic" w:cs="Arial"/>
          <w:sz w:val="24"/>
          <w:szCs w:val="24"/>
          <w:lang w:val="es-ES"/>
        </w:rPr>
        <w:t>de</w:t>
      </w:r>
      <w:r w:rsidR="008501F5" w:rsidRPr="00DF714D">
        <w:rPr>
          <w:rFonts w:ascii="Century Gothic" w:hAnsi="Century Gothic" w:cs="Arial"/>
          <w:sz w:val="24"/>
          <w:szCs w:val="24"/>
          <w:lang w:val="es-ES"/>
        </w:rPr>
        <w:t xml:space="preserve"> la</w:t>
      </w:r>
      <w:r w:rsidRPr="00DF714D">
        <w:rPr>
          <w:rFonts w:ascii="Century Gothic" w:hAnsi="Century Gothic" w:cs="Arial"/>
          <w:sz w:val="24"/>
          <w:szCs w:val="24"/>
          <w:lang w:val="es-ES"/>
        </w:rPr>
        <w:t xml:space="preserve"> viabilidad</w:t>
      </w:r>
      <w:r w:rsidR="00E56615" w:rsidRPr="00DF714D">
        <w:rPr>
          <w:rFonts w:ascii="Century Gothic" w:hAnsi="Century Gothic" w:cs="Arial"/>
          <w:sz w:val="24"/>
          <w:szCs w:val="24"/>
          <w:lang w:val="es-ES"/>
        </w:rPr>
        <w:t xml:space="preserve"> o inviabilidad</w:t>
      </w:r>
      <w:r w:rsidR="00423058" w:rsidRPr="00DF714D">
        <w:rPr>
          <w:rFonts w:ascii="Century Gothic" w:hAnsi="Century Gothic" w:cs="Arial"/>
          <w:sz w:val="24"/>
          <w:szCs w:val="24"/>
          <w:lang w:val="es-ES"/>
        </w:rPr>
        <w:t xml:space="preserve"> de las pretensiones de los actores</w:t>
      </w:r>
      <w:r w:rsidR="008501F5" w:rsidRPr="00DF714D">
        <w:rPr>
          <w:rFonts w:ascii="Century Gothic" w:hAnsi="Century Gothic" w:cs="Arial"/>
          <w:sz w:val="24"/>
          <w:szCs w:val="24"/>
          <w:lang w:val="es-ES"/>
        </w:rPr>
        <w:t xml:space="preserve"> del recurso de revisión y juicio ciudadano. </w:t>
      </w:r>
    </w:p>
    <w:p w14:paraId="3115A2E8" w14:textId="77777777" w:rsidR="00423058" w:rsidRPr="00DF714D" w:rsidRDefault="00423058" w:rsidP="00E963EE">
      <w:pPr>
        <w:spacing w:after="0" w:line="360" w:lineRule="auto"/>
        <w:ind w:right="-518"/>
        <w:jc w:val="both"/>
        <w:rPr>
          <w:rFonts w:ascii="Century Gothic" w:hAnsi="Century Gothic" w:cs="Arial"/>
          <w:sz w:val="24"/>
          <w:szCs w:val="24"/>
          <w:lang w:val="es-ES"/>
        </w:rPr>
      </w:pPr>
    </w:p>
    <w:p w14:paraId="192F4DB3" w14:textId="70AB9C9C" w:rsidR="00CA0E9E" w:rsidRPr="00DF714D" w:rsidRDefault="00CA0E9E"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 xml:space="preserve">3. </w:t>
      </w:r>
      <w:r w:rsidR="008501F5" w:rsidRPr="00DF714D">
        <w:rPr>
          <w:rFonts w:ascii="Century Gothic" w:hAnsi="Century Gothic" w:cs="Arial"/>
          <w:sz w:val="24"/>
          <w:szCs w:val="24"/>
          <w:lang w:val="es-ES"/>
        </w:rPr>
        <w:t>A partir de la recepción del informe en comento, el Consejo General tendría un plazo de 10</w:t>
      </w:r>
      <w:r w:rsidRPr="00DF714D">
        <w:rPr>
          <w:rFonts w:ascii="Century Gothic" w:hAnsi="Century Gothic" w:cs="Arial"/>
          <w:sz w:val="24"/>
          <w:szCs w:val="24"/>
          <w:lang w:val="es-ES"/>
        </w:rPr>
        <w:t xml:space="preserve"> días </w:t>
      </w:r>
      <w:r w:rsidR="008501F5" w:rsidRPr="00DF714D">
        <w:rPr>
          <w:rFonts w:ascii="Century Gothic" w:hAnsi="Century Gothic" w:cs="Arial"/>
          <w:sz w:val="24"/>
          <w:szCs w:val="24"/>
          <w:lang w:val="es-ES"/>
        </w:rPr>
        <w:t xml:space="preserve">para </w:t>
      </w:r>
      <w:r w:rsidRPr="00DF714D">
        <w:rPr>
          <w:rFonts w:ascii="Century Gothic" w:hAnsi="Century Gothic" w:cs="Arial"/>
          <w:sz w:val="24"/>
          <w:szCs w:val="24"/>
          <w:lang w:val="es-ES"/>
        </w:rPr>
        <w:t>resolver lo conducente.</w:t>
      </w:r>
    </w:p>
    <w:p w14:paraId="46C48F76" w14:textId="77777777" w:rsidR="00CA0E9E" w:rsidRPr="00DF714D" w:rsidRDefault="00CA0E9E" w:rsidP="00E963EE">
      <w:pPr>
        <w:spacing w:after="0" w:line="360" w:lineRule="auto"/>
        <w:ind w:right="-518"/>
        <w:jc w:val="both"/>
        <w:rPr>
          <w:rFonts w:ascii="Century Gothic" w:hAnsi="Century Gothic" w:cs="Arial"/>
          <w:sz w:val="24"/>
          <w:szCs w:val="24"/>
          <w:lang w:val="es-ES"/>
        </w:rPr>
      </w:pPr>
    </w:p>
    <w:p w14:paraId="2C34E472" w14:textId="1299FCCD" w:rsidR="00CA0E9E" w:rsidRPr="00DF714D" w:rsidRDefault="008501F5"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Lo que, e</w:t>
      </w:r>
      <w:r w:rsidR="00CA0E9E" w:rsidRPr="00DF714D">
        <w:rPr>
          <w:rFonts w:ascii="Century Gothic" w:hAnsi="Century Gothic" w:cs="Arial"/>
          <w:sz w:val="24"/>
          <w:szCs w:val="24"/>
          <w:lang w:val="es-ES"/>
        </w:rPr>
        <w:t>n los hechos</w:t>
      </w:r>
      <w:r w:rsidRPr="00DF714D">
        <w:rPr>
          <w:rFonts w:ascii="Century Gothic" w:hAnsi="Century Gothic" w:cs="Arial"/>
          <w:sz w:val="24"/>
          <w:szCs w:val="24"/>
          <w:lang w:val="es-ES"/>
        </w:rPr>
        <w:t>, no aconteció</w:t>
      </w:r>
      <w:r w:rsidR="00CA0E9E" w:rsidRPr="00DF714D">
        <w:rPr>
          <w:rFonts w:ascii="Century Gothic" w:hAnsi="Century Gothic" w:cs="Arial"/>
          <w:sz w:val="24"/>
          <w:szCs w:val="24"/>
          <w:lang w:val="es-ES"/>
        </w:rPr>
        <w:t>, como se demuestra a continuación:</w:t>
      </w:r>
    </w:p>
    <w:p w14:paraId="1ECECBD1" w14:textId="77777777" w:rsidR="00CA0E9E" w:rsidRPr="00DF714D" w:rsidRDefault="00CA0E9E" w:rsidP="00E963EE">
      <w:pPr>
        <w:spacing w:after="0" w:line="360" w:lineRule="auto"/>
        <w:ind w:right="-518"/>
        <w:jc w:val="both"/>
        <w:rPr>
          <w:rFonts w:ascii="Century Gothic" w:hAnsi="Century Gothic" w:cs="Arial"/>
          <w:sz w:val="24"/>
          <w:szCs w:val="24"/>
          <w:lang w:val="es-ES"/>
        </w:rPr>
      </w:pPr>
    </w:p>
    <w:p w14:paraId="56141E12" w14:textId="067DB6A7" w:rsidR="00CA0E9E" w:rsidRPr="00DF714D" w:rsidRDefault="00CA0E9E"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El 21 de abril de 2023 se notificó la Sentencia JDC-003/2023, a partir de ese momento</w:t>
      </w:r>
      <w:r w:rsidR="008501F5" w:rsidRPr="00DF714D">
        <w:rPr>
          <w:rFonts w:ascii="Century Gothic" w:hAnsi="Century Gothic" w:cs="Arial"/>
          <w:sz w:val="24"/>
          <w:szCs w:val="24"/>
          <w:lang w:val="es-ES"/>
        </w:rPr>
        <w:t>,</w:t>
      </w:r>
      <w:r w:rsidRPr="00DF714D">
        <w:rPr>
          <w:rFonts w:ascii="Century Gothic" w:hAnsi="Century Gothic" w:cs="Arial"/>
          <w:sz w:val="24"/>
          <w:szCs w:val="24"/>
          <w:lang w:val="es-ES"/>
        </w:rPr>
        <w:t xml:space="preserve"> la </w:t>
      </w:r>
      <w:r w:rsidR="008501F5" w:rsidRPr="00DF714D">
        <w:rPr>
          <w:rFonts w:ascii="Century Gothic" w:hAnsi="Century Gothic" w:cs="Arial"/>
          <w:sz w:val="24"/>
          <w:szCs w:val="24"/>
          <w:lang w:val="es-ES"/>
        </w:rPr>
        <w:t xml:space="preserve">consejera presidenta </w:t>
      </w:r>
      <w:r w:rsidRPr="00DF714D">
        <w:rPr>
          <w:rFonts w:ascii="Century Gothic" w:hAnsi="Century Gothic" w:cs="Arial"/>
          <w:sz w:val="24"/>
          <w:szCs w:val="24"/>
          <w:lang w:val="es-ES"/>
        </w:rPr>
        <w:t xml:space="preserve">contaba con </w:t>
      </w:r>
      <w:r w:rsidR="00351929" w:rsidRPr="00DF714D">
        <w:rPr>
          <w:rFonts w:ascii="Century Gothic" w:hAnsi="Century Gothic" w:cs="Arial"/>
          <w:sz w:val="24"/>
          <w:szCs w:val="24"/>
          <w:lang w:val="es-ES"/>
        </w:rPr>
        <w:t xml:space="preserve">3 </w:t>
      </w:r>
      <w:r w:rsidRPr="00DF714D">
        <w:rPr>
          <w:rFonts w:ascii="Century Gothic" w:hAnsi="Century Gothic" w:cs="Arial"/>
          <w:sz w:val="24"/>
          <w:szCs w:val="24"/>
          <w:lang w:val="es-ES"/>
        </w:rPr>
        <w:t>días para requerir a la Secretaría Ejecutiva, requerimiento que realiz</w:t>
      </w:r>
      <w:r w:rsidR="008501F5" w:rsidRPr="00DF714D">
        <w:rPr>
          <w:rFonts w:ascii="Century Gothic" w:hAnsi="Century Gothic" w:cs="Arial"/>
          <w:sz w:val="24"/>
          <w:szCs w:val="24"/>
          <w:lang w:val="es-ES"/>
        </w:rPr>
        <w:t>ó</w:t>
      </w:r>
      <w:r w:rsidRPr="00DF714D">
        <w:rPr>
          <w:rFonts w:ascii="Century Gothic" w:hAnsi="Century Gothic" w:cs="Arial"/>
          <w:sz w:val="24"/>
          <w:szCs w:val="24"/>
          <w:lang w:val="es-ES"/>
        </w:rPr>
        <w:t xml:space="preserve"> </w:t>
      </w:r>
      <w:r w:rsidR="008501F5" w:rsidRPr="00DF714D">
        <w:rPr>
          <w:rFonts w:ascii="Century Gothic" w:hAnsi="Century Gothic" w:cs="Arial"/>
          <w:sz w:val="24"/>
          <w:szCs w:val="24"/>
          <w:lang w:val="es-ES"/>
        </w:rPr>
        <w:t xml:space="preserve">el 25 de abril, </w:t>
      </w:r>
      <w:r w:rsidRPr="00DF714D">
        <w:rPr>
          <w:rFonts w:ascii="Century Gothic" w:hAnsi="Century Gothic" w:cs="Arial"/>
          <w:sz w:val="24"/>
          <w:szCs w:val="24"/>
          <w:lang w:val="es-ES"/>
        </w:rPr>
        <w:t>mediante oficio 150/2023 Presidencia</w:t>
      </w:r>
      <w:r w:rsidR="008501F5" w:rsidRPr="00DF714D">
        <w:rPr>
          <w:rFonts w:ascii="Century Gothic" w:hAnsi="Century Gothic" w:cs="Arial"/>
          <w:sz w:val="24"/>
          <w:szCs w:val="24"/>
          <w:lang w:val="es-ES"/>
        </w:rPr>
        <w:t>, c</w:t>
      </w:r>
      <w:r w:rsidRPr="00DF714D">
        <w:rPr>
          <w:rFonts w:ascii="Century Gothic" w:hAnsi="Century Gothic" w:cs="Arial"/>
          <w:sz w:val="24"/>
          <w:szCs w:val="24"/>
          <w:lang w:val="es-ES"/>
        </w:rPr>
        <w:t xml:space="preserve">on lo que se da por cumplido el primero de los efectos ordenados la </w:t>
      </w:r>
      <w:r w:rsidR="009931C3" w:rsidRPr="00DF714D">
        <w:rPr>
          <w:rFonts w:ascii="Century Gothic" w:hAnsi="Century Gothic" w:cs="Arial"/>
          <w:sz w:val="24"/>
          <w:szCs w:val="24"/>
          <w:lang w:val="es-ES"/>
        </w:rPr>
        <w:t>s</w:t>
      </w:r>
      <w:r w:rsidRPr="00DF714D">
        <w:rPr>
          <w:rFonts w:ascii="Century Gothic" w:hAnsi="Century Gothic" w:cs="Arial"/>
          <w:sz w:val="24"/>
          <w:szCs w:val="24"/>
          <w:lang w:val="es-ES"/>
        </w:rPr>
        <w:t>entencia citada</w:t>
      </w:r>
      <w:r w:rsidR="009931C3" w:rsidRPr="00DF714D">
        <w:rPr>
          <w:rFonts w:ascii="Century Gothic" w:hAnsi="Century Gothic" w:cs="Arial"/>
          <w:sz w:val="24"/>
          <w:szCs w:val="24"/>
          <w:lang w:val="es-ES"/>
        </w:rPr>
        <w:t>. E</w:t>
      </w:r>
      <w:r w:rsidR="009C01F3" w:rsidRPr="00DF714D">
        <w:rPr>
          <w:rFonts w:ascii="Century Gothic" w:hAnsi="Century Gothic" w:cs="Arial"/>
          <w:sz w:val="24"/>
          <w:szCs w:val="24"/>
          <w:lang w:val="es-ES"/>
        </w:rPr>
        <w:t>n virtud de lo anterior, la Secretar</w:t>
      </w:r>
      <w:r w:rsidR="00952DFC" w:rsidRPr="00DF714D">
        <w:rPr>
          <w:rFonts w:ascii="Century Gothic" w:hAnsi="Century Gothic" w:cs="Arial"/>
          <w:sz w:val="24"/>
          <w:szCs w:val="24"/>
          <w:lang w:val="es-ES"/>
        </w:rPr>
        <w:t>í</w:t>
      </w:r>
      <w:r w:rsidR="009C01F3" w:rsidRPr="00DF714D">
        <w:rPr>
          <w:rFonts w:ascii="Century Gothic" w:hAnsi="Century Gothic" w:cs="Arial"/>
          <w:sz w:val="24"/>
          <w:szCs w:val="24"/>
          <w:lang w:val="es-ES"/>
        </w:rPr>
        <w:t xml:space="preserve">a Ejecutiva tenía un plazo de 10 días para presentar su informe al Consejo General, </w:t>
      </w:r>
      <w:r w:rsidR="009931C3" w:rsidRPr="00DF714D">
        <w:rPr>
          <w:rFonts w:ascii="Century Gothic" w:hAnsi="Century Gothic" w:cs="Arial"/>
          <w:sz w:val="24"/>
          <w:szCs w:val="24"/>
          <w:lang w:val="es-ES"/>
        </w:rPr>
        <w:t xml:space="preserve">mismo que fenecía </w:t>
      </w:r>
      <w:r w:rsidR="009C01F3" w:rsidRPr="00DF714D">
        <w:rPr>
          <w:rFonts w:ascii="Century Gothic" w:hAnsi="Century Gothic" w:cs="Arial"/>
          <w:sz w:val="24"/>
          <w:szCs w:val="24"/>
          <w:lang w:val="es-ES"/>
        </w:rPr>
        <w:t>el 11 de mayo de 2023, como se ejemplifica en la tabla siguiente.</w:t>
      </w:r>
    </w:p>
    <w:p w14:paraId="1D46380D" w14:textId="77777777" w:rsidR="009C01F3" w:rsidRPr="00DF714D" w:rsidRDefault="009C01F3" w:rsidP="00E963EE">
      <w:pPr>
        <w:spacing w:after="0" w:line="360" w:lineRule="auto"/>
        <w:ind w:right="-518"/>
        <w:jc w:val="both"/>
        <w:rPr>
          <w:rFonts w:ascii="Century Gothic" w:hAnsi="Century Gothic" w:cs="Arial"/>
          <w:sz w:val="24"/>
          <w:szCs w:val="24"/>
          <w:lang w:val="es-ES"/>
        </w:rPr>
      </w:pPr>
    </w:p>
    <w:tbl>
      <w:tblPr>
        <w:tblStyle w:val="Tablaconcuadrcula"/>
        <w:tblW w:w="9351" w:type="dxa"/>
        <w:tblLook w:val="04A0" w:firstRow="1" w:lastRow="0" w:firstColumn="1" w:lastColumn="0" w:noHBand="0" w:noVBand="1"/>
      </w:tblPr>
      <w:tblGrid>
        <w:gridCol w:w="699"/>
        <w:gridCol w:w="1468"/>
        <w:gridCol w:w="1772"/>
        <w:gridCol w:w="1277"/>
        <w:gridCol w:w="1449"/>
        <w:gridCol w:w="1555"/>
        <w:gridCol w:w="1131"/>
      </w:tblGrid>
      <w:tr w:rsidR="00DF714D" w:rsidRPr="00DF714D" w14:paraId="6B8F0FB7" w14:textId="77777777" w:rsidTr="00E963EE">
        <w:tc>
          <w:tcPr>
            <w:tcW w:w="699" w:type="dxa"/>
            <w:shd w:val="clear" w:color="auto" w:fill="BFBFBF" w:themeFill="background1" w:themeFillShade="BF"/>
          </w:tcPr>
          <w:p w14:paraId="27752FEC" w14:textId="05181CD2" w:rsidR="009C01F3" w:rsidRPr="00DF714D" w:rsidRDefault="009C01F3" w:rsidP="00E963EE">
            <w:pPr>
              <w:spacing w:line="276" w:lineRule="auto"/>
              <w:ind w:right="-518"/>
              <w:rPr>
                <w:rFonts w:ascii="Century Gothic" w:hAnsi="Century Gothic" w:cs="Arial"/>
                <w:b/>
                <w:bCs/>
                <w:sz w:val="20"/>
                <w:szCs w:val="20"/>
                <w:lang w:val="es-ES"/>
              </w:rPr>
            </w:pPr>
            <w:r w:rsidRPr="00DF714D">
              <w:rPr>
                <w:rFonts w:ascii="Century Gothic" w:hAnsi="Century Gothic" w:cs="Arial"/>
                <w:b/>
                <w:bCs/>
                <w:sz w:val="20"/>
                <w:szCs w:val="20"/>
                <w:lang w:val="es-ES"/>
              </w:rPr>
              <w:t>D</w:t>
            </w:r>
          </w:p>
        </w:tc>
        <w:tc>
          <w:tcPr>
            <w:tcW w:w="1468" w:type="dxa"/>
            <w:shd w:val="clear" w:color="auto" w:fill="BFBFBF" w:themeFill="background1" w:themeFillShade="BF"/>
          </w:tcPr>
          <w:p w14:paraId="55BC385E" w14:textId="091658BE"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L</w:t>
            </w:r>
          </w:p>
        </w:tc>
        <w:tc>
          <w:tcPr>
            <w:tcW w:w="1772" w:type="dxa"/>
            <w:shd w:val="clear" w:color="auto" w:fill="BFBFBF" w:themeFill="background1" w:themeFillShade="BF"/>
          </w:tcPr>
          <w:p w14:paraId="30CB5181" w14:textId="39572A32"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M</w:t>
            </w:r>
          </w:p>
        </w:tc>
        <w:tc>
          <w:tcPr>
            <w:tcW w:w="1277" w:type="dxa"/>
            <w:shd w:val="clear" w:color="auto" w:fill="BFBFBF" w:themeFill="background1" w:themeFillShade="BF"/>
          </w:tcPr>
          <w:p w14:paraId="03029629" w14:textId="5EC49DAF"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M</w:t>
            </w:r>
          </w:p>
        </w:tc>
        <w:tc>
          <w:tcPr>
            <w:tcW w:w="1449" w:type="dxa"/>
            <w:shd w:val="clear" w:color="auto" w:fill="BFBFBF" w:themeFill="background1" w:themeFillShade="BF"/>
          </w:tcPr>
          <w:p w14:paraId="154763A3" w14:textId="198CC183"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J</w:t>
            </w:r>
          </w:p>
        </w:tc>
        <w:tc>
          <w:tcPr>
            <w:tcW w:w="1555" w:type="dxa"/>
            <w:shd w:val="clear" w:color="auto" w:fill="BFBFBF" w:themeFill="background1" w:themeFillShade="BF"/>
          </w:tcPr>
          <w:p w14:paraId="6EC6154B" w14:textId="47E88B3E"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V</w:t>
            </w:r>
          </w:p>
        </w:tc>
        <w:tc>
          <w:tcPr>
            <w:tcW w:w="1131" w:type="dxa"/>
            <w:shd w:val="clear" w:color="auto" w:fill="BFBFBF" w:themeFill="background1" w:themeFillShade="BF"/>
          </w:tcPr>
          <w:p w14:paraId="402BCE1D" w14:textId="3F329C65" w:rsidR="009C01F3" w:rsidRPr="00DF714D" w:rsidRDefault="009C01F3" w:rsidP="00E963EE">
            <w:pPr>
              <w:spacing w:line="276" w:lineRule="auto"/>
              <w:ind w:right="-518"/>
              <w:rPr>
                <w:rFonts w:ascii="Century Gothic" w:hAnsi="Century Gothic" w:cs="Arial"/>
                <w:b/>
                <w:bCs/>
                <w:sz w:val="20"/>
                <w:szCs w:val="20"/>
                <w:lang w:val="es-ES"/>
              </w:rPr>
            </w:pPr>
            <w:r w:rsidRPr="00DF714D">
              <w:rPr>
                <w:rFonts w:ascii="Century Gothic" w:hAnsi="Century Gothic" w:cs="Arial"/>
                <w:b/>
                <w:bCs/>
                <w:sz w:val="20"/>
                <w:szCs w:val="20"/>
                <w:lang w:val="es-ES"/>
              </w:rPr>
              <w:t>S</w:t>
            </w:r>
          </w:p>
        </w:tc>
      </w:tr>
      <w:tr w:rsidR="00DF714D" w:rsidRPr="00DF714D" w14:paraId="1F0000FD" w14:textId="77777777" w:rsidTr="00E963EE">
        <w:tc>
          <w:tcPr>
            <w:tcW w:w="9351" w:type="dxa"/>
            <w:gridSpan w:val="7"/>
            <w:shd w:val="clear" w:color="auto" w:fill="BFBFBF" w:themeFill="background1" w:themeFillShade="BF"/>
            <w:vAlign w:val="center"/>
          </w:tcPr>
          <w:p w14:paraId="1C41AFBF" w14:textId="4E096EB8" w:rsidR="009C01F3" w:rsidRPr="00DF714D" w:rsidRDefault="009C01F3" w:rsidP="00E963EE">
            <w:pPr>
              <w:spacing w:line="276" w:lineRule="auto"/>
              <w:ind w:right="-518"/>
              <w:jc w:val="center"/>
              <w:rPr>
                <w:rFonts w:ascii="Century Gothic" w:hAnsi="Century Gothic" w:cs="Arial"/>
                <w:b/>
                <w:bCs/>
                <w:sz w:val="20"/>
                <w:szCs w:val="20"/>
                <w:lang w:val="es-ES"/>
              </w:rPr>
            </w:pPr>
            <w:r w:rsidRPr="00DF714D">
              <w:rPr>
                <w:rFonts w:ascii="Century Gothic" w:hAnsi="Century Gothic" w:cs="Arial"/>
                <w:b/>
                <w:bCs/>
                <w:sz w:val="20"/>
                <w:szCs w:val="20"/>
                <w:lang w:val="es-ES"/>
              </w:rPr>
              <w:t>ABRIL</w:t>
            </w:r>
          </w:p>
        </w:tc>
      </w:tr>
      <w:tr w:rsidR="00DF714D" w:rsidRPr="00DF714D" w14:paraId="771EBF39" w14:textId="77777777" w:rsidTr="00E963EE">
        <w:tc>
          <w:tcPr>
            <w:tcW w:w="699" w:type="dxa"/>
            <w:shd w:val="clear" w:color="auto" w:fill="BFBFBF" w:themeFill="background1" w:themeFillShade="BF"/>
          </w:tcPr>
          <w:p w14:paraId="5E32B224"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468" w:type="dxa"/>
          </w:tcPr>
          <w:p w14:paraId="59E8ECD0"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772" w:type="dxa"/>
          </w:tcPr>
          <w:p w14:paraId="57D1CA51"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277" w:type="dxa"/>
          </w:tcPr>
          <w:p w14:paraId="264B6EB4"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449" w:type="dxa"/>
          </w:tcPr>
          <w:p w14:paraId="36E2AABC"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555" w:type="dxa"/>
          </w:tcPr>
          <w:p w14:paraId="30BCC2BE" w14:textId="281C600E" w:rsidR="009C01F3" w:rsidRPr="00DF714D" w:rsidRDefault="009C01F3" w:rsidP="00E963EE">
            <w:pPr>
              <w:spacing w:line="276" w:lineRule="auto"/>
              <w:jc w:val="both"/>
              <w:rPr>
                <w:rFonts w:ascii="Century Gothic" w:hAnsi="Century Gothic" w:cs="Arial"/>
                <w:b/>
                <w:bCs/>
                <w:sz w:val="18"/>
                <w:szCs w:val="18"/>
                <w:lang w:val="es-ES"/>
              </w:rPr>
            </w:pPr>
            <w:r w:rsidRPr="00DF714D">
              <w:rPr>
                <w:rFonts w:ascii="Century Gothic" w:hAnsi="Century Gothic" w:cs="Arial"/>
                <w:b/>
                <w:bCs/>
                <w:sz w:val="18"/>
                <w:szCs w:val="18"/>
                <w:lang w:val="es-ES"/>
              </w:rPr>
              <w:t xml:space="preserve">21 </w:t>
            </w:r>
            <w:proofErr w:type="gramStart"/>
            <w:r w:rsidRPr="00DF714D">
              <w:rPr>
                <w:rFonts w:ascii="Century Gothic" w:hAnsi="Century Gothic" w:cs="Arial"/>
                <w:sz w:val="18"/>
                <w:szCs w:val="18"/>
                <w:lang w:val="es-ES"/>
              </w:rPr>
              <w:t>Notificación</w:t>
            </w:r>
            <w:proofErr w:type="gramEnd"/>
            <w:r w:rsidRPr="00DF714D">
              <w:rPr>
                <w:rFonts w:ascii="Century Gothic" w:hAnsi="Century Gothic" w:cs="Arial"/>
                <w:sz w:val="18"/>
                <w:szCs w:val="18"/>
                <w:lang w:val="es-ES"/>
              </w:rPr>
              <w:t xml:space="preserve"> realizada por el TEEJ</w:t>
            </w:r>
          </w:p>
        </w:tc>
        <w:tc>
          <w:tcPr>
            <w:tcW w:w="1131" w:type="dxa"/>
            <w:shd w:val="clear" w:color="auto" w:fill="BFBFBF" w:themeFill="background1" w:themeFillShade="BF"/>
          </w:tcPr>
          <w:p w14:paraId="5487C1B2" w14:textId="12BCB60F"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22</w:t>
            </w:r>
          </w:p>
        </w:tc>
      </w:tr>
      <w:tr w:rsidR="00DF714D" w:rsidRPr="00DF714D" w14:paraId="27C7D4A8" w14:textId="77777777" w:rsidTr="00E963EE">
        <w:tc>
          <w:tcPr>
            <w:tcW w:w="699" w:type="dxa"/>
            <w:shd w:val="clear" w:color="auto" w:fill="BFBFBF" w:themeFill="background1" w:themeFillShade="BF"/>
          </w:tcPr>
          <w:p w14:paraId="719AEDAF" w14:textId="7CB3C781"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23</w:t>
            </w:r>
          </w:p>
        </w:tc>
        <w:tc>
          <w:tcPr>
            <w:tcW w:w="1468" w:type="dxa"/>
          </w:tcPr>
          <w:p w14:paraId="5F9D35B4" w14:textId="369A266E"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24</w:t>
            </w:r>
          </w:p>
        </w:tc>
        <w:tc>
          <w:tcPr>
            <w:tcW w:w="1772" w:type="dxa"/>
          </w:tcPr>
          <w:p w14:paraId="35BDA1C8" w14:textId="77777777" w:rsidR="009C01F3" w:rsidRPr="00DF714D" w:rsidRDefault="009C01F3" w:rsidP="00E963EE">
            <w:pPr>
              <w:spacing w:line="276" w:lineRule="auto"/>
              <w:ind w:right="-129"/>
              <w:rPr>
                <w:rFonts w:ascii="Century Gothic" w:hAnsi="Century Gothic" w:cs="Arial"/>
                <w:b/>
                <w:bCs/>
                <w:sz w:val="18"/>
                <w:szCs w:val="18"/>
                <w:lang w:val="es-ES"/>
              </w:rPr>
            </w:pPr>
            <w:r w:rsidRPr="00DF714D">
              <w:rPr>
                <w:rFonts w:ascii="Century Gothic" w:hAnsi="Century Gothic" w:cs="Arial"/>
                <w:b/>
                <w:bCs/>
                <w:sz w:val="18"/>
                <w:szCs w:val="18"/>
                <w:lang w:val="es-ES"/>
              </w:rPr>
              <w:t>25</w:t>
            </w:r>
          </w:p>
          <w:p w14:paraId="2D222038" w14:textId="0F65D7FD" w:rsidR="009C01F3" w:rsidRPr="00DF714D" w:rsidRDefault="009C01F3" w:rsidP="00E963EE">
            <w:pPr>
              <w:spacing w:line="276" w:lineRule="auto"/>
              <w:ind w:right="-129"/>
              <w:rPr>
                <w:rFonts w:ascii="Century Gothic" w:hAnsi="Century Gothic" w:cs="Arial"/>
                <w:sz w:val="18"/>
                <w:szCs w:val="18"/>
                <w:lang w:val="es-ES"/>
              </w:rPr>
            </w:pPr>
            <w:r w:rsidRPr="00DF714D">
              <w:rPr>
                <w:rFonts w:ascii="Century Gothic" w:hAnsi="Century Gothic" w:cs="Arial"/>
                <w:sz w:val="18"/>
                <w:szCs w:val="18"/>
                <w:lang w:val="es-ES"/>
              </w:rPr>
              <w:t>Requerimiento</w:t>
            </w:r>
            <w:r w:rsidR="009931C3" w:rsidRPr="00DF714D">
              <w:rPr>
                <w:rFonts w:ascii="Century Gothic" w:hAnsi="Century Gothic" w:cs="Arial"/>
                <w:sz w:val="18"/>
                <w:szCs w:val="18"/>
                <w:lang w:val="es-ES"/>
              </w:rPr>
              <w:t xml:space="preserve"> de la presidenta</w:t>
            </w:r>
            <w:r w:rsidRPr="00DF714D">
              <w:rPr>
                <w:rFonts w:ascii="Century Gothic" w:hAnsi="Century Gothic" w:cs="Arial"/>
                <w:sz w:val="18"/>
                <w:szCs w:val="18"/>
                <w:lang w:val="es-ES"/>
              </w:rPr>
              <w:t xml:space="preserve"> a la Secretaría Ejecutiva</w:t>
            </w:r>
          </w:p>
        </w:tc>
        <w:tc>
          <w:tcPr>
            <w:tcW w:w="1277" w:type="dxa"/>
          </w:tcPr>
          <w:p w14:paraId="0883494F" w14:textId="77777777" w:rsidR="009C01F3" w:rsidRPr="00DF714D" w:rsidRDefault="009C01F3" w:rsidP="00E963EE">
            <w:pPr>
              <w:spacing w:line="276" w:lineRule="auto"/>
              <w:rPr>
                <w:rFonts w:ascii="Century Gothic" w:hAnsi="Century Gothic" w:cs="Arial"/>
                <w:b/>
                <w:bCs/>
                <w:sz w:val="18"/>
                <w:szCs w:val="18"/>
                <w:lang w:val="es-ES"/>
              </w:rPr>
            </w:pPr>
            <w:r w:rsidRPr="00DF714D">
              <w:rPr>
                <w:rFonts w:ascii="Century Gothic" w:hAnsi="Century Gothic" w:cs="Arial"/>
                <w:b/>
                <w:bCs/>
                <w:sz w:val="18"/>
                <w:szCs w:val="18"/>
                <w:lang w:val="es-ES"/>
              </w:rPr>
              <w:t>26</w:t>
            </w:r>
          </w:p>
          <w:p w14:paraId="113AD86B" w14:textId="4EE181C9" w:rsidR="009931C3" w:rsidRPr="00DF714D" w:rsidRDefault="009931C3" w:rsidP="00E963EE">
            <w:pPr>
              <w:spacing w:line="276" w:lineRule="auto"/>
              <w:rPr>
                <w:rFonts w:ascii="Century Gothic" w:hAnsi="Century Gothic" w:cs="Arial"/>
                <w:sz w:val="18"/>
                <w:szCs w:val="18"/>
                <w:lang w:val="es-ES"/>
              </w:rPr>
            </w:pPr>
            <w:r w:rsidRPr="00DF714D">
              <w:rPr>
                <w:rFonts w:ascii="Century Gothic" w:hAnsi="Century Gothic" w:cs="Arial"/>
                <w:sz w:val="18"/>
                <w:szCs w:val="18"/>
                <w:lang w:val="es-ES"/>
              </w:rPr>
              <w:t>Inicio del cómputo del plazo de 10 días.</w:t>
            </w:r>
          </w:p>
        </w:tc>
        <w:tc>
          <w:tcPr>
            <w:tcW w:w="1449" w:type="dxa"/>
          </w:tcPr>
          <w:p w14:paraId="198D2CB5" w14:textId="226AF724" w:rsidR="009C01F3" w:rsidRPr="00DF714D" w:rsidRDefault="009C01F3" w:rsidP="00E963EE">
            <w:pPr>
              <w:spacing w:line="276" w:lineRule="auto"/>
              <w:jc w:val="both"/>
              <w:rPr>
                <w:rFonts w:ascii="Century Gothic" w:hAnsi="Century Gothic" w:cs="Arial"/>
                <w:b/>
                <w:bCs/>
                <w:sz w:val="18"/>
                <w:szCs w:val="18"/>
                <w:lang w:val="es-ES"/>
              </w:rPr>
            </w:pPr>
            <w:r w:rsidRPr="00DF714D">
              <w:rPr>
                <w:rFonts w:ascii="Century Gothic" w:hAnsi="Century Gothic" w:cs="Arial"/>
                <w:b/>
                <w:bCs/>
                <w:sz w:val="18"/>
                <w:szCs w:val="18"/>
                <w:lang w:val="es-ES"/>
              </w:rPr>
              <w:t>27</w:t>
            </w:r>
          </w:p>
        </w:tc>
        <w:tc>
          <w:tcPr>
            <w:tcW w:w="1555" w:type="dxa"/>
          </w:tcPr>
          <w:p w14:paraId="57F8D932" w14:textId="69818A66"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28</w:t>
            </w:r>
          </w:p>
        </w:tc>
        <w:tc>
          <w:tcPr>
            <w:tcW w:w="1131" w:type="dxa"/>
            <w:shd w:val="clear" w:color="auto" w:fill="BFBFBF" w:themeFill="background1" w:themeFillShade="BF"/>
          </w:tcPr>
          <w:p w14:paraId="00B12AE9" w14:textId="15D91F84"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29</w:t>
            </w:r>
          </w:p>
        </w:tc>
      </w:tr>
      <w:tr w:rsidR="00DF714D" w:rsidRPr="00DF714D" w14:paraId="6024EF4F" w14:textId="77777777" w:rsidTr="00E963EE">
        <w:tc>
          <w:tcPr>
            <w:tcW w:w="699" w:type="dxa"/>
            <w:shd w:val="clear" w:color="auto" w:fill="BFBFBF" w:themeFill="background1" w:themeFillShade="BF"/>
          </w:tcPr>
          <w:p w14:paraId="38360AB9" w14:textId="5C9992DB"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30</w:t>
            </w:r>
          </w:p>
        </w:tc>
        <w:tc>
          <w:tcPr>
            <w:tcW w:w="1468" w:type="dxa"/>
          </w:tcPr>
          <w:p w14:paraId="55D0E65F" w14:textId="77777777" w:rsidR="009C01F3" w:rsidRPr="00DF714D" w:rsidRDefault="009C01F3" w:rsidP="00E963EE">
            <w:pPr>
              <w:spacing w:line="276" w:lineRule="auto"/>
              <w:ind w:right="-518"/>
              <w:jc w:val="both"/>
              <w:rPr>
                <w:rFonts w:ascii="Century Gothic" w:hAnsi="Century Gothic" w:cs="Arial"/>
                <w:b/>
                <w:bCs/>
                <w:sz w:val="18"/>
                <w:szCs w:val="18"/>
                <w:lang w:val="es-ES"/>
              </w:rPr>
            </w:pPr>
          </w:p>
          <w:p w14:paraId="319FB8FC" w14:textId="77777777" w:rsidR="009C01F3" w:rsidRPr="00DF714D" w:rsidRDefault="009C01F3" w:rsidP="00E963EE">
            <w:pPr>
              <w:spacing w:line="276" w:lineRule="auto"/>
              <w:ind w:right="-518"/>
              <w:jc w:val="both"/>
              <w:rPr>
                <w:rFonts w:ascii="Century Gothic" w:hAnsi="Century Gothic" w:cs="Arial"/>
                <w:b/>
                <w:bCs/>
                <w:sz w:val="18"/>
                <w:szCs w:val="18"/>
                <w:lang w:val="es-ES"/>
              </w:rPr>
            </w:pPr>
          </w:p>
          <w:p w14:paraId="0C462A72"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772" w:type="dxa"/>
          </w:tcPr>
          <w:p w14:paraId="7AD7214A"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277" w:type="dxa"/>
          </w:tcPr>
          <w:p w14:paraId="2A2517D5"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449" w:type="dxa"/>
          </w:tcPr>
          <w:p w14:paraId="6C101B45"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555" w:type="dxa"/>
          </w:tcPr>
          <w:p w14:paraId="40F31E8D"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131" w:type="dxa"/>
            <w:shd w:val="clear" w:color="auto" w:fill="BFBFBF" w:themeFill="background1" w:themeFillShade="BF"/>
          </w:tcPr>
          <w:p w14:paraId="49E7E40F"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r>
      <w:tr w:rsidR="00DF714D" w:rsidRPr="00DF714D" w14:paraId="08DFB6CE" w14:textId="77777777" w:rsidTr="00E963EE">
        <w:tc>
          <w:tcPr>
            <w:tcW w:w="9351" w:type="dxa"/>
            <w:gridSpan w:val="7"/>
            <w:shd w:val="clear" w:color="auto" w:fill="BFBFBF" w:themeFill="background1" w:themeFillShade="BF"/>
            <w:vAlign w:val="center"/>
          </w:tcPr>
          <w:p w14:paraId="68686B0D" w14:textId="63D8A76C" w:rsidR="009C01F3" w:rsidRPr="00DF714D" w:rsidRDefault="009C01F3" w:rsidP="00E963EE">
            <w:pPr>
              <w:spacing w:line="276" w:lineRule="auto"/>
              <w:ind w:right="-518"/>
              <w:jc w:val="center"/>
              <w:rPr>
                <w:rFonts w:ascii="Century Gothic" w:hAnsi="Century Gothic" w:cs="Arial"/>
                <w:b/>
                <w:bCs/>
                <w:sz w:val="18"/>
                <w:szCs w:val="18"/>
                <w:lang w:val="es-ES"/>
              </w:rPr>
            </w:pPr>
            <w:r w:rsidRPr="00DF714D">
              <w:rPr>
                <w:rFonts w:ascii="Century Gothic" w:hAnsi="Century Gothic" w:cs="Arial"/>
                <w:b/>
                <w:bCs/>
                <w:sz w:val="18"/>
                <w:szCs w:val="18"/>
                <w:lang w:val="es-ES"/>
              </w:rPr>
              <w:t>MAYO</w:t>
            </w:r>
          </w:p>
        </w:tc>
      </w:tr>
      <w:tr w:rsidR="00DF714D" w:rsidRPr="00DF714D" w14:paraId="16F8AF89" w14:textId="77777777" w:rsidTr="00E963EE">
        <w:tc>
          <w:tcPr>
            <w:tcW w:w="699" w:type="dxa"/>
            <w:shd w:val="clear" w:color="auto" w:fill="BFBFBF" w:themeFill="background1" w:themeFillShade="BF"/>
          </w:tcPr>
          <w:p w14:paraId="0974B197" w14:textId="77777777" w:rsidR="009C01F3" w:rsidRPr="00DF714D" w:rsidRDefault="009C01F3" w:rsidP="00E963EE">
            <w:pPr>
              <w:spacing w:line="276" w:lineRule="auto"/>
              <w:ind w:right="-518"/>
              <w:jc w:val="both"/>
              <w:rPr>
                <w:rFonts w:ascii="Century Gothic" w:hAnsi="Century Gothic" w:cs="Arial"/>
                <w:b/>
                <w:bCs/>
                <w:sz w:val="18"/>
                <w:szCs w:val="18"/>
                <w:lang w:val="es-ES"/>
              </w:rPr>
            </w:pPr>
          </w:p>
        </w:tc>
        <w:tc>
          <w:tcPr>
            <w:tcW w:w="1468" w:type="dxa"/>
          </w:tcPr>
          <w:p w14:paraId="596E526E" w14:textId="77777777"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w:t>
            </w:r>
          </w:p>
          <w:p w14:paraId="5CCD9C89" w14:textId="782C31D9"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Inhábil</w:t>
            </w:r>
          </w:p>
        </w:tc>
        <w:tc>
          <w:tcPr>
            <w:tcW w:w="1772" w:type="dxa"/>
          </w:tcPr>
          <w:p w14:paraId="56FB13D4" w14:textId="38C4C271"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w:t>
            </w:r>
          </w:p>
        </w:tc>
        <w:tc>
          <w:tcPr>
            <w:tcW w:w="1277" w:type="dxa"/>
          </w:tcPr>
          <w:p w14:paraId="7934809B" w14:textId="6F6433AD"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3</w:t>
            </w:r>
          </w:p>
        </w:tc>
        <w:tc>
          <w:tcPr>
            <w:tcW w:w="1449" w:type="dxa"/>
          </w:tcPr>
          <w:p w14:paraId="6E36BD48" w14:textId="721F70C0"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4</w:t>
            </w:r>
          </w:p>
        </w:tc>
        <w:tc>
          <w:tcPr>
            <w:tcW w:w="1555" w:type="dxa"/>
          </w:tcPr>
          <w:p w14:paraId="7BBC95A5" w14:textId="77777777"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5</w:t>
            </w:r>
          </w:p>
          <w:p w14:paraId="4508607A" w14:textId="0CC5CA23"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Inhábil</w:t>
            </w:r>
          </w:p>
        </w:tc>
        <w:tc>
          <w:tcPr>
            <w:tcW w:w="1131" w:type="dxa"/>
            <w:shd w:val="clear" w:color="auto" w:fill="BFBFBF" w:themeFill="background1" w:themeFillShade="BF"/>
          </w:tcPr>
          <w:p w14:paraId="6D6A02C2" w14:textId="0BCFF0D7"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6</w:t>
            </w:r>
          </w:p>
        </w:tc>
      </w:tr>
      <w:tr w:rsidR="00DF714D" w:rsidRPr="00DF714D" w14:paraId="49FA775D" w14:textId="77777777" w:rsidTr="00E963EE">
        <w:tc>
          <w:tcPr>
            <w:tcW w:w="699" w:type="dxa"/>
            <w:shd w:val="clear" w:color="auto" w:fill="BFBFBF" w:themeFill="background1" w:themeFillShade="BF"/>
          </w:tcPr>
          <w:p w14:paraId="400D0DAF" w14:textId="435728B2"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7</w:t>
            </w:r>
          </w:p>
        </w:tc>
        <w:tc>
          <w:tcPr>
            <w:tcW w:w="1468" w:type="dxa"/>
          </w:tcPr>
          <w:p w14:paraId="4FD2B961" w14:textId="01C0FE2C"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8</w:t>
            </w:r>
          </w:p>
        </w:tc>
        <w:tc>
          <w:tcPr>
            <w:tcW w:w="1772" w:type="dxa"/>
          </w:tcPr>
          <w:p w14:paraId="621EB107" w14:textId="63E398BA"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9</w:t>
            </w:r>
          </w:p>
        </w:tc>
        <w:tc>
          <w:tcPr>
            <w:tcW w:w="1277" w:type="dxa"/>
          </w:tcPr>
          <w:p w14:paraId="4E7A3DDF" w14:textId="639E16EB"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10</w:t>
            </w:r>
          </w:p>
        </w:tc>
        <w:tc>
          <w:tcPr>
            <w:tcW w:w="1449" w:type="dxa"/>
          </w:tcPr>
          <w:p w14:paraId="0A179643" w14:textId="77777777" w:rsidR="009C01F3" w:rsidRPr="00DF714D" w:rsidRDefault="009C01F3" w:rsidP="00E963EE">
            <w:pPr>
              <w:spacing w:line="276" w:lineRule="auto"/>
              <w:jc w:val="both"/>
              <w:rPr>
                <w:rFonts w:ascii="Century Gothic" w:hAnsi="Century Gothic" w:cs="Arial"/>
                <w:b/>
                <w:bCs/>
                <w:sz w:val="18"/>
                <w:szCs w:val="18"/>
                <w:lang w:val="es-ES"/>
              </w:rPr>
            </w:pPr>
            <w:r w:rsidRPr="00DF714D">
              <w:rPr>
                <w:rFonts w:ascii="Century Gothic" w:hAnsi="Century Gothic" w:cs="Arial"/>
                <w:b/>
                <w:bCs/>
                <w:sz w:val="18"/>
                <w:szCs w:val="18"/>
                <w:lang w:val="es-ES"/>
              </w:rPr>
              <w:t>11</w:t>
            </w:r>
          </w:p>
          <w:p w14:paraId="42A4762B" w14:textId="024EDEA0" w:rsidR="00097F1E" w:rsidRPr="00DF714D" w:rsidRDefault="00097F1E" w:rsidP="00E963EE">
            <w:pPr>
              <w:spacing w:line="276" w:lineRule="auto"/>
              <w:jc w:val="both"/>
              <w:rPr>
                <w:rFonts w:ascii="Century Gothic" w:hAnsi="Century Gothic" w:cs="Arial"/>
                <w:sz w:val="18"/>
                <w:szCs w:val="18"/>
                <w:lang w:val="es-ES"/>
              </w:rPr>
            </w:pPr>
            <w:r w:rsidRPr="00DF714D">
              <w:rPr>
                <w:rFonts w:ascii="Century Gothic" w:hAnsi="Century Gothic" w:cs="Arial"/>
                <w:sz w:val="18"/>
                <w:szCs w:val="18"/>
                <w:lang w:val="es-ES"/>
              </w:rPr>
              <w:t>Venc</w:t>
            </w:r>
            <w:r w:rsidR="001259F8" w:rsidRPr="00DF714D">
              <w:rPr>
                <w:rFonts w:ascii="Century Gothic" w:hAnsi="Century Gothic" w:cs="Arial"/>
                <w:sz w:val="18"/>
                <w:szCs w:val="18"/>
                <w:lang w:val="es-ES"/>
              </w:rPr>
              <w:t>i</w:t>
            </w:r>
            <w:r w:rsidR="00530673" w:rsidRPr="00DF714D">
              <w:rPr>
                <w:rFonts w:ascii="Century Gothic" w:hAnsi="Century Gothic" w:cs="Arial"/>
                <w:sz w:val="18"/>
                <w:szCs w:val="18"/>
                <w:lang w:val="es-ES"/>
              </w:rPr>
              <w:t>miento</w:t>
            </w:r>
            <w:r w:rsidR="001259F8" w:rsidRPr="00DF714D">
              <w:rPr>
                <w:rFonts w:ascii="Century Gothic" w:hAnsi="Century Gothic" w:cs="Arial"/>
                <w:sz w:val="18"/>
                <w:szCs w:val="18"/>
                <w:lang w:val="es-ES"/>
              </w:rPr>
              <w:t xml:space="preserve"> </w:t>
            </w:r>
            <w:r w:rsidR="00530673" w:rsidRPr="00DF714D">
              <w:rPr>
                <w:rFonts w:ascii="Century Gothic" w:hAnsi="Century Gothic" w:cs="Arial"/>
                <w:sz w:val="18"/>
                <w:szCs w:val="18"/>
                <w:lang w:val="es-ES"/>
              </w:rPr>
              <w:t>d</w:t>
            </w:r>
            <w:r w:rsidR="001259F8" w:rsidRPr="00DF714D">
              <w:rPr>
                <w:rFonts w:ascii="Century Gothic" w:hAnsi="Century Gothic" w:cs="Arial"/>
                <w:sz w:val="18"/>
                <w:szCs w:val="18"/>
                <w:lang w:val="es-ES"/>
              </w:rPr>
              <w:t xml:space="preserve">el </w:t>
            </w:r>
            <w:r w:rsidR="00530673" w:rsidRPr="00DF714D">
              <w:rPr>
                <w:rFonts w:ascii="Century Gothic" w:hAnsi="Century Gothic" w:cs="Arial"/>
                <w:sz w:val="18"/>
                <w:szCs w:val="18"/>
                <w:lang w:val="es-ES"/>
              </w:rPr>
              <w:t>plazo</w:t>
            </w:r>
            <w:r w:rsidRPr="00DF714D">
              <w:rPr>
                <w:rFonts w:ascii="Century Gothic" w:hAnsi="Century Gothic" w:cs="Arial"/>
                <w:sz w:val="18"/>
                <w:szCs w:val="18"/>
                <w:lang w:val="es-ES"/>
              </w:rPr>
              <w:t xml:space="preserve"> de 10 días </w:t>
            </w:r>
            <w:r w:rsidR="009931C3" w:rsidRPr="00DF714D">
              <w:rPr>
                <w:rFonts w:ascii="Century Gothic" w:hAnsi="Century Gothic" w:cs="Arial"/>
                <w:sz w:val="18"/>
                <w:szCs w:val="18"/>
                <w:lang w:val="es-ES"/>
              </w:rPr>
              <w:t>para que la</w:t>
            </w:r>
            <w:r w:rsidR="00A54906" w:rsidRPr="00DF714D">
              <w:rPr>
                <w:rFonts w:ascii="Century Gothic" w:hAnsi="Century Gothic" w:cs="Arial"/>
                <w:sz w:val="18"/>
                <w:szCs w:val="18"/>
                <w:lang w:val="es-ES"/>
              </w:rPr>
              <w:t xml:space="preserve"> </w:t>
            </w:r>
            <w:r w:rsidR="009931C3" w:rsidRPr="00DF714D">
              <w:rPr>
                <w:rFonts w:ascii="Century Gothic" w:hAnsi="Century Gothic" w:cs="Arial"/>
                <w:sz w:val="18"/>
                <w:szCs w:val="18"/>
                <w:lang w:val="es-ES"/>
              </w:rPr>
              <w:t xml:space="preserve">Secretaría Ejecutiva </w:t>
            </w:r>
            <w:r w:rsidR="00A54906" w:rsidRPr="00DF714D">
              <w:rPr>
                <w:rFonts w:ascii="Century Gothic" w:hAnsi="Century Gothic" w:cs="Arial"/>
                <w:sz w:val="18"/>
                <w:szCs w:val="18"/>
                <w:lang w:val="es-ES"/>
              </w:rPr>
              <w:t>entreg</w:t>
            </w:r>
            <w:r w:rsidR="009931C3" w:rsidRPr="00DF714D">
              <w:rPr>
                <w:rFonts w:ascii="Century Gothic" w:hAnsi="Century Gothic" w:cs="Arial"/>
                <w:sz w:val="18"/>
                <w:szCs w:val="18"/>
                <w:lang w:val="es-ES"/>
              </w:rPr>
              <w:t>ará</w:t>
            </w:r>
            <w:r w:rsidR="00A54906" w:rsidRPr="00DF714D">
              <w:rPr>
                <w:rFonts w:ascii="Century Gothic" w:hAnsi="Century Gothic" w:cs="Arial"/>
                <w:sz w:val="18"/>
                <w:szCs w:val="18"/>
                <w:lang w:val="es-ES"/>
              </w:rPr>
              <w:t xml:space="preserve"> </w:t>
            </w:r>
            <w:r w:rsidRPr="00DF714D">
              <w:rPr>
                <w:rFonts w:ascii="Century Gothic" w:hAnsi="Century Gothic" w:cs="Arial"/>
                <w:sz w:val="18"/>
                <w:szCs w:val="18"/>
                <w:lang w:val="es-ES"/>
              </w:rPr>
              <w:t>al Consejo General el Informe.</w:t>
            </w:r>
          </w:p>
        </w:tc>
        <w:tc>
          <w:tcPr>
            <w:tcW w:w="1555" w:type="dxa"/>
          </w:tcPr>
          <w:p w14:paraId="3A562783" w14:textId="03493230"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12</w:t>
            </w:r>
          </w:p>
        </w:tc>
        <w:tc>
          <w:tcPr>
            <w:tcW w:w="1131" w:type="dxa"/>
            <w:shd w:val="clear" w:color="auto" w:fill="BFBFBF" w:themeFill="background1" w:themeFillShade="BF"/>
          </w:tcPr>
          <w:p w14:paraId="1636A8E8" w14:textId="508D253A"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13</w:t>
            </w:r>
          </w:p>
        </w:tc>
      </w:tr>
      <w:tr w:rsidR="00DF714D" w:rsidRPr="00DF714D" w14:paraId="3F5EE69F" w14:textId="77777777" w:rsidTr="00E963EE">
        <w:tc>
          <w:tcPr>
            <w:tcW w:w="699" w:type="dxa"/>
            <w:shd w:val="clear" w:color="auto" w:fill="BFBFBF" w:themeFill="background1" w:themeFillShade="BF"/>
          </w:tcPr>
          <w:p w14:paraId="314354F2" w14:textId="32AD6ACD"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14</w:t>
            </w:r>
          </w:p>
        </w:tc>
        <w:tc>
          <w:tcPr>
            <w:tcW w:w="1468" w:type="dxa"/>
          </w:tcPr>
          <w:p w14:paraId="7F1E8E0B" w14:textId="56796FF6"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15</w:t>
            </w:r>
          </w:p>
        </w:tc>
        <w:tc>
          <w:tcPr>
            <w:tcW w:w="1772" w:type="dxa"/>
          </w:tcPr>
          <w:p w14:paraId="523C3CCC" w14:textId="3C205357"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16</w:t>
            </w:r>
          </w:p>
        </w:tc>
        <w:tc>
          <w:tcPr>
            <w:tcW w:w="1277" w:type="dxa"/>
          </w:tcPr>
          <w:p w14:paraId="6BF5413D" w14:textId="4552DF59"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17</w:t>
            </w:r>
          </w:p>
        </w:tc>
        <w:tc>
          <w:tcPr>
            <w:tcW w:w="1449" w:type="dxa"/>
          </w:tcPr>
          <w:p w14:paraId="3AD4A6EA" w14:textId="536847C2" w:rsidR="009C01F3" w:rsidRPr="00DF714D" w:rsidRDefault="009C01F3" w:rsidP="00E963EE">
            <w:pPr>
              <w:spacing w:line="276" w:lineRule="auto"/>
              <w:jc w:val="both"/>
              <w:rPr>
                <w:rFonts w:ascii="Century Gothic" w:hAnsi="Century Gothic" w:cs="Arial"/>
                <w:b/>
                <w:bCs/>
                <w:sz w:val="18"/>
                <w:szCs w:val="18"/>
                <w:lang w:val="es-ES"/>
              </w:rPr>
            </w:pPr>
            <w:r w:rsidRPr="00DF714D">
              <w:rPr>
                <w:rFonts w:ascii="Century Gothic" w:hAnsi="Century Gothic" w:cs="Arial"/>
                <w:b/>
                <w:bCs/>
                <w:sz w:val="18"/>
                <w:szCs w:val="18"/>
                <w:lang w:val="es-ES"/>
              </w:rPr>
              <w:t>18</w:t>
            </w:r>
          </w:p>
        </w:tc>
        <w:tc>
          <w:tcPr>
            <w:tcW w:w="1555" w:type="dxa"/>
          </w:tcPr>
          <w:p w14:paraId="0B142C43" w14:textId="2738B27C"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19</w:t>
            </w:r>
          </w:p>
        </w:tc>
        <w:tc>
          <w:tcPr>
            <w:tcW w:w="1131" w:type="dxa"/>
            <w:shd w:val="clear" w:color="auto" w:fill="BFBFBF" w:themeFill="background1" w:themeFillShade="BF"/>
          </w:tcPr>
          <w:p w14:paraId="1FF2C43C" w14:textId="1157D69E"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20</w:t>
            </w:r>
          </w:p>
        </w:tc>
      </w:tr>
      <w:tr w:rsidR="00DF714D" w:rsidRPr="00DF714D" w14:paraId="18AA7859" w14:textId="77777777" w:rsidTr="00E963EE">
        <w:tc>
          <w:tcPr>
            <w:tcW w:w="699" w:type="dxa"/>
            <w:shd w:val="clear" w:color="auto" w:fill="BFBFBF" w:themeFill="background1" w:themeFillShade="BF"/>
          </w:tcPr>
          <w:p w14:paraId="5D72D357" w14:textId="021E0092"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21</w:t>
            </w:r>
          </w:p>
        </w:tc>
        <w:tc>
          <w:tcPr>
            <w:tcW w:w="1468" w:type="dxa"/>
          </w:tcPr>
          <w:p w14:paraId="19228FC4" w14:textId="6A52C550"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22</w:t>
            </w:r>
          </w:p>
        </w:tc>
        <w:tc>
          <w:tcPr>
            <w:tcW w:w="1772" w:type="dxa"/>
          </w:tcPr>
          <w:p w14:paraId="5DF21FE7" w14:textId="36A8A099"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23</w:t>
            </w:r>
          </w:p>
        </w:tc>
        <w:tc>
          <w:tcPr>
            <w:tcW w:w="1277" w:type="dxa"/>
          </w:tcPr>
          <w:p w14:paraId="2CBEC89F" w14:textId="0BB3B3DF"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24</w:t>
            </w:r>
          </w:p>
        </w:tc>
        <w:tc>
          <w:tcPr>
            <w:tcW w:w="1449" w:type="dxa"/>
          </w:tcPr>
          <w:p w14:paraId="2E233E39" w14:textId="36D76512" w:rsidR="009C01F3" w:rsidRPr="00DF714D" w:rsidRDefault="009C01F3" w:rsidP="00E963EE">
            <w:pPr>
              <w:spacing w:line="276" w:lineRule="auto"/>
              <w:jc w:val="both"/>
              <w:rPr>
                <w:rFonts w:ascii="Century Gothic" w:hAnsi="Century Gothic" w:cs="Arial"/>
                <w:b/>
                <w:bCs/>
                <w:sz w:val="18"/>
                <w:szCs w:val="18"/>
                <w:lang w:val="es-ES"/>
              </w:rPr>
            </w:pPr>
            <w:r w:rsidRPr="00DF714D">
              <w:rPr>
                <w:rFonts w:ascii="Century Gothic" w:hAnsi="Century Gothic" w:cs="Arial"/>
                <w:b/>
                <w:bCs/>
                <w:sz w:val="18"/>
                <w:szCs w:val="18"/>
                <w:lang w:val="es-ES"/>
              </w:rPr>
              <w:t>25</w:t>
            </w:r>
            <w:r w:rsidR="00097F1E" w:rsidRPr="00DF714D">
              <w:rPr>
                <w:rFonts w:ascii="Century Gothic" w:hAnsi="Century Gothic" w:cs="Arial"/>
                <w:sz w:val="18"/>
                <w:szCs w:val="18"/>
                <w:lang w:val="es-ES"/>
              </w:rPr>
              <w:t xml:space="preserve"> </w:t>
            </w:r>
            <w:proofErr w:type="gramStart"/>
            <w:r w:rsidR="00097F1E" w:rsidRPr="00DF714D">
              <w:rPr>
                <w:rFonts w:ascii="Century Gothic" w:hAnsi="Century Gothic" w:cs="Arial"/>
                <w:sz w:val="18"/>
                <w:szCs w:val="18"/>
                <w:lang w:val="es-ES"/>
              </w:rPr>
              <w:t>Venc</w:t>
            </w:r>
            <w:r w:rsidR="001259F8" w:rsidRPr="00DF714D">
              <w:rPr>
                <w:rFonts w:ascii="Century Gothic" w:hAnsi="Century Gothic" w:cs="Arial"/>
                <w:sz w:val="18"/>
                <w:szCs w:val="18"/>
                <w:lang w:val="es-ES"/>
              </w:rPr>
              <w:t>ería</w:t>
            </w:r>
            <w:proofErr w:type="gramEnd"/>
            <w:r w:rsidR="001259F8" w:rsidRPr="00DF714D">
              <w:rPr>
                <w:rFonts w:ascii="Century Gothic" w:hAnsi="Century Gothic" w:cs="Arial"/>
                <w:sz w:val="18"/>
                <w:szCs w:val="18"/>
                <w:lang w:val="es-ES"/>
              </w:rPr>
              <w:t xml:space="preserve"> el</w:t>
            </w:r>
            <w:r w:rsidR="00097F1E" w:rsidRPr="00DF714D">
              <w:rPr>
                <w:rFonts w:ascii="Century Gothic" w:hAnsi="Century Gothic" w:cs="Arial"/>
                <w:sz w:val="18"/>
                <w:szCs w:val="18"/>
                <w:lang w:val="es-ES"/>
              </w:rPr>
              <w:t xml:space="preserve"> </w:t>
            </w:r>
            <w:r w:rsidR="00CA4AB1" w:rsidRPr="00DF714D">
              <w:rPr>
                <w:rFonts w:ascii="Century Gothic" w:hAnsi="Century Gothic" w:cs="Arial"/>
                <w:sz w:val="18"/>
                <w:szCs w:val="18"/>
                <w:lang w:val="es-ES"/>
              </w:rPr>
              <w:t>plazo</w:t>
            </w:r>
            <w:r w:rsidR="00097F1E" w:rsidRPr="00DF714D">
              <w:rPr>
                <w:rFonts w:ascii="Century Gothic" w:hAnsi="Century Gothic" w:cs="Arial"/>
                <w:sz w:val="18"/>
                <w:szCs w:val="18"/>
                <w:lang w:val="es-ES"/>
              </w:rPr>
              <w:t xml:space="preserve"> de 10 días</w:t>
            </w:r>
            <w:r w:rsidR="001259F8" w:rsidRPr="00DF714D">
              <w:rPr>
                <w:rFonts w:ascii="Century Gothic" w:hAnsi="Century Gothic" w:cs="Arial"/>
                <w:sz w:val="18"/>
                <w:szCs w:val="18"/>
                <w:lang w:val="es-ES"/>
              </w:rPr>
              <w:t xml:space="preserve"> contados a partir de la recepción del informe</w:t>
            </w:r>
            <w:r w:rsidR="00097F1E" w:rsidRPr="00DF714D">
              <w:rPr>
                <w:rFonts w:ascii="Century Gothic" w:hAnsi="Century Gothic" w:cs="Arial"/>
                <w:sz w:val="18"/>
                <w:szCs w:val="18"/>
                <w:lang w:val="es-ES"/>
              </w:rPr>
              <w:t xml:space="preserve"> para que el Consejo General res</w:t>
            </w:r>
            <w:r w:rsidR="001259F8" w:rsidRPr="00DF714D">
              <w:rPr>
                <w:rFonts w:ascii="Century Gothic" w:hAnsi="Century Gothic" w:cs="Arial"/>
                <w:sz w:val="18"/>
                <w:szCs w:val="18"/>
                <w:lang w:val="es-ES"/>
              </w:rPr>
              <w:t>olviera</w:t>
            </w:r>
            <w:r w:rsidR="00097F1E" w:rsidRPr="00DF714D">
              <w:rPr>
                <w:rFonts w:ascii="Century Gothic" w:hAnsi="Century Gothic" w:cs="Arial"/>
                <w:sz w:val="18"/>
                <w:szCs w:val="18"/>
                <w:lang w:val="es-ES"/>
              </w:rPr>
              <w:t xml:space="preserve"> lo concerniente.</w:t>
            </w:r>
          </w:p>
        </w:tc>
        <w:tc>
          <w:tcPr>
            <w:tcW w:w="1555" w:type="dxa"/>
          </w:tcPr>
          <w:p w14:paraId="1916EEF8" w14:textId="53AC121A"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26</w:t>
            </w:r>
          </w:p>
        </w:tc>
        <w:tc>
          <w:tcPr>
            <w:tcW w:w="1131" w:type="dxa"/>
            <w:shd w:val="clear" w:color="auto" w:fill="BFBFBF" w:themeFill="background1" w:themeFillShade="BF"/>
          </w:tcPr>
          <w:p w14:paraId="1FDA66E7" w14:textId="15F106F0" w:rsidR="009C01F3" w:rsidRPr="00DF714D" w:rsidRDefault="009C01F3" w:rsidP="00E963EE">
            <w:pPr>
              <w:spacing w:line="276" w:lineRule="auto"/>
              <w:ind w:right="-518"/>
              <w:jc w:val="both"/>
              <w:rPr>
                <w:rFonts w:ascii="Century Gothic" w:hAnsi="Century Gothic" w:cs="Arial"/>
                <w:b/>
                <w:bCs/>
                <w:sz w:val="18"/>
                <w:szCs w:val="18"/>
                <w:lang w:val="es-ES"/>
              </w:rPr>
            </w:pPr>
            <w:r w:rsidRPr="00DF714D">
              <w:rPr>
                <w:rFonts w:ascii="Century Gothic" w:hAnsi="Century Gothic" w:cs="Arial"/>
                <w:b/>
                <w:bCs/>
                <w:sz w:val="18"/>
                <w:szCs w:val="18"/>
                <w:lang w:val="es-ES"/>
              </w:rPr>
              <w:t>27</w:t>
            </w:r>
          </w:p>
        </w:tc>
      </w:tr>
    </w:tbl>
    <w:p w14:paraId="37FA96E6" w14:textId="77777777" w:rsidR="009C01F3" w:rsidRPr="00DF714D" w:rsidRDefault="009C01F3" w:rsidP="00E963EE">
      <w:pPr>
        <w:spacing w:after="0" w:line="360" w:lineRule="auto"/>
        <w:ind w:right="-518"/>
        <w:jc w:val="both"/>
        <w:rPr>
          <w:rFonts w:ascii="Century Gothic" w:hAnsi="Century Gothic" w:cs="Arial"/>
          <w:sz w:val="20"/>
          <w:szCs w:val="20"/>
          <w:lang w:val="es-ES"/>
        </w:rPr>
      </w:pPr>
    </w:p>
    <w:p w14:paraId="54705DD8" w14:textId="38C05D55" w:rsidR="00097F1E" w:rsidRPr="00DF714D" w:rsidRDefault="00CA0E9E"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Una vez expuesto lo anterior</w:t>
      </w:r>
      <w:r w:rsidR="00097F1E" w:rsidRPr="00DF714D">
        <w:rPr>
          <w:rFonts w:ascii="Century Gothic" w:hAnsi="Century Gothic" w:cs="Arial"/>
          <w:sz w:val="24"/>
          <w:szCs w:val="24"/>
          <w:lang w:val="es-ES"/>
        </w:rPr>
        <w:t>, se advierte que</w:t>
      </w:r>
      <w:r w:rsidR="003762E6" w:rsidRPr="00DF714D">
        <w:rPr>
          <w:rFonts w:ascii="Century Gothic" w:hAnsi="Century Gothic" w:cs="Arial"/>
          <w:sz w:val="24"/>
          <w:szCs w:val="24"/>
          <w:lang w:val="es-ES"/>
        </w:rPr>
        <w:t>,</w:t>
      </w:r>
      <w:r w:rsidR="00097F1E" w:rsidRPr="00DF714D">
        <w:rPr>
          <w:rFonts w:ascii="Century Gothic" w:hAnsi="Century Gothic" w:cs="Arial"/>
          <w:sz w:val="24"/>
          <w:szCs w:val="24"/>
          <w:lang w:val="es-ES"/>
        </w:rPr>
        <w:t xml:space="preserve"> </w:t>
      </w:r>
      <w:r w:rsidR="002315CA" w:rsidRPr="00DF714D">
        <w:rPr>
          <w:rFonts w:ascii="Century Gothic" w:hAnsi="Century Gothic" w:cs="Arial"/>
          <w:sz w:val="24"/>
          <w:szCs w:val="24"/>
          <w:lang w:val="es-ES"/>
        </w:rPr>
        <w:t xml:space="preserve">a más tardar el </w:t>
      </w:r>
      <w:r w:rsidR="00097F1E" w:rsidRPr="00DF714D">
        <w:rPr>
          <w:rFonts w:ascii="Century Gothic" w:hAnsi="Century Gothic" w:cs="Arial"/>
          <w:sz w:val="24"/>
          <w:szCs w:val="24"/>
          <w:lang w:val="es-ES"/>
        </w:rPr>
        <w:t xml:space="preserve">11 de mayo de 2023, el </w:t>
      </w:r>
      <w:r w:rsidR="002315CA" w:rsidRPr="00DF714D">
        <w:rPr>
          <w:rFonts w:ascii="Century Gothic" w:hAnsi="Century Gothic" w:cs="Arial"/>
          <w:sz w:val="24"/>
          <w:szCs w:val="24"/>
          <w:lang w:val="es-ES"/>
        </w:rPr>
        <w:t xml:space="preserve">secretario ejecutivo </w:t>
      </w:r>
      <w:r w:rsidR="00097F1E" w:rsidRPr="00DF714D">
        <w:rPr>
          <w:rFonts w:ascii="Century Gothic" w:hAnsi="Century Gothic" w:cs="Arial"/>
          <w:sz w:val="24"/>
          <w:szCs w:val="24"/>
          <w:lang w:val="es-ES"/>
        </w:rPr>
        <w:t xml:space="preserve">debió presentar el Informe </w:t>
      </w:r>
      <w:r w:rsidR="00312FC2" w:rsidRPr="00DF714D">
        <w:rPr>
          <w:rFonts w:ascii="Century Gothic" w:hAnsi="Century Gothic" w:cs="Arial"/>
          <w:sz w:val="24"/>
          <w:szCs w:val="24"/>
          <w:lang w:val="es-ES"/>
        </w:rPr>
        <w:t>sobre la declaratoria de v</w:t>
      </w:r>
      <w:r w:rsidR="00097F1E" w:rsidRPr="00DF714D">
        <w:rPr>
          <w:rFonts w:ascii="Century Gothic" w:hAnsi="Century Gothic" w:cs="Arial"/>
          <w:sz w:val="24"/>
          <w:szCs w:val="24"/>
          <w:lang w:val="es-ES"/>
        </w:rPr>
        <w:t xml:space="preserve">iabilidad </w:t>
      </w:r>
      <w:r w:rsidR="00E22246" w:rsidRPr="00DF714D">
        <w:rPr>
          <w:rFonts w:ascii="Century Gothic" w:hAnsi="Century Gothic" w:cs="Arial"/>
          <w:sz w:val="24"/>
          <w:szCs w:val="24"/>
          <w:lang w:val="es-ES"/>
        </w:rPr>
        <w:t xml:space="preserve">o inviabilidad </w:t>
      </w:r>
      <w:r w:rsidR="00097F1E" w:rsidRPr="00DF714D">
        <w:rPr>
          <w:rFonts w:ascii="Century Gothic" w:hAnsi="Century Gothic" w:cs="Arial"/>
          <w:sz w:val="24"/>
          <w:szCs w:val="24"/>
          <w:lang w:val="es-ES"/>
        </w:rPr>
        <w:t>al Consejo General</w:t>
      </w:r>
      <w:r w:rsidR="00865615" w:rsidRPr="00DF714D">
        <w:rPr>
          <w:rFonts w:ascii="Century Gothic" w:hAnsi="Century Gothic" w:cs="Arial"/>
          <w:sz w:val="24"/>
          <w:szCs w:val="24"/>
          <w:lang w:val="es-ES"/>
        </w:rPr>
        <w:t>, lo que en la especie no aconteció, en su lugar</w:t>
      </w:r>
      <w:r w:rsidR="002315CA" w:rsidRPr="00DF714D">
        <w:rPr>
          <w:rFonts w:ascii="Century Gothic" w:hAnsi="Century Gothic" w:cs="Arial"/>
          <w:sz w:val="24"/>
          <w:szCs w:val="24"/>
          <w:lang w:val="es-ES"/>
        </w:rPr>
        <w:t>,</w:t>
      </w:r>
      <w:r w:rsidR="00865615" w:rsidRPr="00DF714D">
        <w:rPr>
          <w:rFonts w:ascii="Century Gothic" w:hAnsi="Century Gothic" w:cs="Arial"/>
          <w:sz w:val="24"/>
          <w:szCs w:val="24"/>
          <w:lang w:val="es-ES"/>
        </w:rPr>
        <w:t xml:space="preserve"> </w:t>
      </w:r>
      <w:r w:rsidR="002315CA" w:rsidRPr="00DF714D">
        <w:rPr>
          <w:rFonts w:ascii="Century Gothic" w:hAnsi="Century Gothic" w:cs="Arial"/>
          <w:sz w:val="24"/>
          <w:szCs w:val="24"/>
          <w:lang w:val="es-ES"/>
        </w:rPr>
        <w:t>dicho funcionario</w:t>
      </w:r>
      <w:r w:rsidR="00865615" w:rsidRPr="00DF714D">
        <w:rPr>
          <w:rFonts w:ascii="Century Gothic" w:hAnsi="Century Gothic" w:cs="Arial"/>
          <w:sz w:val="24"/>
          <w:szCs w:val="24"/>
          <w:lang w:val="es-ES"/>
        </w:rPr>
        <w:t xml:space="preserve"> </w:t>
      </w:r>
      <w:r w:rsidR="002315CA" w:rsidRPr="00DF714D">
        <w:rPr>
          <w:rFonts w:ascii="Century Gothic" w:hAnsi="Century Gothic" w:cs="Arial"/>
          <w:sz w:val="24"/>
          <w:szCs w:val="24"/>
          <w:lang w:val="es-ES"/>
        </w:rPr>
        <w:t>remitió</w:t>
      </w:r>
      <w:r w:rsidR="00865615" w:rsidRPr="00DF714D">
        <w:rPr>
          <w:rFonts w:ascii="Century Gothic" w:hAnsi="Century Gothic" w:cs="Arial"/>
          <w:sz w:val="24"/>
          <w:szCs w:val="24"/>
          <w:lang w:val="es-ES"/>
        </w:rPr>
        <w:t xml:space="preserve"> a la </w:t>
      </w:r>
      <w:r w:rsidR="002315CA" w:rsidRPr="00DF714D">
        <w:rPr>
          <w:rFonts w:ascii="Century Gothic" w:hAnsi="Century Gothic" w:cs="Arial"/>
          <w:sz w:val="24"/>
          <w:szCs w:val="24"/>
          <w:lang w:val="es-ES"/>
        </w:rPr>
        <w:t xml:space="preserve">consejera presidenta </w:t>
      </w:r>
      <w:r w:rsidR="00865615" w:rsidRPr="00DF714D">
        <w:rPr>
          <w:rFonts w:ascii="Century Gothic" w:hAnsi="Century Gothic" w:cs="Arial"/>
          <w:sz w:val="24"/>
          <w:szCs w:val="24"/>
          <w:lang w:val="es-ES"/>
        </w:rPr>
        <w:t xml:space="preserve">el informe que nos ocupa, </w:t>
      </w:r>
      <w:r w:rsidR="002315CA" w:rsidRPr="00DF714D">
        <w:rPr>
          <w:rFonts w:ascii="Century Gothic" w:hAnsi="Century Gothic" w:cs="Arial"/>
          <w:sz w:val="24"/>
          <w:szCs w:val="24"/>
          <w:lang w:val="es-ES"/>
        </w:rPr>
        <w:t>no así</w:t>
      </w:r>
      <w:r w:rsidR="00865615" w:rsidRPr="00DF714D">
        <w:rPr>
          <w:rFonts w:ascii="Century Gothic" w:hAnsi="Century Gothic" w:cs="Arial"/>
          <w:sz w:val="24"/>
          <w:szCs w:val="24"/>
          <w:lang w:val="es-ES"/>
        </w:rPr>
        <w:t xml:space="preserve"> al Consejo General, como lo indica la </w:t>
      </w:r>
      <w:r w:rsidR="00482990" w:rsidRPr="00DF714D">
        <w:rPr>
          <w:rFonts w:ascii="Century Gothic" w:hAnsi="Century Gothic" w:cs="Arial"/>
          <w:sz w:val="24"/>
          <w:szCs w:val="24"/>
          <w:lang w:val="es-ES"/>
        </w:rPr>
        <w:t>resolución</w:t>
      </w:r>
      <w:r w:rsidR="00865615" w:rsidRPr="00DF714D">
        <w:rPr>
          <w:rFonts w:ascii="Century Gothic" w:hAnsi="Century Gothic" w:cs="Arial"/>
          <w:sz w:val="24"/>
          <w:szCs w:val="24"/>
          <w:lang w:val="es-ES"/>
        </w:rPr>
        <w:t xml:space="preserve"> a la cual se pretende dar cumplimiento.</w:t>
      </w:r>
    </w:p>
    <w:p w14:paraId="482C8089" w14:textId="77777777" w:rsidR="00312FC2" w:rsidRPr="00DF714D" w:rsidRDefault="00312FC2" w:rsidP="00E963EE">
      <w:pPr>
        <w:spacing w:after="0" w:line="360" w:lineRule="auto"/>
        <w:ind w:right="-518"/>
        <w:jc w:val="both"/>
        <w:rPr>
          <w:rFonts w:ascii="Century Gothic" w:hAnsi="Century Gothic" w:cs="Arial"/>
          <w:sz w:val="24"/>
          <w:szCs w:val="24"/>
          <w:lang w:val="es-ES"/>
        </w:rPr>
      </w:pPr>
    </w:p>
    <w:p w14:paraId="546A0E0F" w14:textId="1B4F0892" w:rsidR="00865615" w:rsidRPr="00DF714D" w:rsidRDefault="00865615"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Ahora bien, es importante señalar que</w:t>
      </w:r>
      <w:r w:rsidR="00BF4AA6" w:rsidRPr="00DF714D">
        <w:rPr>
          <w:rFonts w:ascii="Century Gothic" w:hAnsi="Century Gothic" w:cs="Arial"/>
          <w:sz w:val="24"/>
          <w:szCs w:val="24"/>
          <w:lang w:val="es-ES"/>
        </w:rPr>
        <w:t xml:space="preserve">, de conformidad con </w:t>
      </w:r>
      <w:r w:rsidR="008B1B26" w:rsidRPr="00DF714D">
        <w:rPr>
          <w:rFonts w:ascii="Century Gothic" w:hAnsi="Century Gothic" w:cs="Arial"/>
          <w:sz w:val="24"/>
          <w:szCs w:val="24"/>
          <w:lang w:val="es-ES"/>
        </w:rPr>
        <w:t>los</w:t>
      </w:r>
      <w:r w:rsidR="00BF4AA6" w:rsidRPr="00DF714D">
        <w:rPr>
          <w:rFonts w:ascii="Century Gothic" w:hAnsi="Century Gothic" w:cs="Arial"/>
          <w:sz w:val="24"/>
          <w:szCs w:val="24"/>
          <w:lang w:val="es-ES"/>
        </w:rPr>
        <w:t xml:space="preserve"> artículo</w:t>
      </w:r>
      <w:r w:rsidR="008B1B26" w:rsidRPr="00DF714D">
        <w:rPr>
          <w:rFonts w:ascii="Century Gothic" w:hAnsi="Century Gothic" w:cs="Arial"/>
          <w:sz w:val="24"/>
          <w:szCs w:val="24"/>
          <w:lang w:val="es-ES"/>
        </w:rPr>
        <w:t>s</w:t>
      </w:r>
      <w:r w:rsidR="00BF4AA6" w:rsidRPr="00DF714D">
        <w:rPr>
          <w:rFonts w:ascii="Century Gothic" w:hAnsi="Century Gothic" w:cs="Arial"/>
          <w:sz w:val="24"/>
          <w:szCs w:val="24"/>
          <w:lang w:val="es-ES"/>
        </w:rPr>
        <w:t xml:space="preserve"> 12, fracción IV</w:t>
      </w:r>
      <w:r w:rsidR="006A1BD5" w:rsidRPr="00DF714D">
        <w:rPr>
          <w:rFonts w:ascii="Century Gothic" w:hAnsi="Century Gothic" w:cs="Arial"/>
          <w:sz w:val="24"/>
          <w:szCs w:val="24"/>
          <w:lang w:val="es-ES"/>
        </w:rPr>
        <w:t>, de la Constitución Política del Estado de Jalisco</w:t>
      </w:r>
      <w:r w:rsidR="005B18E6" w:rsidRPr="00DF714D">
        <w:rPr>
          <w:rFonts w:ascii="Century Gothic" w:hAnsi="Century Gothic" w:cs="Arial"/>
          <w:sz w:val="24"/>
          <w:szCs w:val="24"/>
          <w:lang w:val="es-ES"/>
        </w:rPr>
        <w:t xml:space="preserve">, </w:t>
      </w:r>
      <w:r w:rsidR="008B1B26" w:rsidRPr="00DF714D">
        <w:rPr>
          <w:rFonts w:ascii="Century Gothic" w:hAnsi="Century Gothic" w:cs="Arial"/>
          <w:sz w:val="24"/>
          <w:szCs w:val="24"/>
          <w:lang w:val="es-ES"/>
        </w:rPr>
        <w:t>2, fracción VIII</w:t>
      </w:r>
      <w:r w:rsidR="0009764E" w:rsidRPr="00DF714D">
        <w:rPr>
          <w:rFonts w:ascii="Century Gothic" w:hAnsi="Century Gothic" w:cs="Arial"/>
          <w:sz w:val="24"/>
          <w:szCs w:val="24"/>
          <w:lang w:val="es-ES"/>
        </w:rPr>
        <w:t xml:space="preserve">, inciso a) y </w:t>
      </w:r>
      <w:r w:rsidR="00094B74" w:rsidRPr="00DF714D">
        <w:rPr>
          <w:rFonts w:ascii="Century Gothic" w:hAnsi="Century Gothic" w:cs="Arial"/>
          <w:sz w:val="24"/>
          <w:szCs w:val="24"/>
          <w:lang w:val="es-ES"/>
        </w:rPr>
        <w:t>121, párrafo 1</w:t>
      </w:r>
      <w:r w:rsidR="00234264" w:rsidRPr="00DF714D">
        <w:rPr>
          <w:rFonts w:ascii="Century Gothic" w:hAnsi="Century Gothic" w:cs="Arial"/>
          <w:sz w:val="24"/>
          <w:szCs w:val="24"/>
          <w:lang w:val="es-ES"/>
        </w:rPr>
        <w:t xml:space="preserve">, del Código Electoral y de Participación Ciudadana del Estado </w:t>
      </w:r>
      <w:r w:rsidR="00234264" w:rsidRPr="00DF714D">
        <w:rPr>
          <w:rFonts w:ascii="Century Gothic" w:hAnsi="Century Gothic" w:cs="Arial"/>
          <w:sz w:val="24"/>
          <w:szCs w:val="24"/>
          <w:lang w:val="es-ES"/>
        </w:rPr>
        <w:lastRenderedPageBreak/>
        <w:t xml:space="preserve">de Jalisco, </w:t>
      </w:r>
      <w:r w:rsidRPr="00DF714D">
        <w:rPr>
          <w:rFonts w:ascii="Century Gothic" w:hAnsi="Century Gothic" w:cs="Arial"/>
          <w:sz w:val="24"/>
          <w:szCs w:val="24"/>
          <w:lang w:val="es-ES"/>
        </w:rPr>
        <w:t>el Consejo General</w:t>
      </w:r>
      <w:r w:rsidR="00E07D4D" w:rsidRPr="00DF714D">
        <w:rPr>
          <w:rFonts w:ascii="Century Gothic" w:hAnsi="Century Gothic" w:cs="Arial"/>
          <w:sz w:val="24"/>
          <w:szCs w:val="24"/>
          <w:lang w:val="es-ES"/>
        </w:rPr>
        <w:t xml:space="preserve"> es el órgano superior de dirección</w:t>
      </w:r>
      <w:r w:rsidRPr="00DF714D">
        <w:rPr>
          <w:rFonts w:ascii="Century Gothic" w:hAnsi="Century Gothic" w:cs="Arial"/>
          <w:sz w:val="24"/>
          <w:szCs w:val="24"/>
          <w:lang w:val="es-ES"/>
        </w:rPr>
        <w:t xml:space="preserve"> del instituto</w:t>
      </w:r>
      <w:r w:rsidR="003A5170" w:rsidRPr="00DF714D">
        <w:rPr>
          <w:rFonts w:ascii="Century Gothic" w:hAnsi="Century Gothic" w:cs="Arial"/>
          <w:sz w:val="24"/>
          <w:szCs w:val="24"/>
          <w:lang w:val="es-ES"/>
        </w:rPr>
        <w:t xml:space="preserve"> y </w:t>
      </w:r>
      <w:r w:rsidRPr="00DF714D">
        <w:rPr>
          <w:rFonts w:ascii="Century Gothic" w:hAnsi="Century Gothic" w:cs="Arial"/>
          <w:sz w:val="24"/>
          <w:szCs w:val="24"/>
          <w:lang w:val="es-ES"/>
        </w:rPr>
        <w:t xml:space="preserve">se integra </w:t>
      </w:r>
      <w:r w:rsidR="000964AD" w:rsidRPr="00DF714D">
        <w:rPr>
          <w:rFonts w:ascii="Century Gothic" w:hAnsi="Century Gothic" w:cs="Arial"/>
          <w:sz w:val="24"/>
          <w:szCs w:val="24"/>
          <w:lang w:val="es-ES"/>
        </w:rPr>
        <w:t>por un</w:t>
      </w:r>
      <w:r w:rsidR="009F3C12" w:rsidRPr="00DF714D">
        <w:rPr>
          <w:rFonts w:ascii="Century Gothic" w:hAnsi="Century Gothic" w:cs="Arial"/>
          <w:sz w:val="24"/>
          <w:szCs w:val="24"/>
          <w:lang w:val="es-ES"/>
        </w:rPr>
        <w:t>a</w:t>
      </w:r>
      <w:r w:rsidR="000964AD" w:rsidRPr="00DF714D">
        <w:rPr>
          <w:rFonts w:ascii="Century Gothic" w:hAnsi="Century Gothic" w:cs="Arial"/>
          <w:sz w:val="24"/>
          <w:szCs w:val="24"/>
          <w:lang w:val="es-ES"/>
        </w:rPr>
        <w:t xml:space="preserve"> </w:t>
      </w:r>
      <w:r w:rsidR="00F878D0" w:rsidRPr="00DF714D">
        <w:rPr>
          <w:rFonts w:ascii="Century Gothic" w:hAnsi="Century Gothic" w:cs="Arial"/>
          <w:sz w:val="24"/>
          <w:szCs w:val="24"/>
          <w:lang w:val="es-ES"/>
        </w:rPr>
        <w:t>consejer</w:t>
      </w:r>
      <w:r w:rsidR="009F3C12" w:rsidRPr="00DF714D">
        <w:rPr>
          <w:rFonts w:ascii="Century Gothic" w:hAnsi="Century Gothic" w:cs="Arial"/>
          <w:sz w:val="24"/>
          <w:szCs w:val="24"/>
          <w:lang w:val="es-ES"/>
        </w:rPr>
        <w:t>a</w:t>
      </w:r>
      <w:r w:rsidR="00814E13" w:rsidRPr="00DF714D">
        <w:rPr>
          <w:rFonts w:ascii="Century Gothic" w:hAnsi="Century Gothic" w:cs="Arial"/>
          <w:sz w:val="24"/>
          <w:szCs w:val="24"/>
          <w:lang w:val="es-ES"/>
        </w:rPr>
        <w:t xml:space="preserve"> o</w:t>
      </w:r>
      <w:r w:rsidR="003A5170" w:rsidRPr="00DF714D">
        <w:rPr>
          <w:rFonts w:ascii="Century Gothic" w:hAnsi="Century Gothic" w:cs="Arial"/>
          <w:sz w:val="24"/>
          <w:szCs w:val="24"/>
          <w:lang w:val="es-ES"/>
        </w:rPr>
        <w:t xml:space="preserve"> consejer</w:t>
      </w:r>
      <w:r w:rsidR="009F3C12" w:rsidRPr="00DF714D">
        <w:rPr>
          <w:rFonts w:ascii="Century Gothic" w:hAnsi="Century Gothic" w:cs="Arial"/>
          <w:sz w:val="24"/>
          <w:szCs w:val="24"/>
          <w:lang w:val="es-ES"/>
        </w:rPr>
        <w:t>o</w:t>
      </w:r>
      <w:r w:rsidR="00F878D0" w:rsidRPr="00DF714D">
        <w:rPr>
          <w:rFonts w:ascii="Century Gothic" w:hAnsi="Century Gothic" w:cs="Arial"/>
          <w:sz w:val="24"/>
          <w:szCs w:val="24"/>
          <w:lang w:val="es-ES"/>
        </w:rPr>
        <w:t xml:space="preserve"> presidente, seis consejer</w:t>
      </w:r>
      <w:r w:rsidR="00EB089C" w:rsidRPr="00DF714D">
        <w:rPr>
          <w:rFonts w:ascii="Century Gothic" w:hAnsi="Century Gothic" w:cs="Arial"/>
          <w:sz w:val="24"/>
          <w:szCs w:val="24"/>
          <w:lang w:val="es-ES"/>
        </w:rPr>
        <w:t>ías</w:t>
      </w:r>
      <w:r w:rsidR="00F878D0" w:rsidRPr="00DF714D">
        <w:rPr>
          <w:rFonts w:ascii="Century Gothic" w:hAnsi="Century Gothic" w:cs="Arial"/>
          <w:sz w:val="24"/>
          <w:szCs w:val="24"/>
          <w:lang w:val="es-ES"/>
        </w:rPr>
        <w:t xml:space="preserve"> electorales</w:t>
      </w:r>
      <w:r w:rsidR="00681C8D" w:rsidRPr="00DF714D">
        <w:rPr>
          <w:rFonts w:ascii="Century Gothic" w:hAnsi="Century Gothic" w:cs="Arial"/>
          <w:sz w:val="24"/>
          <w:szCs w:val="24"/>
          <w:lang w:val="es-ES"/>
        </w:rPr>
        <w:t xml:space="preserve">, </w:t>
      </w:r>
      <w:r w:rsidR="000964AD" w:rsidRPr="00DF714D">
        <w:rPr>
          <w:rFonts w:ascii="Century Gothic" w:hAnsi="Century Gothic" w:cs="Arial"/>
          <w:sz w:val="24"/>
          <w:szCs w:val="24"/>
          <w:lang w:val="es-ES"/>
        </w:rPr>
        <w:t>un</w:t>
      </w:r>
      <w:r w:rsidR="00681C8D" w:rsidRPr="00DF714D">
        <w:rPr>
          <w:rFonts w:ascii="Century Gothic" w:hAnsi="Century Gothic" w:cs="Arial"/>
          <w:sz w:val="24"/>
          <w:szCs w:val="24"/>
          <w:lang w:val="es-ES"/>
        </w:rPr>
        <w:t>a</w:t>
      </w:r>
      <w:r w:rsidR="000964AD" w:rsidRPr="00DF714D">
        <w:rPr>
          <w:rFonts w:ascii="Century Gothic" w:hAnsi="Century Gothic" w:cs="Arial"/>
          <w:sz w:val="24"/>
          <w:szCs w:val="24"/>
          <w:lang w:val="es-ES"/>
        </w:rPr>
        <w:t xml:space="preserve"> </w:t>
      </w:r>
      <w:r w:rsidR="00681C8D" w:rsidRPr="00DF714D">
        <w:rPr>
          <w:rFonts w:ascii="Century Gothic" w:hAnsi="Century Gothic" w:cs="Arial"/>
          <w:sz w:val="24"/>
          <w:szCs w:val="24"/>
          <w:lang w:val="es-ES"/>
        </w:rPr>
        <w:t>r</w:t>
      </w:r>
      <w:r w:rsidR="000964AD" w:rsidRPr="00DF714D">
        <w:rPr>
          <w:rFonts w:ascii="Century Gothic" w:hAnsi="Century Gothic" w:cs="Arial"/>
          <w:sz w:val="24"/>
          <w:szCs w:val="24"/>
          <w:lang w:val="es-ES"/>
        </w:rPr>
        <w:t>epresenta</w:t>
      </w:r>
      <w:r w:rsidR="00681C8D" w:rsidRPr="00DF714D">
        <w:rPr>
          <w:rFonts w:ascii="Century Gothic" w:hAnsi="Century Gothic" w:cs="Arial"/>
          <w:sz w:val="24"/>
          <w:szCs w:val="24"/>
          <w:lang w:val="es-ES"/>
        </w:rPr>
        <w:t>ción</w:t>
      </w:r>
      <w:r w:rsidR="000964AD" w:rsidRPr="00DF714D">
        <w:rPr>
          <w:rFonts w:ascii="Century Gothic" w:hAnsi="Century Gothic" w:cs="Arial"/>
          <w:sz w:val="24"/>
          <w:szCs w:val="24"/>
          <w:lang w:val="es-ES"/>
        </w:rPr>
        <w:t xml:space="preserve"> de cada </w:t>
      </w:r>
      <w:r w:rsidR="00681C8D" w:rsidRPr="00DF714D">
        <w:rPr>
          <w:rFonts w:ascii="Century Gothic" w:hAnsi="Century Gothic" w:cs="Arial"/>
          <w:sz w:val="24"/>
          <w:szCs w:val="24"/>
          <w:lang w:val="es-ES"/>
        </w:rPr>
        <w:t xml:space="preserve">partido político </w:t>
      </w:r>
      <w:r w:rsidR="000964AD" w:rsidRPr="00DF714D">
        <w:rPr>
          <w:rFonts w:ascii="Century Gothic" w:hAnsi="Century Gothic" w:cs="Arial"/>
          <w:sz w:val="24"/>
          <w:szCs w:val="24"/>
          <w:lang w:val="es-ES"/>
        </w:rPr>
        <w:t>acreditado,</w:t>
      </w:r>
      <w:r w:rsidR="00681C8D" w:rsidRPr="00DF714D">
        <w:rPr>
          <w:rFonts w:ascii="Century Gothic" w:hAnsi="Century Gothic" w:cs="Arial"/>
          <w:sz w:val="24"/>
          <w:szCs w:val="24"/>
          <w:lang w:val="es-ES"/>
        </w:rPr>
        <w:t xml:space="preserve"> y</w:t>
      </w:r>
      <w:r w:rsidR="000964AD" w:rsidRPr="00DF714D">
        <w:rPr>
          <w:rFonts w:ascii="Century Gothic" w:hAnsi="Century Gothic" w:cs="Arial"/>
          <w:sz w:val="24"/>
          <w:szCs w:val="24"/>
          <w:lang w:val="es-ES"/>
        </w:rPr>
        <w:t xml:space="preserve"> el </w:t>
      </w:r>
      <w:r w:rsidR="00681C8D" w:rsidRPr="00DF714D">
        <w:rPr>
          <w:rFonts w:ascii="Century Gothic" w:hAnsi="Century Gothic" w:cs="Arial"/>
          <w:sz w:val="24"/>
          <w:szCs w:val="24"/>
          <w:lang w:val="es-ES"/>
        </w:rPr>
        <w:t>s</w:t>
      </w:r>
      <w:r w:rsidR="000964AD" w:rsidRPr="00DF714D">
        <w:rPr>
          <w:rFonts w:ascii="Century Gothic" w:hAnsi="Century Gothic" w:cs="Arial"/>
          <w:sz w:val="24"/>
          <w:szCs w:val="24"/>
          <w:lang w:val="es-ES"/>
        </w:rPr>
        <w:t>ecretario</w:t>
      </w:r>
      <w:r w:rsidR="00681C8D" w:rsidRPr="00DF714D">
        <w:rPr>
          <w:rFonts w:ascii="Century Gothic" w:hAnsi="Century Gothic" w:cs="Arial"/>
          <w:sz w:val="24"/>
          <w:szCs w:val="24"/>
          <w:lang w:val="es-ES"/>
        </w:rPr>
        <w:t xml:space="preserve"> ejecutivo</w:t>
      </w:r>
      <w:r w:rsidR="00214601" w:rsidRPr="00DF714D">
        <w:rPr>
          <w:rFonts w:ascii="Century Gothic" w:hAnsi="Century Gothic" w:cs="Arial"/>
          <w:sz w:val="24"/>
          <w:szCs w:val="24"/>
          <w:lang w:val="es-ES"/>
        </w:rPr>
        <w:t>;</w:t>
      </w:r>
      <w:r w:rsidR="004677C7" w:rsidRPr="00DF714D">
        <w:rPr>
          <w:rFonts w:ascii="Century Gothic" w:hAnsi="Century Gothic" w:cs="Arial"/>
          <w:sz w:val="24"/>
          <w:szCs w:val="24"/>
          <w:lang w:val="es-ES"/>
        </w:rPr>
        <w:t xml:space="preserve"> haciendo patente que la </w:t>
      </w:r>
      <w:r w:rsidR="00DB13B6" w:rsidRPr="00DF714D">
        <w:rPr>
          <w:rFonts w:ascii="Century Gothic" w:hAnsi="Century Gothic" w:cs="Arial"/>
          <w:sz w:val="24"/>
          <w:szCs w:val="24"/>
          <w:lang w:val="es-ES"/>
        </w:rPr>
        <w:t>consejera presidenta</w:t>
      </w:r>
      <w:r w:rsidR="004677C7" w:rsidRPr="00DF714D">
        <w:rPr>
          <w:rFonts w:ascii="Century Gothic" w:hAnsi="Century Gothic" w:cs="Arial"/>
          <w:sz w:val="24"/>
          <w:szCs w:val="24"/>
          <w:lang w:val="es-ES"/>
        </w:rPr>
        <w:t xml:space="preserve"> no es el Consejo General, sino que </w:t>
      </w:r>
      <w:r w:rsidR="00DB13B6" w:rsidRPr="00DF714D">
        <w:rPr>
          <w:rFonts w:ascii="Century Gothic" w:hAnsi="Century Gothic" w:cs="Arial"/>
          <w:sz w:val="24"/>
          <w:szCs w:val="24"/>
          <w:lang w:val="es-ES"/>
        </w:rPr>
        <w:t>é</w:t>
      </w:r>
      <w:r w:rsidR="004677C7" w:rsidRPr="00DF714D">
        <w:rPr>
          <w:rFonts w:ascii="Century Gothic" w:hAnsi="Century Gothic" w:cs="Arial"/>
          <w:sz w:val="24"/>
          <w:szCs w:val="24"/>
          <w:lang w:val="es-ES"/>
        </w:rPr>
        <w:t xml:space="preserve">ste es un órgano colegiado, por lo que es evidente el deficiente trámite dado al cumplimiento de la </w:t>
      </w:r>
      <w:r w:rsidR="00E74D25" w:rsidRPr="00DF714D">
        <w:rPr>
          <w:rFonts w:ascii="Century Gothic" w:hAnsi="Century Gothic" w:cs="Arial"/>
          <w:sz w:val="24"/>
          <w:szCs w:val="24"/>
          <w:lang w:val="es-ES"/>
        </w:rPr>
        <w:t>resolución</w:t>
      </w:r>
      <w:r w:rsidR="004677C7" w:rsidRPr="00DF714D">
        <w:rPr>
          <w:rFonts w:ascii="Century Gothic" w:hAnsi="Century Gothic" w:cs="Arial"/>
          <w:sz w:val="24"/>
          <w:szCs w:val="24"/>
          <w:lang w:val="es-ES"/>
        </w:rPr>
        <w:t xml:space="preserve"> antes referida.</w:t>
      </w:r>
    </w:p>
    <w:p w14:paraId="57335441" w14:textId="77777777" w:rsidR="00097F1E" w:rsidRPr="00DF714D" w:rsidRDefault="00097F1E" w:rsidP="00E963EE">
      <w:pPr>
        <w:spacing w:after="0" w:line="360" w:lineRule="auto"/>
        <w:ind w:right="-518"/>
        <w:jc w:val="both"/>
        <w:rPr>
          <w:rFonts w:ascii="Century Gothic" w:hAnsi="Century Gothic" w:cs="Arial"/>
          <w:sz w:val="24"/>
          <w:szCs w:val="24"/>
          <w:lang w:val="es-ES"/>
        </w:rPr>
      </w:pPr>
    </w:p>
    <w:p w14:paraId="7AE08A3B" w14:textId="4F4C35F2" w:rsidR="00351929" w:rsidRPr="00DF714D" w:rsidRDefault="00A90CEC"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En tal sentido, fue hasta</w:t>
      </w:r>
      <w:r w:rsidR="000E480F" w:rsidRPr="00DF714D">
        <w:rPr>
          <w:rFonts w:ascii="Century Gothic" w:hAnsi="Century Gothic" w:cs="Arial"/>
          <w:sz w:val="24"/>
          <w:szCs w:val="24"/>
          <w:lang w:val="es-ES"/>
        </w:rPr>
        <w:t xml:space="preserve"> el 23 de mayo de </w:t>
      </w:r>
      <w:r w:rsidR="002B6012" w:rsidRPr="00DF714D">
        <w:rPr>
          <w:rFonts w:ascii="Century Gothic" w:hAnsi="Century Gothic" w:cs="Arial"/>
          <w:sz w:val="24"/>
          <w:szCs w:val="24"/>
          <w:lang w:val="es-ES"/>
        </w:rPr>
        <w:t xml:space="preserve">esta anualidad </w:t>
      </w:r>
      <w:r w:rsidR="00CE3127" w:rsidRPr="00DF714D">
        <w:rPr>
          <w:rFonts w:ascii="Century Gothic" w:hAnsi="Century Gothic" w:cs="Arial"/>
          <w:sz w:val="24"/>
          <w:szCs w:val="24"/>
          <w:lang w:val="es-ES"/>
        </w:rPr>
        <w:t>que</w:t>
      </w:r>
      <w:r w:rsidR="000E480F" w:rsidRPr="00DF714D">
        <w:rPr>
          <w:rFonts w:ascii="Century Gothic" w:hAnsi="Century Gothic" w:cs="Arial"/>
          <w:sz w:val="24"/>
          <w:szCs w:val="24"/>
          <w:lang w:val="es-ES"/>
        </w:rPr>
        <w:t xml:space="preserve">, mediante el </w:t>
      </w:r>
      <w:r w:rsidR="00CE3127" w:rsidRPr="00DF714D">
        <w:rPr>
          <w:rFonts w:ascii="Century Gothic" w:hAnsi="Century Gothic" w:cs="Arial"/>
          <w:sz w:val="24"/>
          <w:szCs w:val="24"/>
          <w:lang w:val="es-ES"/>
        </w:rPr>
        <w:t>S</w:t>
      </w:r>
      <w:r w:rsidR="000E480F" w:rsidRPr="00DF714D">
        <w:rPr>
          <w:rFonts w:ascii="Century Gothic" w:hAnsi="Century Gothic" w:cs="Arial"/>
          <w:sz w:val="24"/>
          <w:szCs w:val="24"/>
          <w:lang w:val="es-ES"/>
        </w:rPr>
        <w:t xml:space="preserve">istema de </w:t>
      </w:r>
      <w:r w:rsidR="00CE3127" w:rsidRPr="00DF714D">
        <w:rPr>
          <w:rFonts w:ascii="Century Gothic" w:hAnsi="Century Gothic" w:cs="Arial"/>
          <w:sz w:val="24"/>
          <w:szCs w:val="24"/>
          <w:lang w:val="es-ES"/>
        </w:rPr>
        <w:t>S</w:t>
      </w:r>
      <w:r w:rsidR="000E480F" w:rsidRPr="00DF714D">
        <w:rPr>
          <w:rFonts w:ascii="Century Gothic" w:hAnsi="Century Gothic" w:cs="Arial"/>
          <w:sz w:val="24"/>
          <w:szCs w:val="24"/>
          <w:lang w:val="es-ES"/>
        </w:rPr>
        <w:t>esiones</w:t>
      </w:r>
      <w:r w:rsidR="00CE3127" w:rsidRPr="00DF714D">
        <w:rPr>
          <w:rFonts w:ascii="Century Gothic" w:hAnsi="Century Gothic" w:cs="Arial"/>
          <w:sz w:val="24"/>
          <w:szCs w:val="24"/>
          <w:lang w:val="es-ES"/>
        </w:rPr>
        <w:t xml:space="preserve"> de Consejo General</w:t>
      </w:r>
      <w:r w:rsidR="00226FC2" w:rsidRPr="00DF714D">
        <w:rPr>
          <w:rFonts w:ascii="Century Gothic" w:hAnsi="Century Gothic" w:cs="Arial"/>
          <w:sz w:val="24"/>
          <w:szCs w:val="24"/>
          <w:lang w:val="es-ES"/>
        </w:rPr>
        <w:t>,</w:t>
      </w:r>
      <w:r w:rsidR="000E480F" w:rsidRPr="00DF714D">
        <w:rPr>
          <w:rFonts w:ascii="Century Gothic" w:hAnsi="Century Gothic" w:cs="Arial"/>
          <w:sz w:val="24"/>
          <w:szCs w:val="24"/>
          <w:lang w:val="es-ES"/>
        </w:rPr>
        <w:t xml:space="preserve"> </w:t>
      </w:r>
      <w:r w:rsidR="00A63424" w:rsidRPr="00DF714D">
        <w:rPr>
          <w:rFonts w:ascii="Century Gothic" w:hAnsi="Century Gothic" w:cs="Arial"/>
          <w:sz w:val="24"/>
          <w:szCs w:val="24"/>
          <w:lang w:val="es-ES"/>
        </w:rPr>
        <w:t>junto con la convocatoria a la sesión ordinaria del 24 de</w:t>
      </w:r>
      <w:r w:rsidR="008A5583" w:rsidRPr="00DF714D">
        <w:rPr>
          <w:rFonts w:ascii="Century Gothic" w:hAnsi="Century Gothic" w:cs="Arial"/>
          <w:sz w:val="24"/>
          <w:szCs w:val="24"/>
          <w:lang w:val="es-ES"/>
        </w:rPr>
        <w:t xml:space="preserve">l mismo mes y año, </w:t>
      </w:r>
      <w:r w:rsidR="004A5960" w:rsidRPr="00DF714D">
        <w:rPr>
          <w:rFonts w:ascii="Century Gothic" w:hAnsi="Century Gothic" w:cs="Arial"/>
          <w:sz w:val="24"/>
          <w:szCs w:val="24"/>
          <w:lang w:val="es-ES"/>
        </w:rPr>
        <w:t xml:space="preserve">se hizo de nuestro conocimiento el </w:t>
      </w:r>
      <w:r w:rsidR="001A4768" w:rsidRPr="00DF714D">
        <w:rPr>
          <w:rFonts w:ascii="Century Gothic" w:hAnsi="Century Gothic" w:cs="Arial"/>
          <w:sz w:val="24"/>
          <w:szCs w:val="24"/>
          <w:lang w:val="es-ES"/>
        </w:rPr>
        <w:t xml:space="preserve">Informe de la Secretaría Ejecutiva </w:t>
      </w:r>
      <w:r w:rsidR="00104079" w:rsidRPr="00DF714D">
        <w:rPr>
          <w:rFonts w:ascii="Century Gothic" w:hAnsi="Century Gothic" w:cs="Arial"/>
          <w:sz w:val="24"/>
          <w:szCs w:val="24"/>
          <w:lang w:val="es-ES"/>
        </w:rPr>
        <w:t>como un anexo</w:t>
      </w:r>
      <w:r w:rsidR="00A65A16" w:rsidRPr="00DF714D">
        <w:rPr>
          <w:rFonts w:ascii="Century Gothic" w:hAnsi="Century Gothic" w:cs="Arial"/>
          <w:sz w:val="24"/>
          <w:szCs w:val="24"/>
          <w:lang w:val="es-ES"/>
        </w:rPr>
        <w:t xml:space="preserve"> del proyecto de acuerdo </w:t>
      </w:r>
      <w:r w:rsidR="0072197A" w:rsidRPr="00DF714D">
        <w:rPr>
          <w:rFonts w:ascii="Century Gothic" w:hAnsi="Century Gothic" w:cs="Arial"/>
          <w:sz w:val="24"/>
          <w:szCs w:val="24"/>
          <w:lang w:val="es-ES"/>
        </w:rPr>
        <w:t>que nos ocupa</w:t>
      </w:r>
      <w:r w:rsidR="00A44235" w:rsidRPr="00DF714D">
        <w:rPr>
          <w:rFonts w:ascii="Century Gothic" w:hAnsi="Century Gothic" w:cs="Arial"/>
          <w:sz w:val="24"/>
          <w:szCs w:val="24"/>
          <w:lang w:val="es-ES"/>
        </w:rPr>
        <w:t>, sin embargo</w:t>
      </w:r>
      <w:r w:rsidR="0072197A" w:rsidRPr="00DF714D">
        <w:rPr>
          <w:rFonts w:ascii="Century Gothic" w:hAnsi="Century Gothic" w:cs="Arial"/>
          <w:sz w:val="24"/>
          <w:szCs w:val="24"/>
          <w:lang w:val="es-ES"/>
        </w:rPr>
        <w:t xml:space="preserve">, </w:t>
      </w:r>
      <w:r w:rsidR="00E40ACB" w:rsidRPr="00DF714D">
        <w:rPr>
          <w:rFonts w:ascii="Century Gothic" w:hAnsi="Century Gothic" w:cs="Arial"/>
          <w:sz w:val="24"/>
          <w:szCs w:val="24"/>
          <w:lang w:val="es-ES"/>
        </w:rPr>
        <w:t>a dicho informe</w:t>
      </w:r>
      <w:r w:rsidR="00A44235" w:rsidRPr="00DF714D">
        <w:rPr>
          <w:rFonts w:ascii="Century Gothic" w:hAnsi="Century Gothic" w:cs="Arial"/>
          <w:sz w:val="24"/>
          <w:szCs w:val="24"/>
          <w:lang w:val="es-ES"/>
        </w:rPr>
        <w:t xml:space="preserve"> no se </w:t>
      </w:r>
      <w:r w:rsidR="003735A6" w:rsidRPr="00DF714D">
        <w:rPr>
          <w:rFonts w:ascii="Century Gothic" w:hAnsi="Century Gothic" w:cs="Arial"/>
          <w:sz w:val="24"/>
          <w:szCs w:val="24"/>
          <w:lang w:val="es-ES"/>
        </w:rPr>
        <w:t>acompañó</w:t>
      </w:r>
      <w:r w:rsidR="00A44235" w:rsidRPr="00DF714D">
        <w:rPr>
          <w:rFonts w:ascii="Century Gothic" w:hAnsi="Century Gothic" w:cs="Arial"/>
          <w:sz w:val="24"/>
          <w:szCs w:val="24"/>
          <w:lang w:val="es-ES"/>
        </w:rPr>
        <w:t xml:space="preserve"> </w:t>
      </w:r>
      <w:r w:rsidR="00B7773F" w:rsidRPr="00DF714D">
        <w:rPr>
          <w:rFonts w:ascii="Century Gothic" w:hAnsi="Century Gothic" w:cs="Arial"/>
          <w:sz w:val="24"/>
          <w:szCs w:val="24"/>
          <w:lang w:val="es-ES"/>
        </w:rPr>
        <w:t xml:space="preserve">la documentación </w:t>
      </w:r>
      <w:r w:rsidR="00CD3EF9" w:rsidRPr="00DF714D">
        <w:rPr>
          <w:rFonts w:ascii="Century Gothic" w:hAnsi="Century Gothic" w:cs="Arial"/>
          <w:sz w:val="24"/>
          <w:szCs w:val="24"/>
          <w:lang w:val="es-ES"/>
        </w:rPr>
        <w:t xml:space="preserve">relativa a </w:t>
      </w:r>
      <w:r w:rsidR="003735A6" w:rsidRPr="00DF714D">
        <w:rPr>
          <w:rFonts w:ascii="Century Gothic" w:hAnsi="Century Gothic" w:cs="Arial"/>
          <w:sz w:val="24"/>
          <w:szCs w:val="24"/>
          <w:lang w:val="es-ES"/>
        </w:rPr>
        <w:t>los datos</w:t>
      </w:r>
      <w:r w:rsidR="00CD3EF9" w:rsidRPr="00DF714D">
        <w:rPr>
          <w:rFonts w:ascii="Century Gothic" w:hAnsi="Century Gothic" w:cs="Arial"/>
          <w:sz w:val="24"/>
          <w:szCs w:val="24"/>
          <w:lang w:val="es-ES"/>
        </w:rPr>
        <w:t xml:space="preserve"> </w:t>
      </w:r>
      <w:r w:rsidR="004647C1" w:rsidRPr="00DF714D">
        <w:rPr>
          <w:rFonts w:ascii="Century Gothic" w:hAnsi="Century Gothic" w:cs="Arial"/>
          <w:sz w:val="24"/>
          <w:szCs w:val="24"/>
          <w:lang w:val="es-ES"/>
        </w:rPr>
        <w:t>estadístic</w:t>
      </w:r>
      <w:r w:rsidR="003735A6" w:rsidRPr="00DF714D">
        <w:rPr>
          <w:rFonts w:ascii="Century Gothic" w:hAnsi="Century Gothic" w:cs="Arial"/>
          <w:sz w:val="24"/>
          <w:szCs w:val="24"/>
          <w:lang w:val="es-ES"/>
        </w:rPr>
        <w:t xml:space="preserve">os </w:t>
      </w:r>
      <w:r w:rsidR="002C094F" w:rsidRPr="00DF714D">
        <w:rPr>
          <w:rFonts w:ascii="Century Gothic" w:hAnsi="Century Gothic" w:cs="Arial"/>
          <w:sz w:val="24"/>
          <w:szCs w:val="24"/>
          <w:lang w:val="es-ES"/>
        </w:rPr>
        <w:t>otorgad</w:t>
      </w:r>
      <w:r w:rsidR="00716183" w:rsidRPr="00DF714D">
        <w:rPr>
          <w:rFonts w:ascii="Century Gothic" w:hAnsi="Century Gothic" w:cs="Arial"/>
          <w:sz w:val="24"/>
          <w:szCs w:val="24"/>
          <w:lang w:val="es-ES"/>
        </w:rPr>
        <w:t>os</w:t>
      </w:r>
      <w:r w:rsidR="002C094F" w:rsidRPr="00DF714D">
        <w:rPr>
          <w:rFonts w:ascii="Century Gothic" w:hAnsi="Century Gothic" w:cs="Arial"/>
          <w:sz w:val="24"/>
          <w:szCs w:val="24"/>
          <w:lang w:val="es-ES"/>
        </w:rPr>
        <w:t xml:space="preserve"> por diversas instituciones </w:t>
      </w:r>
      <w:r w:rsidR="004647C1" w:rsidRPr="00DF714D">
        <w:rPr>
          <w:rFonts w:ascii="Century Gothic" w:hAnsi="Century Gothic" w:cs="Arial"/>
          <w:sz w:val="24"/>
          <w:szCs w:val="24"/>
          <w:lang w:val="es-ES"/>
        </w:rPr>
        <w:t>públicas</w:t>
      </w:r>
      <w:r w:rsidR="0053274D" w:rsidRPr="00DF714D">
        <w:rPr>
          <w:rFonts w:ascii="Century Gothic" w:hAnsi="Century Gothic" w:cs="Arial"/>
          <w:sz w:val="24"/>
          <w:szCs w:val="24"/>
          <w:lang w:val="es-ES"/>
        </w:rPr>
        <w:t xml:space="preserve"> que sustentan las conclusiones del </w:t>
      </w:r>
      <w:r w:rsidR="00F921D5" w:rsidRPr="00DF714D">
        <w:rPr>
          <w:rFonts w:ascii="Century Gothic" w:hAnsi="Century Gothic" w:cs="Arial"/>
          <w:sz w:val="24"/>
          <w:szCs w:val="24"/>
          <w:lang w:val="es-ES"/>
        </w:rPr>
        <w:t>multicitado informe y, consecuentemente, del acuerdo</w:t>
      </w:r>
      <w:r w:rsidR="00F772FC" w:rsidRPr="00DF714D">
        <w:rPr>
          <w:rFonts w:ascii="Century Gothic" w:hAnsi="Century Gothic" w:cs="Arial"/>
          <w:sz w:val="24"/>
          <w:szCs w:val="24"/>
          <w:lang w:val="es-ES"/>
        </w:rPr>
        <w:t>, a</w:t>
      </w:r>
      <w:r w:rsidR="0017166A" w:rsidRPr="00DF714D">
        <w:rPr>
          <w:rFonts w:ascii="Century Gothic" w:hAnsi="Century Gothic" w:cs="Arial"/>
          <w:sz w:val="24"/>
          <w:szCs w:val="24"/>
          <w:lang w:val="es-ES"/>
        </w:rPr>
        <w:t xml:space="preserve">un así </w:t>
      </w:r>
      <w:r w:rsidR="00C7625B" w:rsidRPr="00DF714D">
        <w:rPr>
          <w:rFonts w:ascii="Century Gothic" w:hAnsi="Century Gothic" w:cs="Arial"/>
          <w:sz w:val="24"/>
          <w:szCs w:val="24"/>
          <w:lang w:val="es-ES"/>
        </w:rPr>
        <w:t>fue</w:t>
      </w:r>
      <w:r w:rsidR="000E480F" w:rsidRPr="00DF714D">
        <w:rPr>
          <w:rFonts w:ascii="Century Gothic" w:hAnsi="Century Gothic" w:cs="Arial"/>
          <w:sz w:val="24"/>
          <w:szCs w:val="24"/>
          <w:lang w:val="es-ES"/>
        </w:rPr>
        <w:t xml:space="preserve"> sometido </w:t>
      </w:r>
      <w:r w:rsidR="00706119" w:rsidRPr="00DF714D">
        <w:rPr>
          <w:rFonts w:ascii="Century Gothic" w:hAnsi="Century Gothic" w:cs="Arial"/>
          <w:sz w:val="24"/>
          <w:szCs w:val="24"/>
          <w:lang w:val="es-ES"/>
        </w:rPr>
        <w:t>a consideración del</w:t>
      </w:r>
      <w:r w:rsidR="000E480F" w:rsidRPr="00DF714D">
        <w:rPr>
          <w:rFonts w:ascii="Century Gothic" w:hAnsi="Century Gothic" w:cs="Arial"/>
          <w:sz w:val="24"/>
          <w:szCs w:val="24"/>
          <w:lang w:val="es-ES"/>
        </w:rPr>
        <w:t xml:space="preserve"> Consejo Genera</w:t>
      </w:r>
      <w:r w:rsidR="007E045E" w:rsidRPr="00DF714D">
        <w:rPr>
          <w:rFonts w:ascii="Century Gothic" w:hAnsi="Century Gothic" w:cs="Arial"/>
          <w:sz w:val="24"/>
          <w:szCs w:val="24"/>
          <w:lang w:val="es-ES"/>
        </w:rPr>
        <w:t>l</w:t>
      </w:r>
      <w:r w:rsidR="000E480F" w:rsidRPr="00DF714D">
        <w:rPr>
          <w:rFonts w:ascii="Century Gothic" w:hAnsi="Century Gothic" w:cs="Arial"/>
          <w:sz w:val="24"/>
          <w:szCs w:val="24"/>
          <w:lang w:val="es-ES"/>
        </w:rPr>
        <w:t xml:space="preserve"> en </w:t>
      </w:r>
      <w:r w:rsidR="001C67B8" w:rsidRPr="00DF714D">
        <w:rPr>
          <w:rFonts w:ascii="Century Gothic" w:hAnsi="Century Gothic" w:cs="Arial"/>
          <w:sz w:val="24"/>
          <w:szCs w:val="24"/>
          <w:lang w:val="es-ES"/>
        </w:rPr>
        <w:t>la s</w:t>
      </w:r>
      <w:r w:rsidR="000E480F" w:rsidRPr="00DF714D">
        <w:rPr>
          <w:rFonts w:ascii="Century Gothic" w:hAnsi="Century Gothic" w:cs="Arial"/>
          <w:sz w:val="24"/>
          <w:szCs w:val="24"/>
          <w:lang w:val="es-ES"/>
        </w:rPr>
        <w:t xml:space="preserve">esión </w:t>
      </w:r>
      <w:r w:rsidR="001C67B8" w:rsidRPr="00DF714D">
        <w:rPr>
          <w:rFonts w:ascii="Century Gothic" w:hAnsi="Century Gothic" w:cs="Arial"/>
          <w:sz w:val="24"/>
          <w:szCs w:val="24"/>
          <w:lang w:val="es-ES"/>
        </w:rPr>
        <w:t>d</w:t>
      </w:r>
      <w:r w:rsidR="000E480F" w:rsidRPr="00DF714D">
        <w:rPr>
          <w:rFonts w:ascii="Century Gothic" w:hAnsi="Century Gothic" w:cs="Arial"/>
          <w:sz w:val="24"/>
          <w:szCs w:val="24"/>
          <w:lang w:val="es-ES"/>
        </w:rPr>
        <w:t>el 24 de mayo</w:t>
      </w:r>
      <w:r w:rsidR="000055FE" w:rsidRPr="00DF714D">
        <w:rPr>
          <w:rFonts w:ascii="Century Gothic" w:hAnsi="Century Gothic" w:cs="Arial"/>
          <w:sz w:val="24"/>
          <w:szCs w:val="24"/>
          <w:lang w:val="es-ES"/>
        </w:rPr>
        <w:t xml:space="preserve">. </w:t>
      </w:r>
      <w:r w:rsidR="00EB2F9A" w:rsidRPr="00DF714D">
        <w:rPr>
          <w:rFonts w:ascii="Century Gothic" w:hAnsi="Century Gothic" w:cs="Arial"/>
          <w:sz w:val="24"/>
          <w:szCs w:val="24"/>
          <w:lang w:val="es-ES"/>
        </w:rPr>
        <w:t xml:space="preserve">Este hecho, hace </w:t>
      </w:r>
      <w:r w:rsidR="00D76447" w:rsidRPr="00DF714D">
        <w:rPr>
          <w:rFonts w:ascii="Century Gothic" w:hAnsi="Century Gothic" w:cs="Arial"/>
          <w:sz w:val="24"/>
          <w:szCs w:val="24"/>
          <w:lang w:val="es-ES"/>
        </w:rPr>
        <w:t>indiscutible</w:t>
      </w:r>
      <w:r w:rsidR="00EB2F9A" w:rsidRPr="00DF714D">
        <w:rPr>
          <w:rFonts w:ascii="Century Gothic" w:hAnsi="Century Gothic" w:cs="Arial"/>
          <w:sz w:val="24"/>
          <w:szCs w:val="24"/>
          <w:lang w:val="es-ES"/>
        </w:rPr>
        <w:t xml:space="preserve"> que, </w:t>
      </w:r>
      <w:r w:rsidR="00444809" w:rsidRPr="00DF714D">
        <w:rPr>
          <w:rFonts w:ascii="Century Gothic" w:hAnsi="Century Gothic" w:cs="Arial"/>
          <w:sz w:val="24"/>
          <w:szCs w:val="24"/>
          <w:lang w:val="es-ES"/>
        </w:rPr>
        <w:t>e</w:t>
      </w:r>
      <w:r w:rsidR="00EB2F9A" w:rsidRPr="00DF714D">
        <w:rPr>
          <w:rFonts w:ascii="Century Gothic" w:hAnsi="Century Gothic" w:cs="Arial"/>
          <w:sz w:val="24"/>
          <w:szCs w:val="24"/>
          <w:lang w:val="es-ES"/>
        </w:rPr>
        <w:t xml:space="preserve">l Consejo </w:t>
      </w:r>
      <w:r w:rsidR="00D76447" w:rsidRPr="00DF714D">
        <w:rPr>
          <w:rFonts w:ascii="Century Gothic" w:hAnsi="Century Gothic" w:cs="Arial"/>
          <w:sz w:val="24"/>
          <w:szCs w:val="24"/>
          <w:lang w:val="es-ES"/>
        </w:rPr>
        <w:t>General tuvo</w:t>
      </w:r>
      <w:r w:rsidR="0062667E" w:rsidRPr="00DF714D">
        <w:rPr>
          <w:rFonts w:ascii="Century Gothic" w:hAnsi="Century Gothic" w:cs="Arial"/>
          <w:sz w:val="24"/>
          <w:szCs w:val="24"/>
          <w:lang w:val="es-ES"/>
        </w:rPr>
        <w:t xml:space="preserve"> conocimient</w:t>
      </w:r>
      <w:r w:rsidR="00E5774C" w:rsidRPr="00DF714D">
        <w:rPr>
          <w:rFonts w:ascii="Century Gothic" w:hAnsi="Century Gothic" w:cs="Arial"/>
          <w:sz w:val="24"/>
          <w:szCs w:val="24"/>
          <w:lang w:val="es-ES"/>
        </w:rPr>
        <w:t>o “</w:t>
      </w:r>
      <w:r w:rsidR="0062667E" w:rsidRPr="00DF714D">
        <w:rPr>
          <w:rFonts w:ascii="Century Gothic" w:hAnsi="Century Gothic" w:cs="Arial"/>
          <w:sz w:val="24"/>
          <w:szCs w:val="24"/>
          <w:lang w:val="es-ES"/>
        </w:rPr>
        <w:t>parcial</w:t>
      </w:r>
      <w:r w:rsidR="00E5774C" w:rsidRPr="00DF714D">
        <w:rPr>
          <w:rFonts w:ascii="Century Gothic" w:hAnsi="Century Gothic" w:cs="Arial"/>
          <w:sz w:val="24"/>
          <w:szCs w:val="24"/>
          <w:lang w:val="es-ES"/>
        </w:rPr>
        <w:t>”</w:t>
      </w:r>
      <w:r w:rsidR="0062667E" w:rsidRPr="00DF714D">
        <w:rPr>
          <w:rFonts w:ascii="Century Gothic" w:hAnsi="Century Gothic" w:cs="Arial"/>
          <w:sz w:val="24"/>
          <w:szCs w:val="24"/>
          <w:lang w:val="es-ES"/>
        </w:rPr>
        <w:t xml:space="preserve"> del informe</w:t>
      </w:r>
      <w:r w:rsidR="00647BCF" w:rsidRPr="00DF714D">
        <w:rPr>
          <w:rFonts w:ascii="Century Gothic" w:hAnsi="Century Gothic" w:cs="Arial"/>
          <w:sz w:val="24"/>
          <w:szCs w:val="24"/>
          <w:lang w:val="es-ES"/>
        </w:rPr>
        <w:t xml:space="preserve"> en cuestión ocho</w:t>
      </w:r>
      <w:r w:rsidR="000E480F" w:rsidRPr="00DF714D">
        <w:rPr>
          <w:rFonts w:ascii="Century Gothic" w:hAnsi="Century Gothic" w:cs="Arial"/>
          <w:sz w:val="24"/>
          <w:szCs w:val="24"/>
          <w:lang w:val="es-ES"/>
        </w:rPr>
        <w:t xml:space="preserve"> días después de fenecido el plazo </w:t>
      </w:r>
      <w:r w:rsidR="00CC560B" w:rsidRPr="00DF714D">
        <w:rPr>
          <w:rFonts w:ascii="Century Gothic" w:hAnsi="Century Gothic" w:cs="Arial"/>
          <w:sz w:val="24"/>
          <w:szCs w:val="24"/>
          <w:lang w:val="es-ES"/>
        </w:rPr>
        <w:t>ordenado a</w:t>
      </w:r>
      <w:r w:rsidR="000E480F" w:rsidRPr="00DF714D">
        <w:rPr>
          <w:rFonts w:ascii="Century Gothic" w:hAnsi="Century Gothic" w:cs="Arial"/>
          <w:sz w:val="24"/>
          <w:szCs w:val="24"/>
          <w:lang w:val="es-ES"/>
        </w:rPr>
        <w:t xml:space="preserve"> </w:t>
      </w:r>
      <w:r w:rsidR="00647BCF" w:rsidRPr="00DF714D">
        <w:rPr>
          <w:rFonts w:ascii="Century Gothic" w:hAnsi="Century Gothic" w:cs="Arial"/>
          <w:sz w:val="24"/>
          <w:szCs w:val="24"/>
          <w:lang w:val="es-ES"/>
        </w:rPr>
        <w:t>la</w:t>
      </w:r>
      <w:r w:rsidR="000E480F" w:rsidRPr="00DF714D">
        <w:rPr>
          <w:rFonts w:ascii="Century Gothic" w:hAnsi="Century Gothic" w:cs="Arial"/>
          <w:sz w:val="24"/>
          <w:szCs w:val="24"/>
          <w:lang w:val="es-ES"/>
        </w:rPr>
        <w:t xml:space="preserve"> Secretar</w:t>
      </w:r>
      <w:r w:rsidR="00647BCF" w:rsidRPr="00DF714D">
        <w:rPr>
          <w:rFonts w:ascii="Century Gothic" w:hAnsi="Century Gothic" w:cs="Arial"/>
          <w:sz w:val="24"/>
          <w:szCs w:val="24"/>
          <w:lang w:val="es-ES"/>
        </w:rPr>
        <w:t>ía</w:t>
      </w:r>
      <w:r w:rsidR="000E480F" w:rsidRPr="00DF714D">
        <w:rPr>
          <w:rFonts w:ascii="Century Gothic" w:hAnsi="Century Gothic" w:cs="Arial"/>
          <w:sz w:val="24"/>
          <w:szCs w:val="24"/>
          <w:lang w:val="es-ES"/>
        </w:rPr>
        <w:t xml:space="preserve"> Ejecutiv</w:t>
      </w:r>
      <w:r w:rsidR="00647BCF" w:rsidRPr="00DF714D">
        <w:rPr>
          <w:rFonts w:ascii="Century Gothic" w:hAnsi="Century Gothic" w:cs="Arial"/>
          <w:sz w:val="24"/>
          <w:szCs w:val="24"/>
          <w:lang w:val="es-ES"/>
        </w:rPr>
        <w:t>a</w:t>
      </w:r>
      <w:r w:rsidR="00CC560B" w:rsidRPr="00DF714D">
        <w:rPr>
          <w:rFonts w:ascii="Century Gothic" w:hAnsi="Century Gothic" w:cs="Arial"/>
          <w:sz w:val="24"/>
          <w:szCs w:val="24"/>
          <w:lang w:val="es-ES"/>
        </w:rPr>
        <w:t xml:space="preserve"> para que lo remitiera a dicho órgano de dirección</w:t>
      </w:r>
      <w:r w:rsidR="00D76447" w:rsidRPr="00DF714D">
        <w:rPr>
          <w:rFonts w:ascii="Century Gothic" w:hAnsi="Century Gothic" w:cs="Arial"/>
          <w:sz w:val="24"/>
          <w:szCs w:val="24"/>
          <w:lang w:val="es-ES"/>
        </w:rPr>
        <w:t xml:space="preserve">. </w:t>
      </w:r>
    </w:p>
    <w:p w14:paraId="667D3057" w14:textId="77777777" w:rsidR="00351929" w:rsidRPr="00DF714D" w:rsidRDefault="00351929" w:rsidP="00E963EE">
      <w:pPr>
        <w:spacing w:after="0" w:line="360" w:lineRule="auto"/>
        <w:ind w:right="-518"/>
        <w:jc w:val="both"/>
        <w:rPr>
          <w:rFonts w:ascii="Century Gothic" w:hAnsi="Century Gothic" w:cs="Arial"/>
          <w:sz w:val="24"/>
          <w:szCs w:val="24"/>
          <w:lang w:val="es-ES"/>
        </w:rPr>
      </w:pPr>
    </w:p>
    <w:p w14:paraId="5B375A2A" w14:textId="1323FBBD" w:rsidR="00EA68FE" w:rsidRPr="00DF714D" w:rsidRDefault="00D76447"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A</w:t>
      </w:r>
      <w:r w:rsidR="000E480F" w:rsidRPr="00DF714D">
        <w:rPr>
          <w:rFonts w:ascii="Century Gothic" w:hAnsi="Century Gothic" w:cs="Arial"/>
          <w:sz w:val="24"/>
          <w:szCs w:val="24"/>
          <w:lang w:val="es-ES"/>
        </w:rPr>
        <w:t xml:space="preserve">demás de resultar evidente la extemporaneidad en la presentación del informe, </w:t>
      </w:r>
      <w:r w:rsidR="004C1936" w:rsidRPr="00DF714D">
        <w:rPr>
          <w:rFonts w:ascii="Century Gothic" w:hAnsi="Century Gothic" w:cs="Arial"/>
          <w:sz w:val="24"/>
          <w:szCs w:val="24"/>
          <w:lang w:val="es-ES"/>
        </w:rPr>
        <w:t>con este acto</w:t>
      </w:r>
      <w:r w:rsidR="00BD7CA4" w:rsidRPr="00DF714D">
        <w:rPr>
          <w:rFonts w:ascii="Century Gothic" w:hAnsi="Century Gothic" w:cs="Arial"/>
          <w:sz w:val="24"/>
          <w:szCs w:val="24"/>
          <w:lang w:val="es-ES"/>
        </w:rPr>
        <w:t xml:space="preserve">, </w:t>
      </w:r>
      <w:r w:rsidR="00343DC9" w:rsidRPr="00DF714D">
        <w:rPr>
          <w:rFonts w:ascii="Century Gothic" w:hAnsi="Century Gothic" w:cs="Arial"/>
          <w:sz w:val="24"/>
          <w:szCs w:val="24"/>
          <w:lang w:val="es-ES"/>
        </w:rPr>
        <w:t>el Consejo General tuvo</w:t>
      </w:r>
      <w:r w:rsidR="006360EA" w:rsidRPr="00DF714D">
        <w:rPr>
          <w:rFonts w:ascii="Century Gothic" w:hAnsi="Century Gothic" w:cs="Arial"/>
          <w:sz w:val="24"/>
          <w:szCs w:val="24"/>
          <w:lang w:val="es-ES"/>
        </w:rPr>
        <w:t>, únicamente,</w:t>
      </w:r>
      <w:r w:rsidR="00343DC9" w:rsidRPr="00DF714D">
        <w:rPr>
          <w:rFonts w:ascii="Century Gothic" w:hAnsi="Century Gothic" w:cs="Arial"/>
          <w:sz w:val="24"/>
          <w:szCs w:val="24"/>
          <w:lang w:val="es-ES"/>
        </w:rPr>
        <w:t xml:space="preserve"> un</w:t>
      </w:r>
      <w:r w:rsidR="000E480F" w:rsidRPr="00DF714D">
        <w:rPr>
          <w:rFonts w:ascii="Century Gothic" w:hAnsi="Century Gothic" w:cs="Arial"/>
          <w:sz w:val="24"/>
          <w:szCs w:val="24"/>
          <w:lang w:val="es-ES"/>
        </w:rPr>
        <w:t xml:space="preserve"> plazo de </w:t>
      </w:r>
      <w:r w:rsidR="00343DC9" w:rsidRPr="00DF714D">
        <w:rPr>
          <w:rFonts w:ascii="Century Gothic" w:hAnsi="Century Gothic" w:cs="Arial"/>
          <w:sz w:val="24"/>
          <w:szCs w:val="24"/>
          <w:lang w:val="es-ES"/>
        </w:rPr>
        <w:t>veinticuatro</w:t>
      </w:r>
      <w:r w:rsidR="000E480F" w:rsidRPr="00DF714D">
        <w:rPr>
          <w:rFonts w:ascii="Century Gothic" w:hAnsi="Century Gothic" w:cs="Arial"/>
          <w:sz w:val="24"/>
          <w:szCs w:val="24"/>
          <w:lang w:val="es-ES"/>
        </w:rPr>
        <w:t xml:space="preserve"> horas para </w:t>
      </w:r>
      <w:r w:rsidR="004F02CD" w:rsidRPr="00DF714D">
        <w:rPr>
          <w:rFonts w:ascii="Century Gothic" w:hAnsi="Century Gothic" w:cs="Arial"/>
          <w:sz w:val="24"/>
          <w:szCs w:val="24"/>
          <w:lang w:val="es-ES"/>
        </w:rPr>
        <w:t xml:space="preserve">el análisis y </w:t>
      </w:r>
      <w:r w:rsidR="000E480F" w:rsidRPr="00DF714D">
        <w:rPr>
          <w:rFonts w:ascii="Century Gothic" w:hAnsi="Century Gothic" w:cs="Arial"/>
          <w:sz w:val="24"/>
          <w:szCs w:val="24"/>
          <w:lang w:val="es-ES"/>
        </w:rPr>
        <w:t xml:space="preserve">revisión </w:t>
      </w:r>
      <w:r w:rsidR="00C64F88" w:rsidRPr="00DF714D">
        <w:rPr>
          <w:rFonts w:ascii="Century Gothic" w:hAnsi="Century Gothic" w:cs="Arial"/>
          <w:sz w:val="24"/>
          <w:szCs w:val="24"/>
          <w:lang w:val="es-ES"/>
        </w:rPr>
        <w:t>del Informe</w:t>
      </w:r>
      <w:r w:rsidR="004F02CD" w:rsidRPr="00DF714D">
        <w:rPr>
          <w:rFonts w:ascii="Century Gothic" w:hAnsi="Century Gothic" w:cs="Arial"/>
          <w:sz w:val="24"/>
          <w:szCs w:val="24"/>
          <w:lang w:val="es-ES"/>
        </w:rPr>
        <w:t>, así como para la apro</w:t>
      </w:r>
      <w:r w:rsidR="00A91F10" w:rsidRPr="00DF714D">
        <w:rPr>
          <w:rFonts w:ascii="Century Gothic" w:hAnsi="Century Gothic" w:cs="Arial"/>
          <w:sz w:val="24"/>
          <w:szCs w:val="24"/>
          <w:lang w:val="es-ES"/>
        </w:rPr>
        <w:t>bación del</w:t>
      </w:r>
      <w:r w:rsidR="00C64F88" w:rsidRPr="00DF714D">
        <w:rPr>
          <w:rFonts w:ascii="Century Gothic" w:hAnsi="Century Gothic" w:cs="Arial"/>
          <w:sz w:val="24"/>
          <w:szCs w:val="24"/>
          <w:lang w:val="es-ES"/>
        </w:rPr>
        <w:t xml:space="preserve"> Acuerdo de </w:t>
      </w:r>
      <w:r w:rsidR="00D3104F" w:rsidRPr="00DF714D">
        <w:rPr>
          <w:rFonts w:ascii="Century Gothic" w:hAnsi="Century Gothic" w:cs="Arial"/>
          <w:sz w:val="24"/>
          <w:szCs w:val="24"/>
          <w:lang w:val="es-ES"/>
        </w:rPr>
        <w:t>in</w:t>
      </w:r>
      <w:r w:rsidR="00C64F88" w:rsidRPr="00DF714D">
        <w:rPr>
          <w:rFonts w:ascii="Century Gothic" w:hAnsi="Century Gothic" w:cs="Arial"/>
          <w:sz w:val="24"/>
          <w:szCs w:val="24"/>
          <w:lang w:val="es-ES"/>
        </w:rPr>
        <w:t>viabilidad</w:t>
      </w:r>
      <w:r w:rsidR="00D3104F" w:rsidRPr="00DF714D">
        <w:rPr>
          <w:rFonts w:ascii="Century Gothic" w:hAnsi="Century Gothic" w:cs="Arial"/>
          <w:sz w:val="24"/>
          <w:szCs w:val="24"/>
          <w:lang w:val="es-ES"/>
        </w:rPr>
        <w:t xml:space="preserve"> que devino de éste</w:t>
      </w:r>
      <w:r w:rsidR="00C64F88" w:rsidRPr="00DF714D">
        <w:rPr>
          <w:rFonts w:ascii="Century Gothic" w:hAnsi="Century Gothic" w:cs="Arial"/>
          <w:sz w:val="24"/>
          <w:szCs w:val="24"/>
          <w:lang w:val="es-ES"/>
        </w:rPr>
        <w:t>, cuando</w:t>
      </w:r>
      <w:r w:rsidR="008B0F4A" w:rsidRPr="00DF714D">
        <w:rPr>
          <w:rFonts w:ascii="Century Gothic" w:hAnsi="Century Gothic" w:cs="Arial"/>
          <w:sz w:val="24"/>
          <w:szCs w:val="24"/>
          <w:lang w:val="es-ES"/>
        </w:rPr>
        <w:t xml:space="preserve"> en</w:t>
      </w:r>
      <w:r w:rsidR="00C64F88" w:rsidRPr="00DF714D">
        <w:rPr>
          <w:rFonts w:ascii="Century Gothic" w:hAnsi="Century Gothic" w:cs="Arial"/>
          <w:sz w:val="24"/>
          <w:szCs w:val="24"/>
          <w:lang w:val="es-ES"/>
        </w:rPr>
        <w:t xml:space="preserve"> los efectos</w:t>
      </w:r>
      <w:r w:rsidR="00D3104F" w:rsidRPr="00DF714D">
        <w:rPr>
          <w:rFonts w:ascii="Century Gothic" w:hAnsi="Century Gothic" w:cs="Arial"/>
          <w:sz w:val="24"/>
          <w:szCs w:val="24"/>
          <w:lang w:val="es-ES"/>
        </w:rPr>
        <w:t xml:space="preserve"> de la resolución</w:t>
      </w:r>
      <w:r w:rsidR="008B0F4A" w:rsidRPr="00DF714D">
        <w:rPr>
          <w:rFonts w:ascii="Century Gothic" w:hAnsi="Century Gothic" w:cs="Arial"/>
          <w:sz w:val="24"/>
          <w:szCs w:val="24"/>
          <w:lang w:val="es-ES"/>
        </w:rPr>
        <w:t xml:space="preserve"> se</w:t>
      </w:r>
      <w:r w:rsidR="0002727A" w:rsidRPr="00DF714D">
        <w:rPr>
          <w:rFonts w:ascii="Century Gothic" w:hAnsi="Century Gothic" w:cs="Arial"/>
          <w:sz w:val="24"/>
          <w:szCs w:val="24"/>
          <w:lang w:val="es-ES"/>
        </w:rPr>
        <w:t xml:space="preserve"> estableci</w:t>
      </w:r>
      <w:r w:rsidR="008B0F4A" w:rsidRPr="00DF714D">
        <w:rPr>
          <w:rFonts w:ascii="Century Gothic" w:hAnsi="Century Gothic" w:cs="Arial"/>
          <w:sz w:val="24"/>
          <w:szCs w:val="24"/>
          <w:lang w:val="es-ES"/>
        </w:rPr>
        <w:t>ó un</w:t>
      </w:r>
      <w:r w:rsidR="007D4808" w:rsidRPr="00DF714D">
        <w:rPr>
          <w:rFonts w:ascii="Century Gothic" w:hAnsi="Century Gothic" w:cs="Arial"/>
          <w:sz w:val="24"/>
          <w:szCs w:val="24"/>
          <w:lang w:val="es-ES"/>
        </w:rPr>
        <w:t xml:space="preserve"> plazo de</w:t>
      </w:r>
      <w:r w:rsidR="00C64F88" w:rsidRPr="00DF714D">
        <w:rPr>
          <w:rFonts w:ascii="Century Gothic" w:hAnsi="Century Gothic" w:cs="Arial"/>
          <w:sz w:val="24"/>
          <w:szCs w:val="24"/>
          <w:lang w:val="es-ES"/>
        </w:rPr>
        <w:t xml:space="preserve"> 10 días</w:t>
      </w:r>
      <w:r w:rsidR="00681334" w:rsidRPr="00DF714D">
        <w:rPr>
          <w:rFonts w:ascii="Century Gothic" w:hAnsi="Century Gothic" w:cs="Arial"/>
          <w:sz w:val="24"/>
          <w:szCs w:val="24"/>
          <w:lang w:val="es-ES"/>
        </w:rPr>
        <w:t xml:space="preserve"> </w:t>
      </w:r>
      <w:r w:rsidR="00623B28" w:rsidRPr="00DF714D">
        <w:rPr>
          <w:rFonts w:ascii="Century Gothic" w:hAnsi="Century Gothic" w:cs="Arial"/>
          <w:sz w:val="24"/>
          <w:szCs w:val="24"/>
          <w:lang w:val="es-ES"/>
        </w:rPr>
        <w:t>a partir de la rec</w:t>
      </w:r>
      <w:r w:rsidR="006D1CC1" w:rsidRPr="00DF714D">
        <w:rPr>
          <w:rFonts w:ascii="Century Gothic" w:hAnsi="Century Gothic" w:cs="Arial"/>
          <w:sz w:val="24"/>
          <w:szCs w:val="24"/>
          <w:lang w:val="es-ES"/>
        </w:rPr>
        <w:t xml:space="preserve">epción del informe </w:t>
      </w:r>
      <w:r w:rsidR="00FE6BC2" w:rsidRPr="00DF714D">
        <w:rPr>
          <w:rFonts w:ascii="Century Gothic" w:hAnsi="Century Gothic" w:cs="Arial"/>
          <w:sz w:val="24"/>
          <w:szCs w:val="24"/>
          <w:lang w:val="es-ES"/>
        </w:rPr>
        <w:t xml:space="preserve">para que el Consejo General </w:t>
      </w:r>
      <w:r w:rsidR="00E25897" w:rsidRPr="00DF714D">
        <w:rPr>
          <w:rFonts w:ascii="Century Gothic" w:hAnsi="Century Gothic" w:cs="Arial"/>
          <w:sz w:val="24"/>
          <w:szCs w:val="24"/>
          <w:lang w:val="es-ES"/>
        </w:rPr>
        <w:t>acordara lo correspondiente</w:t>
      </w:r>
      <w:r w:rsidR="001D3070" w:rsidRPr="00DF714D">
        <w:rPr>
          <w:rFonts w:ascii="Century Gothic" w:hAnsi="Century Gothic" w:cs="Arial"/>
          <w:sz w:val="24"/>
          <w:szCs w:val="24"/>
          <w:lang w:val="es-ES"/>
        </w:rPr>
        <w:t xml:space="preserve">. </w:t>
      </w:r>
      <w:r w:rsidR="003955D4" w:rsidRPr="00DF714D">
        <w:rPr>
          <w:rFonts w:ascii="Century Gothic" w:hAnsi="Century Gothic" w:cs="Arial"/>
          <w:sz w:val="24"/>
          <w:szCs w:val="24"/>
          <w:lang w:val="es-ES"/>
        </w:rPr>
        <w:t>Dicho plazo</w:t>
      </w:r>
      <w:r w:rsidR="00927758" w:rsidRPr="00DF714D">
        <w:rPr>
          <w:rFonts w:ascii="Century Gothic" w:hAnsi="Century Gothic" w:cs="Arial"/>
          <w:sz w:val="24"/>
          <w:szCs w:val="24"/>
          <w:lang w:val="es-ES"/>
        </w:rPr>
        <w:t xml:space="preserve">, </w:t>
      </w:r>
      <w:r w:rsidR="00563037" w:rsidRPr="00DF714D">
        <w:rPr>
          <w:rFonts w:ascii="Century Gothic" w:hAnsi="Century Gothic" w:cs="Arial"/>
          <w:sz w:val="24"/>
          <w:szCs w:val="24"/>
          <w:lang w:val="es-ES"/>
        </w:rPr>
        <w:t xml:space="preserve">desde la percepción de las suscritas, </w:t>
      </w:r>
      <w:r w:rsidR="00F20B4A" w:rsidRPr="00DF714D">
        <w:rPr>
          <w:rFonts w:ascii="Century Gothic" w:hAnsi="Century Gothic" w:cs="Arial"/>
          <w:sz w:val="24"/>
          <w:szCs w:val="24"/>
          <w:lang w:val="es-ES"/>
        </w:rPr>
        <w:t>parte de la lógica que</w:t>
      </w:r>
      <w:r w:rsidR="00EF08CA" w:rsidRPr="00DF714D">
        <w:rPr>
          <w:rFonts w:ascii="Century Gothic" w:hAnsi="Century Gothic" w:cs="Arial"/>
          <w:sz w:val="24"/>
          <w:szCs w:val="24"/>
          <w:lang w:val="es-ES"/>
        </w:rPr>
        <w:t xml:space="preserve"> otorgar al Consejo General el tiempo suficiente para imponerse del contenido del informe, </w:t>
      </w:r>
      <w:r w:rsidR="000A2E93" w:rsidRPr="00DF714D">
        <w:rPr>
          <w:rFonts w:ascii="Century Gothic" w:hAnsi="Century Gothic" w:cs="Arial"/>
          <w:sz w:val="24"/>
          <w:szCs w:val="24"/>
          <w:lang w:val="es-ES"/>
        </w:rPr>
        <w:lastRenderedPageBreak/>
        <w:t xml:space="preserve">analizar </w:t>
      </w:r>
      <w:r w:rsidR="00D254D1" w:rsidRPr="00DF714D">
        <w:rPr>
          <w:rFonts w:ascii="Century Gothic" w:hAnsi="Century Gothic" w:cs="Arial"/>
          <w:sz w:val="24"/>
          <w:szCs w:val="24"/>
          <w:lang w:val="es-ES"/>
        </w:rPr>
        <w:t xml:space="preserve">los </w:t>
      </w:r>
      <w:r w:rsidR="00E44784" w:rsidRPr="00DF714D">
        <w:rPr>
          <w:rFonts w:ascii="Century Gothic" w:hAnsi="Century Gothic" w:cs="Arial"/>
          <w:sz w:val="24"/>
          <w:szCs w:val="24"/>
          <w:lang w:val="es-ES"/>
        </w:rPr>
        <w:t>datos y razonamientos</w:t>
      </w:r>
      <w:r w:rsidR="00D01D63" w:rsidRPr="00DF714D">
        <w:rPr>
          <w:rFonts w:ascii="Century Gothic" w:hAnsi="Century Gothic" w:cs="Arial"/>
          <w:sz w:val="24"/>
          <w:szCs w:val="24"/>
          <w:lang w:val="es-ES"/>
        </w:rPr>
        <w:t xml:space="preserve"> que </w:t>
      </w:r>
      <w:r w:rsidR="00385023" w:rsidRPr="00DF714D">
        <w:rPr>
          <w:rFonts w:ascii="Century Gothic" w:hAnsi="Century Gothic" w:cs="Arial"/>
          <w:sz w:val="24"/>
          <w:szCs w:val="24"/>
          <w:lang w:val="es-ES"/>
        </w:rPr>
        <w:t>sustentan la</w:t>
      </w:r>
      <w:r w:rsidR="00285437" w:rsidRPr="00DF714D">
        <w:rPr>
          <w:rFonts w:ascii="Century Gothic" w:hAnsi="Century Gothic" w:cs="Arial"/>
          <w:sz w:val="24"/>
          <w:szCs w:val="24"/>
          <w:lang w:val="es-ES"/>
        </w:rPr>
        <w:t>s</w:t>
      </w:r>
      <w:r w:rsidR="00385023" w:rsidRPr="00DF714D">
        <w:rPr>
          <w:rFonts w:ascii="Century Gothic" w:hAnsi="Century Gothic" w:cs="Arial"/>
          <w:sz w:val="24"/>
          <w:szCs w:val="24"/>
          <w:lang w:val="es-ES"/>
        </w:rPr>
        <w:t xml:space="preserve"> conclusiones a las que lleg</w:t>
      </w:r>
      <w:r w:rsidR="00285437" w:rsidRPr="00DF714D">
        <w:rPr>
          <w:rFonts w:ascii="Century Gothic" w:hAnsi="Century Gothic" w:cs="Arial"/>
          <w:sz w:val="24"/>
          <w:szCs w:val="24"/>
          <w:lang w:val="es-ES"/>
        </w:rPr>
        <w:t>a</w:t>
      </w:r>
      <w:r w:rsidR="00D516E3" w:rsidRPr="00DF714D">
        <w:rPr>
          <w:rFonts w:ascii="Century Gothic" w:hAnsi="Century Gothic" w:cs="Arial"/>
          <w:sz w:val="24"/>
          <w:szCs w:val="24"/>
          <w:lang w:val="es-ES"/>
        </w:rPr>
        <w:t xml:space="preserve">, </w:t>
      </w:r>
      <w:r w:rsidR="00721EE8" w:rsidRPr="00DF714D">
        <w:rPr>
          <w:rFonts w:ascii="Century Gothic" w:hAnsi="Century Gothic" w:cs="Arial"/>
          <w:sz w:val="24"/>
          <w:szCs w:val="24"/>
          <w:lang w:val="es-ES"/>
        </w:rPr>
        <w:t xml:space="preserve">condiciones </w:t>
      </w:r>
      <w:r w:rsidR="00FC5573" w:rsidRPr="00DF714D">
        <w:rPr>
          <w:rFonts w:ascii="Century Gothic" w:hAnsi="Century Gothic" w:cs="Arial"/>
          <w:sz w:val="24"/>
          <w:szCs w:val="24"/>
          <w:lang w:val="es-ES"/>
        </w:rPr>
        <w:t>indispensables para tomar una decisión razonada</w:t>
      </w:r>
      <w:r w:rsidR="000C43FE" w:rsidRPr="00DF714D">
        <w:rPr>
          <w:rFonts w:ascii="Century Gothic" w:hAnsi="Century Gothic" w:cs="Arial"/>
          <w:sz w:val="24"/>
          <w:szCs w:val="24"/>
          <w:lang w:val="es-ES"/>
        </w:rPr>
        <w:t>.</w:t>
      </w:r>
      <w:r w:rsidR="00516529" w:rsidRPr="00DF714D">
        <w:rPr>
          <w:rFonts w:ascii="Century Gothic" w:hAnsi="Century Gothic" w:cs="Arial"/>
          <w:sz w:val="24"/>
          <w:szCs w:val="24"/>
          <w:lang w:val="es-ES"/>
        </w:rPr>
        <w:t xml:space="preserve"> </w:t>
      </w:r>
      <w:r w:rsidR="00821F2B" w:rsidRPr="00DF714D">
        <w:rPr>
          <w:rFonts w:ascii="Century Gothic" w:hAnsi="Century Gothic" w:cs="Arial"/>
          <w:sz w:val="24"/>
          <w:szCs w:val="24"/>
          <w:lang w:val="es-ES"/>
        </w:rPr>
        <w:t xml:space="preserve">Situación que nos fue negada </w:t>
      </w:r>
      <w:r w:rsidR="008B0E86" w:rsidRPr="00DF714D">
        <w:rPr>
          <w:rFonts w:ascii="Century Gothic" w:hAnsi="Century Gothic" w:cs="Arial"/>
          <w:sz w:val="24"/>
          <w:szCs w:val="24"/>
          <w:lang w:val="es-ES"/>
        </w:rPr>
        <w:t xml:space="preserve">tanto por la </w:t>
      </w:r>
      <w:r w:rsidR="00BB22C3" w:rsidRPr="00DF714D">
        <w:rPr>
          <w:rFonts w:ascii="Century Gothic" w:hAnsi="Century Gothic" w:cs="Arial"/>
          <w:sz w:val="24"/>
          <w:szCs w:val="24"/>
          <w:lang w:val="es-ES"/>
        </w:rPr>
        <w:t xml:space="preserve">Presidencia como por la Secretaría del Instituto. </w:t>
      </w:r>
    </w:p>
    <w:p w14:paraId="20F29F87" w14:textId="77777777" w:rsidR="000C26B3" w:rsidRPr="00DF714D" w:rsidRDefault="000C26B3" w:rsidP="00E963EE">
      <w:pPr>
        <w:spacing w:after="0" w:line="360" w:lineRule="auto"/>
        <w:ind w:right="-518"/>
        <w:jc w:val="both"/>
        <w:rPr>
          <w:rFonts w:ascii="Century Gothic" w:hAnsi="Century Gothic" w:cs="Arial"/>
          <w:sz w:val="24"/>
          <w:szCs w:val="24"/>
          <w:lang w:val="es-ES"/>
        </w:rPr>
      </w:pPr>
    </w:p>
    <w:p w14:paraId="1CFAA955" w14:textId="68BBA2AC" w:rsidR="00C532BE" w:rsidRPr="00DF714D" w:rsidRDefault="00C532BE"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Aunado a lo anterior,</w:t>
      </w:r>
      <w:r w:rsidR="00E0009F" w:rsidRPr="00DF714D">
        <w:rPr>
          <w:rFonts w:ascii="Century Gothic" w:hAnsi="Century Gothic" w:cs="Arial"/>
          <w:sz w:val="24"/>
          <w:szCs w:val="24"/>
          <w:lang w:val="es-ES"/>
        </w:rPr>
        <w:t xml:space="preserve"> ante</w:t>
      </w:r>
      <w:r w:rsidR="00BE73FB" w:rsidRPr="00DF714D">
        <w:rPr>
          <w:rFonts w:ascii="Century Gothic" w:hAnsi="Century Gothic" w:cs="Arial"/>
          <w:sz w:val="24"/>
          <w:szCs w:val="24"/>
          <w:lang w:val="es-ES"/>
        </w:rPr>
        <w:t xml:space="preserve"> l</w:t>
      </w:r>
      <w:r w:rsidR="00B73F54" w:rsidRPr="00DF714D">
        <w:rPr>
          <w:rFonts w:ascii="Century Gothic" w:hAnsi="Century Gothic" w:cs="Arial"/>
          <w:sz w:val="24"/>
          <w:szCs w:val="24"/>
          <w:lang w:val="es-ES"/>
        </w:rPr>
        <w:t xml:space="preserve">os </w:t>
      </w:r>
      <w:r w:rsidR="00045BBB" w:rsidRPr="00DF714D">
        <w:rPr>
          <w:rFonts w:ascii="Century Gothic" w:hAnsi="Century Gothic" w:cs="Arial"/>
          <w:sz w:val="24"/>
          <w:szCs w:val="24"/>
          <w:lang w:val="es-ES"/>
        </w:rPr>
        <w:t>señalamientos</w:t>
      </w:r>
      <w:r w:rsidR="00F55F9E" w:rsidRPr="00DF714D">
        <w:rPr>
          <w:rFonts w:ascii="Century Gothic" w:hAnsi="Century Gothic" w:cs="Arial"/>
          <w:sz w:val="24"/>
          <w:szCs w:val="24"/>
          <w:lang w:val="es-ES"/>
        </w:rPr>
        <w:t xml:space="preserve"> descritos y diversas observaciones al informe y proyecto de acuerdo</w:t>
      </w:r>
      <w:r w:rsidR="0035581A" w:rsidRPr="00DF714D">
        <w:rPr>
          <w:rFonts w:ascii="Century Gothic" w:hAnsi="Century Gothic" w:cs="Arial"/>
          <w:sz w:val="24"/>
          <w:szCs w:val="24"/>
          <w:lang w:val="es-ES"/>
        </w:rPr>
        <w:t xml:space="preserve"> efectuados por las firmantes</w:t>
      </w:r>
      <w:r w:rsidR="009C7F97" w:rsidRPr="00DF714D">
        <w:rPr>
          <w:rFonts w:ascii="Century Gothic" w:hAnsi="Century Gothic" w:cs="Arial"/>
          <w:sz w:val="24"/>
          <w:szCs w:val="24"/>
          <w:lang w:val="es-ES"/>
        </w:rPr>
        <w:t xml:space="preserve"> durante la sesión ordinaria del 24 de mayo de </w:t>
      </w:r>
      <w:r w:rsidR="00A1665C" w:rsidRPr="00DF714D">
        <w:rPr>
          <w:rFonts w:ascii="Century Gothic" w:hAnsi="Century Gothic" w:cs="Arial"/>
          <w:sz w:val="24"/>
          <w:szCs w:val="24"/>
          <w:lang w:val="es-ES"/>
        </w:rPr>
        <w:t>2023,</w:t>
      </w:r>
      <w:r w:rsidR="00F2344D" w:rsidRPr="00DF714D">
        <w:rPr>
          <w:rFonts w:ascii="Century Gothic" w:hAnsi="Century Gothic" w:cs="Arial"/>
          <w:sz w:val="24"/>
          <w:szCs w:val="24"/>
          <w:lang w:val="es-ES"/>
        </w:rPr>
        <w:t xml:space="preserve"> se decretó un receso </w:t>
      </w:r>
      <w:r w:rsidR="001F5383" w:rsidRPr="00DF714D">
        <w:rPr>
          <w:rFonts w:ascii="Century Gothic" w:hAnsi="Century Gothic" w:cs="Arial"/>
          <w:sz w:val="24"/>
          <w:szCs w:val="24"/>
          <w:lang w:val="es-ES"/>
        </w:rPr>
        <w:t>para hacer un en</w:t>
      </w:r>
      <w:r w:rsidR="00201A03" w:rsidRPr="00DF714D">
        <w:rPr>
          <w:rFonts w:ascii="Century Gothic" w:hAnsi="Century Gothic" w:cs="Arial"/>
          <w:sz w:val="24"/>
          <w:szCs w:val="24"/>
          <w:lang w:val="es-ES"/>
        </w:rPr>
        <w:t>grose</w:t>
      </w:r>
      <w:r w:rsidR="00045BBB" w:rsidRPr="00DF714D">
        <w:rPr>
          <w:rFonts w:ascii="Century Gothic" w:hAnsi="Century Gothic" w:cs="Arial"/>
          <w:sz w:val="24"/>
          <w:szCs w:val="24"/>
          <w:lang w:val="es-ES"/>
        </w:rPr>
        <w:t xml:space="preserve"> </w:t>
      </w:r>
      <w:r w:rsidR="00C85FB9" w:rsidRPr="00DF714D">
        <w:rPr>
          <w:rFonts w:ascii="Century Gothic" w:hAnsi="Century Gothic" w:cs="Arial"/>
          <w:sz w:val="24"/>
          <w:szCs w:val="24"/>
          <w:lang w:val="es-ES"/>
        </w:rPr>
        <w:t>a dichos documentos e</w:t>
      </w:r>
      <w:r w:rsidR="00244CF8" w:rsidRPr="00DF714D">
        <w:rPr>
          <w:rFonts w:ascii="Century Gothic" w:hAnsi="Century Gothic" w:cs="Arial"/>
          <w:sz w:val="24"/>
          <w:szCs w:val="24"/>
          <w:lang w:val="es-ES"/>
        </w:rPr>
        <w:t xml:space="preserve"> </w:t>
      </w:r>
      <w:r w:rsidR="00D164B1" w:rsidRPr="00DF714D">
        <w:rPr>
          <w:rFonts w:ascii="Century Gothic" w:hAnsi="Century Gothic" w:cs="Arial"/>
          <w:sz w:val="24"/>
          <w:szCs w:val="24"/>
          <w:lang w:val="es-ES"/>
        </w:rPr>
        <w:t xml:space="preserve">integrar </w:t>
      </w:r>
      <w:r w:rsidR="00DE6972" w:rsidRPr="00DF714D">
        <w:rPr>
          <w:rFonts w:ascii="Century Gothic" w:hAnsi="Century Gothic" w:cs="Arial"/>
          <w:sz w:val="24"/>
          <w:szCs w:val="24"/>
          <w:lang w:val="es-ES"/>
        </w:rPr>
        <w:t>los razonamientos</w:t>
      </w:r>
      <w:r w:rsidR="00532CAC" w:rsidRPr="00DF714D">
        <w:rPr>
          <w:rFonts w:ascii="Century Gothic" w:hAnsi="Century Gothic" w:cs="Arial"/>
          <w:sz w:val="24"/>
          <w:szCs w:val="24"/>
          <w:lang w:val="es-ES"/>
        </w:rPr>
        <w:t xml:space="preserve"> y datos expuestos, </w:t>
      </w:r>
      <w:r w:rsidR="00FC22D9" w:rsidRPr="00DF714D">
        <w:rPr>
          <w:rFonts w:ascii="Century Gothic" w:hAnsi="Century Gothic" w:cs="Arial"/>
          <w:sz w:val="24"/>
          <w:szCs w:val="24"/>
          <w:lang w:val="es-ES"/>
        </w:rPr>
        <w:t xml:space="preserve">destacando que </w:t>
      </w:r>
      <w:r w:rsidR="0030470F" w:rsidRPr="00DF714D">
        <w:rPr>
          <w:rFonts w:ascii="Century Gothic" w:hAnsi="Century Gothic" w:cs="Arial"/>
          <w:sz w:val="24"/>
          <w:szCs w:val="24"/>
          <w:lang w:val="es-ES"/>
        </w:rPr>
        <w:t xml:space="preserve">la consejera presidenta </w:t>
      </w:r>
      <w:r w:rsidR="00FC22D9" w:rsidRPr="00DF714D">
        <w:rPr>
          <w:rFonts w:ascii="Century Gothic" w:hAnsi="Century Gothic" w:cs="Arial"/>
          <w:sz w:val="24"/>
          <w:szCs w:val="24"/>
          <w:lang w:val="es-ES"/>
        </w:rPr>
        <w:t xml:space="preserve">citó </w:t>
      </w:r>
      <w:r w:rsidR="0030470F" w:rsidRPr="00DF714D">
        <w:rPr>
          <w:rFonts w:ascii="Century Gothic" w:hAnsi="Century Gothic" w:cs="Arial"/>
          <w:sz w:val="24"/>
          <w:szCs w:val="24"/>
          <w:lang w:val="es-ES"/>
        </w:rPr>
        <w:t>a las 19:00 horas de la misma fecha para reanudar la sesión</w:t>
      </w:r>
      <w:r w:rsidR="00B37247" w:rsidRPr="00DF714D">
        <w:rPr>
          <w:rFonts w:ascii="Century Gothic" w:hAnsi="Century Gothic" w:cs="Arial"/>
          <w:sz w:val="24"/>
          <w:szCs w:val="24"/>
          <w:lang w:val="es-ES"/>
        </w:rPr>
        <w:t xml:space="preserve">, </w:t>
      </w:r>
      <w:r w:rsidR="000F1AE6" w:rsidRPr="00DF714D">
        <w:rPr>
          <w:rFonts w:ascii="Century Gothic" w:hAnsi="Century Gothic" w:cs="Arial"/>
          <w:sz w:val="24"/>
          <w:szCs w:val="24"/>
          <w:lang w:val="es-ES"/>
        </w:rPr>
        <w:t xml:space="preserve">para lo cual, </w:t>
      </w:r>
      <w:r w:rsidR="00340FEC" w:rsidRPr="00DF714D">
        <w:rPr>
          <w:rFonts w:ascii="Century Gothic" w:hAnsi="Century Gothic" w:cs="Arial"/>
          <w:sz w:val="24"/>
          <w:szCs w:val="24"/>
          <w:lang w:val="es-ES"/>
        </w:rPr>
        <w:t>a las 17:27 horas</w:t>
      </w:r>
      <w:r w:rsidR="001920DD" w:rsidRPr="00DF714D">
        <w:rPr>
          <w:rFonts w:ascii="Century Gothic" w:hAnsi="Century Gothic" w:cs="Arial"/>
          <w:sz w:val="24"/>
          <w:szCs w:val="24"/>
          <w:lang w:val="es-ES"/>
        </w:rPr>
        <w:t xml:space="preserve"> </w:t>
      </w:r>
      <w:r w:rsidR="008276FF" w:rsidRPr="00DF714D">
        <w:rPr>
          <w:rFonts w:ascii="Century Gothic" w:hAnsi="Century Gothic" w:cs="Arial"/>
          <w:sz w:val="24"/>
          <w:szCs w:val="24"/>
          <w:lang w:val="es-ES"/>
        </w:rPr>
        <w:t>fueron circulados de nueva cuenta</w:t>
      </w:r>
      <w:r w:rsidR="00340FEC" w:rsidRPr="00DF714D">
        <w:rPr>
          <w:rFonts w:ascii="Century Gothic" w:hAnsi="Century Gothic" w:cs="Arial"/>
          <w:sz w:val="24"/>
          <w:szCs w:val="24"/>
          <w:lang w:val="es-ES"/>
        </w:rPr>
        <w:t>,</w:t>
      </w:r>
      <w:r w:rsidR="00DB4C1F" w:rsidRPr="00DF714D">
        <w:rPr>
          <w:rFonts w:ascii="Century Gothic" w:hAnsi="Century Gothic" w:cs="Arial"/>
          <w:sz w:val="24"/>
          <w:szCs w:val="24"/>
          <w:lang w:val="es-ES"/>
        </w:rPr>
        <w:t xml:space="preserve"> </w:t>
      </w:r>
      <w:r w:rsidR="00FD4C03" w:rsidRPr="00DF714D">
        <w:rPr>
          <w:rFonts w:ascii="Century Gothic" w:hAnsi="Century Gothic" w:cs="Arial"/>
          <w:sz w:val="24"/>
          <w:szCs w:val="24"/>
          <w:lang w:val="es-ES"/>
        </w:rPr>
        <w:t>momento</w:t>
      </w:r>
      <w:r w:rsidR="00C83FE6" w:rsidRPr="00DF714D">
        <w:rPr>
          <w:rFonts w:ascii="Century Gothic" w:hAnsi="Century Gothic" w:cs="Arial"/>
          <w:sz w:val="24"/>
          <w:szCs w:val="24"/>
          <w:lang w:val="es-ES"/>
        </w:rPr>
        <w:t xml:space="preserve"> en que se incorporaron oficios de respuesta de diversas autoridades</w:t>
      </w:r>
      <w:r w:rsidR="00A54577" w:rsidRPr="00DF714D">
        <w:rPr>
          <w:rFonts w:ascii="Century Gothic" w:hAnsi="Century Gothic" w:cs="Arial"/>
          <w:sz w:val="24"/>
          <w:szCs w:val="24"/>
          <w:lang w:val="es-ES"/>
        </w:rPr>
        <w:t xml:space="preserve"> que contienen los</w:t>
      </w:r>
      <w:r w:rsidR="00BC0864" w:rsidRPr="00DF714D">
        <w:rPr>
          <w:rFonts w:ascii="Century Gothic" w:hAnsi="Century Gothic" w:cs="Arial"/>
          <w:sz w:val="24"/>
          <w:szCs w:val="24"/>
          <w:lang w:val="es-ES"/>
        </w:rPr>
        <w:t xml:space="preserve"> datos</w:t>
      </w:r>
      <w:r w:rsidR="00C516DF" w:rsidRPr="00DF714D">
        <w:rPr>
          <w:rFonts w:ascii="Century Gothic" w:hAnsi="Century Gothic" w:cs="Arial"/>
          <w:sz w:val="24"/>
          <w:szCs w:val="24"/>
          <w:lang w:val="es-ES"/>
        </w:rPr>
        <w:t xml:space="preserve"> que sirvieron de sustento para</w:t>
      </w:r>
      <w:r w:rsidR="00393B1F" w:rsidRPr="00DF714D">
        <w:rPr>
          <w:rFonts w:ascii="Century Gothic" w:hAnsi="Century Gothic" w:cs="Arial"/>
          <w:sz w:val="24"/>
          <w:szCs w:val="24"/>
          <w:lang w:val="es-ES"/>
        </w:rPr>
        <w:t xml:space="preserve"> que</w:t>
      </w:r>
      <w:r w:rsidR="00C516DF" w:rsidRPr="00DF714D">
        <w:rPr>
          <w:rFonts w:ascii="Century Gothic" w:hAnsi="Century Gothic" w:cs="Arial"/>
          <w:sz w:val="24"/>
          <w:szCs w:val="24"/>
          <w:lang w:val="es-ES"/>
        </w:rPr>
        <w:t xml:space="preserve"> la Secretaría </w:t>
      </w:r>
      <w:r w:rsidR="009B2D22" w:rsidRPr="00DF714D">
        <w:rPr>
          <w:rFonts w:ascii="Century Gothic" w:hAnsi="Century Gothic" w:cs="Arial"/>
          <w:sz w:val="24"/>
          <w:szCs w:val="24"/>
          <w:lang w:val="es-ES"/>
        </w:rPr>
        <w:t>Ejecutiva</w:t>
      </w:r>
      <w:r w:rsidR="00C516DF" w:rsidRPr="00DF714D">
        <w:rPr>
          <w:rFonts w:ascii="Century Gothic" w:hAnsi="Century Gothic" w:cs="Arial"/>
          <w:sz w:val="24"/>
          <w:szCs w:val="24"/>
          <w:lang w:val="es-ES"/>
        </w:rPr>
        <w:t xml:space="preserve"> elaborara e</w:t>
      </w:r>
      <w:r w:rsidR="00756D94" w:rsidRPr="00DF714D">
        <w:rPr>
          <w:rFonts w:ascii="Century Gothic" w:hAnsi="Century Gothic" w:cs="Arial"/>
          <w:sz w:val="24"/>
          <w:szCs w:val="24"/>
          <w:lang w:val="es-ES"/>
        </w:rPr>
        <w:t xml:space="preserve">l informe </w:t>
      </w:r>
      <w:r w:rsidR="000F52B3" w:rsidRPr="00DF714D">
        <w:rPr>
          <w:rFonts w:ascii="Century Gothic" w:hAnsi="Century Gothic" w:cs="Arial"/>
          <w:sz w:val="24"/>
          <w:szCs w:val="24"/>
          <w:lang w:val="es-ES"/>
        </w:rPr>
        <w:t>en el que arribó a la conclusión de que son i</w:t>
      </w:r>
      <w:r w:rsidR="00756D94" w:rsidRPr="00DF714D">
        <w:rPr>
          <w:rFonts w:ascii="Century Gothic" w:hAnsi="Century Gothic" w:cs="Arial"/>
          <w:sz w:val="24"/>
          <w:szCs w:val="24"/>
          <w:lang w:val="es-ES"/>
        </w:rPr>
        <w:t>nv</w:t>
      </w:r>
      <w:r w:rsidR="00C516DF" w:rsidRPr="00DF714D">
        <w:rPr>
          <w:rFonts w:ascii="Century Gothic" w:hAnsi="Century Gothic" w:cs="Arial"/>
          <w:sz w:val="24"/>
          <w:szCs w:val="24"/>
          <w:lang w:val="es-ES"/>
        </w:rPr>
        <w:t>iab</w:t>
      </w:r>
      <w:r w:rsidR="00B47A95" w:rsidRPr="00DF714D">
        <w:rPr>
          <w:rFonts w:ascii="Century Gothic" w:hAnsi="Century Gothic" w:cs="Arial"/>
          <w:sz w:val="24"/>
          <w:szCs w:val="24"/>
          <w:lang w:val="es-ES"/>
        </w:rPr>
        <w:t>les las pretensiones de los actores</w:t>
      </w:r>
      <w:r w:rsidR="009B2D22" w:rsidRPr="00DF714D">
        <w:rPr>
          <w:rFonts w:ascii="Century Gothic" w:hAnsi="Century Gothic" w:cs="Arial"/>
          <w:sz w:val="24"/>
          <w:szCs w:val="24"/>
          <w:lang w:val="es-ES"/>
        </w:rPr>
        <w:t xml:space="preserve">, </w:t>
      </w:r>
      <w:r w:rsidR="00AA0F80" w:rsidRPr="00DF714D">
        <w:rPr>
          <w:rFonts w:ascii="Century Gothic" w:hAnsi="Century Gothic" w:cs="Arial"/>
          <w:sz w:val="24"/>
          <w:szCs w:val="24"/>
          <w:lang w:val="es-ES"/>
        </w:rPr>
        <w:t xml:space="preserve">dejando a las </w:t>
      </w:r>
      <w:r w:rsidR="00B47A95" w:rsidRPr="00DF714D">
        <w:rPr>
          <w:rFonts w:ascii="Century Gothic" w:hAnsi="Century Gothic" w:cs="Arial"/>
          <w:sz w:val="24"/>
          <w:szCs w:val="24"/>
          <w:lang w:val="es-ES"/>
        </w:rPr>
        <w:t>s</w:t>
      </w:r>
      <w:r w:rsidR="00AA0F80" w:rsidRPr="00DF714D">
        <w:rPr>
          <w:rFonts w:ascii="Century Gothic" w:hAnsi="Century Gothic" w:cs="Arial"/>
          <w:sz w:val="24"/>
          <w:szCs w:val="24"/>
          <w:lang w:val="es-ES"/>
        </w:rPr>
        <w:t xml:space="preserve">uscritas en imposibilidad de </w:t>
      </w:r>
      <w:r w:rsidR="00A7642D" w:rsidRPr="00DF714D">
        <w:rPr>
          <w:rFonts w:ascii="Century Gothic" w:hAnsi="Century Gothic" w:cs="Arial"/>
          <w:sz w:val="24"/>
          <w:szCs w:val="24"/>
          <w:lang w:val="es-ES"/>
        </w:rPr>
        <w:t>revisar</w:t>
      </w:r>
      <w:r w:rsidR="007B2F2E" w:rsidRPr="00DF714D">
        <w:rPr>
          <w:rFonts w:ascii="Century Gothic" w:hAnsi="Century Gothic" w:cs="Arial"/>
          <w:sz w:val="24"/>
          <w:szCs w:val="24"/>
          <w:lang w:val="es-ES"/>
        </w:rPr>
        <w:t xml:space="preserve"> toda la información</w:t>
      </w:r>
      <w:r w:rsidR="00A7642D" w:rsidRPr="00DF714D">
        <w:rPr>
          <w:rFonts w:ascii="Century Gothic" w:hAnsi="Century Gothic" w:cs="Arial"/>
          <w:sz w:val="24"/>
          <w:szCs w:val="24"/>
          <w:lang w:val="es-ES"/>
        </w:rPr>
        <w:t xml:space="preserve"> exhaustivamente </w:t>
      </w:r>
      <w:r w:rsidR="00F4712B" w:rsidRPr="00DF714D">
        <w:rPr>
          <w:rFonts w:ascii="Century Gothic" w:hAnsi="Century Gothic" w:cs="Arial"/>
          <w:sz w:val="24"/>
          <w:szCs w:val="24"/>
          <w:lang w:val="es-ES"/>
        </w:rPr>
        <w:t xml:space="preserve">y de </w:t>
      </w:r>
      <w:r w:rsidR="00AA0F80" w:rsidRPr="00DF714D">
        <w:rPr>
          <w:rFonts w:ascii="Century Gothic" w:hAnsi="Century Gothic" w:cs="Arial"/>
          <w:sz w:val="24"/>
          <w:szCs w:val="24"/>
          <w:lang w:val="es-ES"/>
        </w:rPr>
        <w:t>pronunciar</w:t>
      </w:r>
      <w:r w:rsidR="00E7718B" w:rsidRPr="00DF714D">
        <w:rPr>
          <w:rFonts w:ascii="Century Gothic" w:hAnsi="Century Gothic" w:cs="Arial"/>
          <w:sz w:val="24"/>
          <w:szCs w:val="24"/>
          <w:lang w:val="es-ES"/>
        </w:rPr>
        <w:t>nos</w:t>
      </w:r>
      <w:r w:rsidR="00AA0F80" w:rsidRPr="00DF714D">
        <w:rPr>
          <w:rFonts w:ascii="Century Gothic" w:hAnsi="Century Gothic" w:cs="Arial"/>
          <w:sz w:val="24"/>
          <w:szCs w:val="24"/>
          <w:lang w:val="es-ES"/>
        </w:rPr>
        <w:t xml:space="preserve"> al respecto </w:t>
      </w:r>
      <w:r w:rsidR="00242F12" w:rsidRPr="00DF714D">
        <w:rPr>
          <w:rFonts w:ascii="Century Gothic" w:hAnsi="Century Gothic" w:cs="Arial"/>
          <w:sz w:val="24"/>
          <w:szCs w:val="24"/>
          <w:lang w:val="es-ES"/>
        </w:rPr>
        <w:t xml:space="preserve">sobre los datos consignados en los documentos, pues la </w:t>
      </w:r>
      <w:r w:rsidR="00150DB6" w:rsidRPr="00DF714D">
        <w:rPr>
          <w:rFonts w:ascii="Century Gothic" w:hAnsi="Century Gothic" w:cs="Arial"/>
          <w:sz w:val="24"/>
          <w:szCs w:val="24"/>
          <w:lang w:val="es-ES"/>
        </w:rPr>
        <w:t>s</w:t>
      </w:r>
      <w:r w:rsidR="008213E9" w:rsidRPr="00DF714D">
        <w:rPr>
          <w:rFonts w:ascii="Century Gothic" w:hAnsi="Century Gothic" w:cs="Arial"/>
          <w:sz w:val="24"/>
          <w:szCs w:val="24"/>
          <w:lang w:val="es-ES"/>
        </w:rPr>
        <w:t>esión</w:t>
      </w:r>
      <w:r w:rsidR="00150DB6" w:rsidRPr="00DF714D">
        <w:rPr>
          <w:rFonts w:ascii="Century Gothic" w:hAnsi="Century Gothic" w:cs="Arial"/>
          <w:sz w:val="24"/>
          <w:szCs w:val="24"/>
          <w:lang w:val="es-ES"/>
        </w:rPr>
        <w:t>, efectivamente,</w:t>
      </w:r>
      <w:r w:rsidR="008213E9" w:rsidRPr="00DF714D">
        <w:rPr>
          <w:rFonts w:ascii="Century Gothic" w:hAnsi="Century Gothic" w:cs="Arial"/>
          <w:sz w:val="24"/>
          <w:szCs w:val="24"/>
          <w:lang w:val="es-ES"/>
        </w:rPr>
        <w:t xml:space="preserve"> se reanud</w:t>
      </w:r>
      <w:r w:rsidR="00150DB6" w:rsidRPr="00DF714D">
        <w:rPr>
          <w:rFonts w:ascii="Century Gothic" w:hAnsi="Century Gothic" w:cs="Arial"/>
          <w:sz w:val="24"/>
          <w:szCs w:val="24"/>
          <w:lang w:val="es-ES"/>
        </w:rPr>
        <w:t>ó</w:t>
      </w:r>
      <w:r w:rsidR="008213E9" w:rsidRPr="00DF714D">
        <w:rPr>
          <w:rFonts w:ascii="Century Gothic" w:hAnsi="Century Gothic" w:cs="Arial"/>
          <w:sz w:val="24"/>
          <w:szCs w:val="24"/>
          <w:lang w:val="es-ES"/>
        </w:rPr>
        <w:t xml:space="preserve"> a las 19:00 horas, es decir, solo se cont</w:t>
      </w:r>
      <w:r w:rsidR="001F6F4E" w:rsidRPr="00DF714D">
        <w:rPr>
          <w:rFonts w:ascii="Century Gothic" w:hAnsi="Century Gothic" w:cs="Arial"/>
          <w:sz w:val="24"/>
          <w:szCs w:val="24"/>
          <w:lang w:val="es-ES"/>
        </w:rPr>
        <w:t>ó</w:t>
      </w:r>
      <w:r w:rsidR="008213E9" w:rsidRPr="00DF714D">
        <w:rPr>
          <w:rFonts w:ascii="Century Gothic" w:hAnsi="Century Gothic" w:cs="Arial"/>
          <w:sz w:val="24"/>
          <w:szCs w:val="24"/>
          <w:lang w:val="es-ES"/>
        </w:rPr>
        <w:t xml:space="preserve"> con </w:t>
      </w:r>
      <w:r w:rsidR="00A840D3" w:rsidRPr="00DF714D">
        <w:rPr>
          <w:rFonts w:ascii="Century Gothic" w:hAnsi="Century Gothic" w:cs="Arial"/>
          <w:sz w:val="24"/>
          <w:szCs w:val="24"/>
          <w:lang w:val="es-ES"/>
        </w:rPr>
        <w:t>9</w:t>
      </w:r>
      <w:r w:rsidR="00DD353D" w:rsidRPr="00DF714D">
        <w:rPr>
          <w:rFonts w:ascii="Century Gothic" w:hAnsi="Century Gothic" w:cs="Arial"/>
          <w:sz w:val="24"/>
          <w:szCs w:val="24"/>
          <w:lang w:val="es-ES"/>
        </w:rPr>
        <w:t>3 minutos para el análisis respectivo.</w:t>
      </w:r>
      <w:r w:rsidR="004579A1" w:rsidRPr="00DF714D">
        <w:rPr>
          <w:rFonts w:ascii="Century Gothic" w:hAnsi="Century Gothic" w:cs="Arial"/>
          <w:sz w:val="24"/>
          <w:szCs w:val="24"/>
          <w:lang w:val="es-ES"/>
        </w:rPr>
        <w:t xml:space="preserve"> Aunado al hecho de que, en sesión, </w:t>
      </w:r>
      <w:r w:rsidR="00C611F1" w:rsidRPr="00DF714D">
        <w:rPr>
          <w:rFonts w:ascii="Century Gothic" w:hAnsi="Century Gothic" w:cs="Arial"/>
          <w:sz w:val="24"/>
          <w:szCs w:val="24"/>
          <w:lang w:val="es-ES"/>
        </w:rPr>
        <w:t>se</w:t>
      </w:r>
      <w:r w:rsidR="00EB0563" w:rsidRPr="00DF714D">
        <w:rPr>
          <w:rFonts w:ascii="Century Gothic" w:hAnsi="Century Gothic" w:cs="Arial"/>
          <w:sz w:val="24"/>
          <w:szCs w:val="24"/>
          <w:lang w:val="es-ES"/>
        </w:rPr>
        <w:t xml:space="preserve"> nos</w:t>
      </w:r>
      <w:r w:rsidR="008C0C00" w:rsidRPr="00DF714D">
        <w:rPr>
          <w:rFonts w:ascii="Century Gothic" w:hAnsi="Century Gothic" w:cs="Arial"/>
          <w:sz w:val="24"/>
          <w:szCs w:val="24"/>
          <w:lang w:val="es-ES"/>
        </w:rPr>
        <w:t xml:space="preserve"> limitó a </w:t>
      </w:r>
      <w:r w:rsidR="00EB0563" w:rsidRPr="00DF714D">
        <w:rPr>
          <w:rFonts w:ascii="Century Gothic" w:hAnsi="Century Gothic" w:cs="Arial"/>
          <w:sz w:val="24"/>
          <w:szCs w:val="24"/>
          <w:lang w:val="es-ES"/>
        </w:rPr>
        <w:t>hacer uso de la voz</w:t>
      </w:r>
      <w:r w:rsidR="00522C0E" w:rsidRPr="00DF714D">
        <w:rPr>
          <w:rFonts w:ascii="Century Gothic" w:hAnsi="Century Gothic" w:cs="Arial"/>
          <w:sz w:val="24"/>
          <w:szCs w:val="24"/>
          <w:lang w:val="es-ES"/>
        </w:rPr>
        <w:t xml:space="preserve"> únicamente</w:t>
      </w:r>
      <w:r w:rsidR="00EB0563" w:rsidRPr="00DF714D">
        <w:rPr>
          <w:rFonts w:ascii="Century Gothic" w:hAnsi="Century Gothic" w:cs="Arial"/>
          <w:sz w:val="24"/>
          <w:szCs w:val="24"/>
          <w:lang w:val="es-ES"/>
        </w:rPr>
        <w:t xml:space="preserve"> d</w:t>
      </w:r>
      <w:r w:rsidR="0080477F" w:rsidRPr="00DF714D">
        <w:rPr>
          <w:rFonts w:ascii="Century Gothic" w:hAnsi="Century Gothic" w:cs="Arial"/>
          <w:sz w:val="24"/>
          <w:szCs w:val="24"/>
          <w:lang w:val="es-ES"/>
        </w:rPr>
        <w:t xml:space="preserve">urante una ronda de </w:t>
      </w:r>
      <w:r w:rsidR="00402B5D" w:rsidRPr="00DF714D">
        <w:rPr>
          <w:rFonts w:ascii="Century Gothic" w:hAnsi="Century Gothic" w:cs="Arial"/>
          <w:sz w:val="24"/>
          <w:szCs w:val="24"/>
          <w:lang w:val="es-ES"/>
        </w:rPr>
        <w:t>tres minutos,</w:t>
      </w:r>
      <w:r w:rsidR="008B581E" w:rsidRPr="00DF714D">
        <w:rPr>
          <w:rFonts w:ascii="Century Gothic" w:hAnsi="Century Gothic" w:cs="Arial"/>
          <w:sz w:val="24"/>
          <w:szCs w:val="24"/>
          <w:lang w:val="es-ES"/>
        </w:rPr>
        <w:t xml:space="preserve"> </w:t>
      </w:r>
      <w:r w:rsidR="003F36CF" w:rsidRPr="00DF714D">
        <w:rPr>
          <w:rFonts w:ascii="Century Gothic" w:hAnsi="Century Gothic" w:cs="Arial"/>
          <w:sz w:val="24"/>
          <w:szCs w:val="24"/>
          <w:lang w:val="es-ES"/>
        </w:rPr>
        <w:t xml:space="preserve">lo cual fue insuficiente. </w:t>
      </w:r>
    </w:p>
    <w:p w14:paraId="73593E03" w14:textId="77777777" w:rsidR="00120374" w:rsidRPr="00DF714D" w:rsidRDefault="00120374" w:rsidP="00E963EE">
      <w:pPr>
        <w:spacing w:after="0" w:line="360" w:lineRule="auto"/>
        <w:ind w:right="-518"/>
        <w:jc w:val="both"/>
        <w:rPr>
          <w:rFonts w:ascii="Century Gothic" w:hAnsi="Century Gothic" w:cs="Arial"/>
          <w:sz w:val="24"/>
          <w:szCs w:val="24"/>
          <w:lang w:val="es-ES"/>
        </w:rPr>
      </w:pPr>
    </w:p>
    <w:p w14:paraId="21C53C83" w14:textId="697BB14D" w:rsidR="00120374" w:rsidRPr="00DF714D" w:rsidRDefault="00120374"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 xml:space="preserve">No debe pasar desapercibido, que si el </w:t>
      </w:r>
      <w:r w:rsidR="006457CE" w:rsidRPr="00DF714D">
        <w:rPr>
          <w:rFonts w:ascii="Century Gothic" w:hAnsi="Century Gothic" w:cs="Arial"/>
          <w:sz w:val="24"/>
          <w:szCs w:val="24"/>
          <w:lang w:val="es-ES"/>
        </w:rPr>
        <w:t>i</w:t>
      </w:r>
      <w:r w:rsidRPr="00DF714D">
        <w:rPr>
          <w:rFonts w:ascii="Century Gothic" w:hAnsi="Century Gothic" w:cs="Arial"/>
          <w:sz w:val="24"/>
          <w:szCs w:val="24"/>
          <w:lang w:val="es-ES"/>
        </w:rPr>
        <w:t xml:space="preserve">nforme respectivo sobre la </w:t>
      </w:r>
      <w:r w:rsidR="00E810F5" w:rsidRPr="00DF714D">
        <w:rPr>
          <w:rFonts w:ascii="Century Gothic" w:hAnsi="Century Gothic" w:cs="Arial"/>
          <w:sz w:val="24"/>
          <w:szCs w:val="24"/>
          <w:lang w:val="es-ES"/>
        </w:rPr>
        <w:t>viabilidad</w:t>
      </w:r>
      <w:r w:rsidRPr="00DF714D">
        <w:rPr>
          <w:rFonts w:ascii="Century Gothic" w:hAnsi="Century Gothic" w:cs="Arial"/>
          <w:sz w:val="24"/>
          <w:szCs w:val="24"/>
          <w:lang w:val="es-ES"/>
        </w:rPr>
        <w:t xml:space="preserve"> o </w:t>
      </w:r>
      <w:r w:rsidR="00703D7E" w:rsidRPr="00DF714D">
        <w:rPr>
          <w:rFonts w:ascii="Century Gothic" w:hAnsi="Century Gothic" w:cs="Arial"/>
          <w:sz w:val="24"/>
          <w:szCs w:val="24"/>
          <w:lang w:val="es-ES"/>
        </w:rPr>
        <w:t>i</w:t>
      </w:r>
      <w:r w:rsidRPr="00DF714D">
        <w:rPr>
          <w:rFonts w:ascii="Century Gothic" w:hAnsi="Century Gothic" w:cs="Arial"/>
          <w:sz w:val="24"/>
          <w:szCs w:val="24"/>
          <w:lang w:val="es-ES"/>
        </w:rPr>
        <w:t>nv</w:t>
      </w:r>
      <w:r w:rsidR="00E810F5" w:rsidRPr="00DF714D">
        <w:rPr>
          <w:rFonts w:ascii="Century Gothic" w:hAnsi="Century Gothic" w:cs="Arial"/>
          <w:sz w:val="24"/>
          <w:szCs w:val="24"/>
          <w:lang w:val="es-ES"/>
        </w:rPr>
        <w:t>iabilidad fue circulad</w:t>
      </w:r>
      <w:r w:rsidR="00F641FD" w:rsidRPr="00DF714D">
        <w:rPr>
          <w:rFonts w:ascii="Century Gothic" w:hAnsi="Century Gothic" w:cs="Arial"/>
          <w:sz w:val="24"/>
          <w:szCs w:val="24"/>
          <w:lang w:val="es-ES"/>
        </w:rPr>
        <w:t xml:space="preserve">o hasta </w:t>
      </w:r>
      <w:r w:rsidR="00E810F5" w:rsidRPr="00DF714D">
        <w:rPr>
          <w:rFonts w:ascii="Century Gothic" w:hAnsi="Century Gothic" w:cs="Arial"/>
          <w:sz w:val="24"/>
          <w:szCs w:val="24"/>
          <w:lang w:val="es-ES"/>
        </w:rPr>
        <w:t xml:space="preserve">el 23 de mayo de 2023, </w:t>
      </w:r>
      <w:r w:rsidR="00F641FD" w:rsidRPr="00DF714D">
        <w:rPr>
          <w:rFonts w:ascii="Century Gothic" w:hAnsi="Century Gothic" w:cs="Arial"/>
          <w:sz w:val="24"/>
          <w:szCs w:val="24"/>
          <w:lang w:val="es-ES"/>
        </w:rPr>
        <w:t xml:space="preserve">y presentado el 24 de </w:t>
      </w:r>
      <w:r w:rsidR="0046261A" w:rsidRPr="00DF714D">
        <w:rPr>
          <w:rFonts w:ascii="Century Gothic" w:hAnsi="Century Gothic" w:cs="Arial"/>
          <w:sz w:val="24"/>
          <w:szCs w:val="24"/>
          <w:lang w:val="es-ES"/>
        </w:rPr>
        <w:t>mayo ante el Consejo General</w:t>
      </w:r>
      <w:r w:rsidR="002A63B5" w:rsidRPr="00DF714D">
        <w:rPr>
          <w:rFonts w:ascii="Century Gothic" w:hAnsi="Century Gothic" w:cs="Arial"/>
          <w:sz w:val="24"/>
          <w:szCs w:val="24"/>
          <w:lang w:val="es-ES"/>
        </w:rPr>
        <w:t>, el término de 10</w:t>
      </w:r>
      <w:r w:rsidR="00C034DB" w:rsidRPr="00DF714D">
        <w:rPr>
          <w:rFonts w:ascii="Century Gothic" w:hAnsi="Century Gothic" w:cs="Arial"/>
          <w:sz w:val="24"/>
          <w:szCs w:val="24"/>
          <w:lang w:val="es-ES"/>
        </w:rPr>
        <w:t xml:space="preserve"> días</w:t>
      </w:r>
      <w:r w:rsidR="002A63B5" w:rsidRPr="00DF714D">
        <w:rPr>
          <w:rFonts w:ascii="Century Gothic" w:hAnsi="Century Gothic" w:cs="Arial"/>
          <w:sz w:val="24"/>
          <w:szCs w:val="24"/>
          <w:lang w:val="es-ES"/>
        </w:rPr>
        <w:t xml:space="preserve"> mandatado en los efectos de la sentencia para que dicho</w:t>
      </w:r>
      <w:r w:rsidR="00AF4676" w:rsidRPr="00DF714D">
        <w:rPr>
          <w:rFonts w:ascii="Century Gothic" w:hAnsi="Century Gothic" w:cs="Arial"/>
          <w:sz w:val="24"/>
          <w:szCs w:val="24"/>
          <w:lang w:val="es-ES"/>
        </w:rPr>
        <w:t xml:space="preserve"> C</w:t>
      </w:r>
      <w:r w:rsidR="002A63B5" w:rsidRPr="00DF714D">
        <w:rPr>
          <w:rFonts w:ascii="Century Gothic" w:hAnsi="Century Gothic" w:cs="Arial"/>
          <w:sz w:val="24"/>
          <w:szCs w:val="24"/>
          <w:lang w:val="es-ES"/>
        </w:rPr>
        <w:t>onsejo determinara lo cond</w:t>
      </w:r>
      <w:r w:rsidR="00AF4676" w:rsidRPr="00DF714D">
        <w:rPr>
          <w:rFonts w:ascii="Century Gothic" w:hAnsi="Century Gothic" w:cs="Arial"/>
          <w:sz w:val="24"/>
          <w:szCs w:val="24"/>
          <w:lang w:val="es-ES"/>
        </w:rPr>
        <w:t>u</w:t>
      </w:r>
      <w:r w:rsidR="002A63B5" w:rsidRPr="00DF714D">
        <w:rPr>
          <w:rFonts w:ascii="Century Gothic" w:hAnsi="Century Gothic" w:cs="Arial"/>
          <w:sz w:val="24"/>
          <w:szCs w:val="24"/>
          <w:lang w:val="es-ES"/>
        </w:rPr>
        <w:t>cente</w:t>
      </w:r>
      <w:r w:rsidR="00FF5B32" w:rsidRPr="00DF714D">
        <w:rPr>
          <w:rFonts w:ascii="Century Gothic" w:hAnsi="Century Gothic" w:cs="Arial"/>
          <w:sz w:val="24"/>
          <w:szCs w:val="24"/>
          <w:lang w:val="es-ES"/>
        </w:rPr>
        <w:t xml:space="preserve"> iniciaría</w:t>
      </w:r>
      <w:r w:rsidR="001B45E4" w:rsidRPr="00DF714D">
        <w:rPr>
          <w:rFonts w:ascii="Century Gothic" w:hAnsi="Century Gothic" w:cs="Arial"/>
          <w:sz w:val="24"/>
          <w:szCs w:val="24"/>
          <w:lang w:val="es-ES"/>
        </w:rPr>
        <w:t>,</w:t>
      </w:r>
      <w:r w:rsidR="00FF5B32" w:rsidRPr="00DF714D">
        <w:rPr>
          <w:rFonts w:ascii="Century Gothic" w:hAnsi="Century Gothic" w:cs="Arial"/>
          <w:sz w:val="24"/>
          <w:szCs w:val="24"/>
          <w:lang w:val="es-ES"/>
        </w:rPr>
        <w:t xml:space="preserve"> en todo caso</w:t>
      </w:r>
      <w:r w:rsidR="00CD76D9" w:rsidRPr="00DF714D">
        <w:rPr>
          <w:rFonts w:ascii="Century Gothic" w:hAnsi="Century Gothic" w:cs="Arial"/>
          <w:sz w:val="24"/>
          <w:szCs w:val="24"/>
          <w:lang w:val="es-ES"/>
        </w:rPr>
        <w:t xml:space="preserve"> y</w:t>
      </w:r>
      <w:r w:rsidR="00911026" w:rsidRPr="00DF714D">
        <w:rPr>
          <w:rFonts w:ascii="Century Gothic" w:hAnsi="Century Gothic" w:cs="Arial"/>
          <w:sz w:val="24"/>
          <w:szCs w:val="24"/>
          <w:lang w:val="es-ES"/>
        </w:rPr>
        <w:t xml:space="preserve"> concediendo que </w:t>
      </w:r>
      <w:r w:rsidR="00D00B84" w:rsidRPr="00DF714D">
        <w:rPr>
          <w:rFonts w:ascii="Century Gothic" w:hAnsi="Century Gothic" w:cs="Arial"/>
          <w:sz w:val="24"/>
          <w:szCs w:val="24"/>
          <w:lang w:val="es-ES"/>
        </w:rPr>
        <w:t xml:space="preserve">se circuló el </w:t>
      </w:r>
      <w:r w:rsidR="002B6012" w:rsidRPr="00DF714D">
        <w:rPr>
          <w:rFonts w:ascii="Century Gothic" w:hAnsi="Century Gothic" w:cs="Arial"/>
          <w:sz w:val="24"/>
          <w:szCs w:val="24"/>
          <w:lang w:val="es-ES"/>
        </w:rPr>
        <w:t xml:space="preserve">día </w:t>
      </w:r>
      <w:r w:rsidR="00C34B88" w:rsidRPr="00DF714D">
        <w:rPr>
          <w:rFonts w:ascii="Century Gothic" w:hAnsi="Century Gothic" w:cs="Arial"/>
          <w:sz w:val="24"/>
          <w:szCs w:val="24"/>
          <w:lang w:val="es-ES"/>
        </w:rPr>
        <w:t>23</w:t>
      </w:r>
      <w:r w:rsidR="00365364" w:rsidRPr="00DF714D">
        <w:rPr>
          <w:rFonts w:ascii="Century Gothic" w:hAnsi="Century Gothic" w:cs="Arial"/>
          <w:sz w:val="24"/>
          <w:szCs w:val="24"/>
          <w:lang w:val="es-ES"/>
        </w:rPr>
        <w:t xml:space="preserve"> </w:t>
      </w:r>
      <w:r w:rsidR="00CD7770" w:rsidRPr="00DF714D">
        <w:rPr>
          <w:rFonts w:ascii="Century Gothic" w:hAnsi="Century Gothic" w:cs="Arial"/>
          <w:sz w:val="24"/>
          <w:szCs w:val="24"/>
          <w:lang w:val="es-ES"/>
        </w:rPr>
        <w:t>(</w:t>
      </w:r>
      <w:r w:rsidR="00365364" w:rsidRPr="00DF714D">
        <w:rPr>
          <w:rFonts w:ascii="Century Gothic" w:hAnsi="Century Gothic" w:cs="Arial"/>
          <w:sz w:val="24"/>
          <w:szCs w:val="24"/>
          <w:lang w:val="es-ES"/>
        </w:rPr>
        <w:t>aunque sea de forma incompleta</w:t>
      </w:r>
      <w:r w:rsidR="00CD7770" w:rsidRPr="00DF714D">
        <w:rPr>
          <w:rFonts w:ascii="Century Gothic" w:hAnsi="Century Gothic" w:cs="Arial"/>
          <w:sz w:val="24"/>
          <w:szCs w:val="24"/>
          <w:lang w:val="es-ES"/>
        </w:rPr>
        <w:t>)</w:t>
      </w:r>
      <w:r w:rsidR="001B45E4" w:rsidRPr="00DF714D">
        <w:rPr>
          <w:rFonts w:ascii="Century Gothic" w:hAnsi="Century Gothic" w:cs="Arial"/>
          <w:sz w:val="24"/>
          <w:szCs w:val="24"/>
          <w:lang w:val="es-ES"/>
        </w:rPr>
        <w:t>,</w:t>
      </w:r>
      <w:r w:rsidR="00FF5B32" w:rsidRPr="00DF714D">
        <w:rPr>
          <w:rFonts w:ascii="Century Gothic" w:hAnsi="Century Gothic" w:cs="Arial"/>
          <w:sz w:val="24"/>
          <w:szCs w:val="24"/>
          <w:lang w:val="es-ES"/>
        </w:rPr>
        <w:t xml:space="preserve"> el 2</w:t>
      </w:r>
      <w:r w:rsidR="00745111" w:rsidRPr="00DF714D">
        <w:rPr>
          <w:rFonts w:ascii="Century Gothic" w:hAnsi="Century Gothic" w:cs="Arial"/>
          <w:sz w:val="24"/>
          <w:szCs w:val="24"/>
          <w:lang w:val="es-ES"/>
        </w:rPr>
        <w:t>4</w:t>
      </w:r>
      <w:r w:rsidR="00FF5B32" w:rsidRPr="00DF714D">
        <w:rPr>
          <w:rFonts w:ascii="Century Gothic" w:hAnsi="Century Gothic" w:cs="Arial"/>
          <w:sz w:val="24"/>
          <w:szCs w:val="24"/>
          <w:lang w:val="es-ES"/>
        </w:rPr>
        <w:t xml:space="preserve"> de mayo</w:t>
      </w:r>
      <w:r w:rsidR="00745111" w:rsidRPr="00DF714D">
        <w:rPr>
          <w:rFonts w:ascii="Century Gothic" w:hAnsi="Century Gothic" w:cs="Arial"/>
          <w:sz w:val="24"/>
          <w:szCs w:val="24"/>
          <w:lang w:val="es-ES"/>
        </w:rPr>
        <w:t xml:space="preserve"> </w:t>
      </w:r>
      <w:r w:rsidR="00AF01B5" w:rsidRPr="00DF714D">
        <w:rPr>
          <w:rFonts w:ascii="Century Gothic" w:hAnsi="Century Gothic" w:cs="Arial"/>
          <w:sz w:val="24"/>
          <w:szCs w:val="24"/>
          <w:lang w:val="es-ES"/>
        </w:rPr>
        <w:t>y fenecería</w:t>
      </w:r>
      <w:r w:rsidR="00FF5B32" w:rsidRPr="00DF714D">
        <w:rPr>
          <w:rFonts w:ascii="Century Gothic" w:hAnsi="Century Gothic" w:cs="Arial"/>
          <w:sz w:val="24"/>
          <w:szCs w:val="24"/>
          <w:lang w:val="es-ES"/>
        </w:rPr>
        <w:t xml:space="preserve"> el </w:t>
      </w:r>
      <w:r w:rsidR="0003027A" w:rsidRPr="00DF714D">
        <w:rPr>
          <w:rFonts w:ascii="Century Gothic" w:hAnsi="Century Gothic" w:cs="Arial"/>
          <w:sz w:val="24"/>
          <w:szCs w:val="24"/>
          <w:lang w:val="es-ES"/>
        </w:rPr>
        <w:t xml:space="preserve">6 de junio del presente año, con esto se daría la oportunidad de </w:t>
      </w:r>
      <w:r w:rsidR="001E1D00" w:rsidRPr="00DF714D">
        <w:rPr>
          <w:rFonts w:ascii="Century Gothic" w:hAnsi="Century Gothic" w:cs="Arial"/>
          <w:sz w:val="24"/>
          <w:szCs w:val="24"/>
          <w:lang w:val="es-ES"/>
        </w:rPr>
        <w:t>analizar</w:t>
      </w:r>
      <w:r w:rsidR="0003027A" w:rsidRPr="00DF714D">
        <w:rPr>
          <w:rFonts w:ascii="Century Gothic" w:hAnsi="Century Gothic" w:cs="Arial"/>
          <w:sz w:val="24"/>
          <w:szCs w:val="24"/>
          <w:lang w:val="es-ES"/>
        </w:rPr>
        <w:t xml:space="preserve"> a cabalidad </w:t>
      </w:r>
      <w:r w:rsidR="005F772F" w:rsidRPr="00DF714D">
        <w:rPr>
          <w:rFonts w:ascii="Century Gothic" w:hAnsi="Century Gothic" w:cs="Arial"/>
          <w:sz w:val="24"/>
          <w:szCs w:val="24"/>
          <w:lang w:val="es-ES"/>
        </w:rPr>
        <w:t xml:space="preserve">el </w:t>
      </w:r>
      <w:r w:rsidR="00E64D4C" w:rsidRPr="00DF714D">
        <w:rPr>
          <w:rFonts w:ascii="Century Gothic" w:hAnsi="Century Gothic" w:cs="Arial"/>
          <w:sz w:val="24"/>
          <w:szCs w:val="24"/>
          <w:lang w:val="es-ES"/>
        </w:rPr>
        <w:t>informe correspondiente</w:t>
      </w:r>
      <w:r w:rsidR="00FE28AE" w:rsidRPr="00DF714D">
        <w:rPr>
          <w:rFonts w:ascii="Century Gothic" w:hAnsi="Century Gothic" w:cs="Arial"/>
          <w:sz w:val="24"/>
          <w:szCs w:val="24"/>
          <w:lang w:val="es-ES"/>
        </w:rPr>
        <w:t xml:space="preserve"> y</w:t>
      </w:r>
      <w:r w:rsidR="00BE5FF6" w:rsidRPr="00DF714D">
        <w:rPr>
          <w:rFonts w:ascii="Century Gothic" w:hAnsi="Century Gothic" w:cs="Arial"/>
          <w:sz w:val="24"/>
          <w:szCs w:val="24"/>
          <w:lang w:val="es-ES"/>
        </w:rPr>
        <w:t xml:space="preserve"> </w:t>
      </w:r>
      <w:r w:rsidR="00B6792A" w:rsidRPr="00DF714D">
        <w:rPr>
          <w:rFonts w:ascii="Century Gothic" w:hAnsi="Century Gothic" w:cs="Arial"/>
          <w:sz w:val="24"/>
          <w:szCs w:val="24"/>
          <w:lang w:val="es-ES"/>
        </w:rPr>
        <w:lastRenderedPageBreak/>
        <w:t xml:space="preserve">poder tomar una </w:t>
      </w:r>
      <w:r w:rsidR="00716D81" w:rsidRPr="00DF714D">
        <w:rPr>
          <w:rFonts w:ascii="Century Gothic" w:hAnsi="Century Gothic" w:cs="Arial"/>
          <w:sz w:val="24"/>
          <w:szCs w:val="24"/>
          <w:lang w:val="es-ES"/>
        </w:rPr>
        <w:t>postura respecto de la aprobación d</w:t>
      </w:r>
      <w:r w:rsidR="00BE5FF6" w:rsidRPr="00DF714D">
        <w:rPr>
          <w:rFonts w:ascii="Century Gothic" w:hAnsi="Century Gothic" w:cs="Arial"/>
          <w:sz w:val="24"/>
          <w:szCs w:val="24"/>
          <w:lang w:val="es-ES"/>
        </w:rPr>
        <w:t>el</w:t>
      </w:r>
      <w:r w:rsidR="00E64D4C" w:rsidRPr="00DF714D">
        <w:rPr>
          <w:rFonts w:ascii="Century Gothic" w:hAnsi="Century Gothic" w:cs="Arial"/>
          <w:sz w:val="24"/>
          <w:szCs w:val="24"/>
          <w:lang w:val="es-ES"/>
        </w:rPr>
        <w:t xml:space="preserve"> </w:t>
      </w:r>
      <w:r w:rsidR="00B108D3" w:rsidRPr="00DF714D">
        <w:rPr>
          <w:rFonts w:ascii="Century Gothic" w:hAnsi="Century Gothic" w:cs="Arial"/>
          <w:sz w:val="24"/>
          <w:szCs w:val="24"/>
          <w:lang w:val="es-ES"/>
        </w:rPr>
        <w:t>proyecto de a</w:t>
      </w:r>
      <w:r w:rsidR="005F772F" w:rsidRPr="00DF714D">
        <w:rPr>
          <w:rFonts w:ascii="Century Gothic" w:hAnsi="Century Gothic" w:cs="Arial"/>
          <w:sz w:val="24"/>
          <w:szCs w:val="24"/>
          <w:lang w:val="es-ES"/>
        </w:rPr>
        <w:t xml:space="preserve">cuerdo de </w:t>
      </w:r>
      <w:r w:rsidR="00B108D3" w:rsidRPr="00DF714D">
        <w:rPr>
          <w:rFonts w:ascii="Century Gothic" w:hAnsi="Century Gothic" w:cs="Arial"/>
          <w:sz w:val="24"/>
          <w:szCs w:val="24"/>
          <w:lang w:val="es-ES"/>
        </w:rPr>
        <w:t>i</w:t>
      </w:r>
      <w:r w:rsidR="005F772F" w:rsidRPr="00DF714D">
        <w:rPr>
          <w:rFonts w:ascii="Century Gothic" w:hAnsi="Century Gothic" w:cs="Arial"/>
          <w:sz w:val="24"/>
          <w:szCs w:val="24"/>
          <w:lang w:val="es-ES"/>
        </w:rPr>
        <w:t>nviabilidad</w:t>
      </w:r>
      <w:r w:rsidR="00B6792A" w:rsidRPr="00DF714D">
        <w:rPr>
          <w:rFonts w:ascii="Century Gothic" w:hAnsi="Century Gothic" w:cs="Arial"/>
          <w:sz w:val="24"/>
          <w:szCs w:val="24"/>
          <w:lang w:val="es-ES"/>
        </w:rPr>
        <w:t>.</w:t>
      </w:r>
    </w:p>
    <w:p w14:paraId="01CE7BF8" w14:textId="77777777" w:rsidR="009C01F3" w:rsidRPr="00DF714D" w:rsidRDefault="009C01F3" w:rsidP="00E963EE">
      <w:pPr>
        <w:spacing w:after="0" w:line="360" w:lineRule="auto"/>
        <w:ind w:right="-518"/>
        <w:jc w:val="both"/>
        <w:rPr>
          <w:rFonts w:ascii="Century Gothic" w:hAnsi="Century Gothic"/>
        </w:rPr>
      </w:pPr>
    </w:p>
    <w:p w14:paraId="60313C4F" w14:textId="23A9398E" w:rsidR="00C05ECC" w:rsidRPr="00DF714D" w:rsidRDefault="007950BE" w:rsidP="00E963EE">
      <w:pPr>
        <w:spacing w:after="0" w:line="360" w:lineRule="auto"/>
        <w:ind w:right="-518"/>
        <w:jc w:val="both"/>
        <w:rPr>
          <w:rFonts w:ascii="Century Gothic" w:hAnsi="Century Gothic" w:cs="Arial"/>
          <w:sz w:val="24"/>
          <w:szCs w:val="24"/>
          <w:shd w:val="clear" w:color="auto" w:fill="FFFFFF"/>
        </w:rPr>
      </w:pPr>
      <w:r w:rsidRPr="00DF714D">
        <w:rPr>
          <w:rFonts w:ascii="Century Gothic" w:hAnsi="Century Gothic" w:cs="Arial"/>
          <w:sz w:val="24"/>
          <w:szCs w:val="24"/>
          <w:shd w:val="clear" w:color="auto" w:fill="FFFFFF"/>
        </w:rPr>
        <w:t>En otro orden de ideas</w:t>
      </w:r>
      <w:r w:rsidR="00DE36ED" w:rsidRPr="00DF714D">
        <w:rPr>
          <w:rFonts w:ascii="Century Gothic" w:hAnsi="Century Gothic" w:cs="Arial"/>
          <w:sz w:val="24"/>
          <w:szCs w:val="24"/>
          <w:shd w:val="clear" w:color="auto" w:fill="FFFFFF"/>
        </w:rPr>
        <w:t>, en la argumentación</w:t>
      </w:r>
      <w:r w:rsidR="00C6676B" w:rsidRPr="00DF714D">
        <w:rPr>
          <w:rFonts w:ascii="Century Gothic" w:hAnsi="Century Gothic" w:cs="Arial"/>
          <w:sz w:val="24"/>
          <w:szCs w:val="24"/>
          <w:shd w:val="clear" w:color="auto" w:fill="FFFFFF"/>
        </w:rPr>
        <w:t xml:space="preserve"> d</w:t>
      </w:r>
      <w:r w:rsidR="00C05ECC" w:rsidRPr="00DF714D">
        <w:rPr>
          <w:rFonts w:ascii="Century Gothic" w:hAnsi="Century Gothic" w:cs="Arial"/>
          <w:sz w:val="24"/>
          <w:szCs w:val="24"/>
          <w:shd w:val="clear" w:color="auto" w:fill="FFFFFF"/>
        </w:rPr>
        <w:t>el proyecto de acuerdo, se hace referencia a las distintas formas de captar la población indígena en México</w:t>
      </w:r>
      <w:r w:rsidR="003533DC" w:rsidRPr="00DF714D">
        <w:rPr>
          <w:rFonts w:ascii="Century Gothic" w:hAnsi="Century Gothic" w:cs="Arial"/>
          <w:sz w:val="24"/>
          <w:szCs w:val="24"/>
          <w:shd w:val="clear" w:color="auto" w:fill="FFFFFF"/>
        </w:rPr>
        <w:t>,</w:t>
      </w:r>
      <w:r w:rsidR="00C05ECC" w:rsidRPr="00DF714D">
        <w:rPr>
          <w:rFonts w:ascii="Century Gothic" w:hAnsi="Century Gothic" w:cs="Arial"/>
          <w:sz w:val="24"/>
          <w:szCs w:val="24"/>
          <w:shd w:val="clear" w:color="auto" w:fill="FFFFFF"/>
        </w:rPr>
        <w:t xml:space="preserve"> según</w:t>
      </w:r>
      <w:r w:rsidR="003533DC" w:rsidRPr="00DF714D">
        <w:rPr>
          <w:rFonts w:ascii="Century Gothic" w:hAnsi="Century Gothic" w:cs="Arial"/>
          <w:sz w:val="24"/>
          <w:szCs w:val="24"/>
          <w:shd w:val="clear" w:color="auto" w:fill="FFFFFF"/>
        </w:rPr>
        <w:t xml:space="preserve"> un </w:t>
      </w:r>
      <w:proofErr w:type="spellStart"/>
      <w:r w:rsidR="003533DC" w:rsidRPr="00DF714D">
        <w:rPr>
          <w:rFonts w:ascii="Century Gothic" w:hAnsi="Century Gothic" w:cs="Arial"/>
          <w:sz w:val="24"/>
          <w:szCs w:val="24"/>
          <w:shd w:val="clear" w:color="auto" w:fill="FFFFFF"/>
        </w:rPr>
        <w:t>doctrinista</w:t>
      </w:r>
      <w:proofErr w:type="spellEnd"/>
      <w:r w:rsidR="003533DC" w:rsidRPr="00DF714D">
        <w:rPr>
          <w:rFonts w:ascii="Century Gothic" w:hAnsi="Century Gothic" w:cs="Arial"/>
          <w:sz w:val="24"/>
          <w:szCs w:val="24"/>
          <w:shd w:val="clear" w:color="auto" w:fill="FFFFFF"/>
        </w:rPr>
        <w:t xml:space="preserve"> de no</w:t>
      </w:r>
      <w:r w:rsidR="00330353" w:rsidRPr="00DF714D">
        <w:rPr>
          <w:rFonts w:ascii="Century Gothic" w:hAnsi="Century Gothic" w:cs="Arial"/>
          <w:sz w:val="24"/>
          <w:szCs w:val="24"/>
          <w:shd w:val="clear" w:color="auto" w:fill="FFFFFF"/>
        </w:rPr>
        <w:t>mbre</w:t>
      </w:r>
      <w:r w:rsidR="00C05ECC" w:rsidRPr="00DF714D">
        <w:rPr>
          <w:rFonts w:ascii="Century Gothic" w:hAnsi="Century Gothic" w:cs="Arial"/>
          <w:sz w:val="24"/>
          <w:szCs w:val="24"/>
          <w:shd w:val="clear" w:color="auto" w:fill="FFFFFF"/>
        </w:rPr>
        <w:t xml:space="preserve"> </w:t>
      </w:r>
      <w:proofErr w:type="spellStart"/>
      <w:r w:rsidR="00C05ECC" w:rsidRPr="00DF714D">
        <w:rPr>
          <w:rFonts w:ascii="Century Gothic" w:hAnsi="Century Gothic" w:cs="Arial"/>
          <w:sz w:val="24"/>
          <w:szCs w:val="24"/>
          <w:lang w:val="es-ES"/>
        </w:rPr>
        <w:t>Sonnleitner</w:t>
      </w:r>
      <w:proofErr w:type="spellEnd"/>
      <w:r w:rsidR="00C05ECC" w:rsidRPr="00DF714D">
        <w:rPr>
          <w:rStyle w:val="Refdenotaalpie"/>
          <w:rFonts w:ascii="Century Gothic" w:hAnsi="Century Gothic" w:cs="Arial"/>
          <w:sz w:val="24"/>
          <w:szCs w:val="24"/>
          <w:lang w:val="es-ES"/>
        </w:rPr>
        <w:footnoteReference w:id="2"/>
      </w:r>
      <w:r w:rsidR="00C05ECC" w:rsidRPr="00DF714D">
        <w:rPr>
          <w:rFonts w:ascii="Century Gothic" w:hAnsi="Century Gothic" w:cs="Arial"/>
          <w:sz w:val="24"/>
          <w:szCs w:val="24"/>
          <w:lang w:val="es-ES"/>
        </w:rPr>
        <w:t>, quien cita las s</w:t>
      </w:r>
      <w:proofErr w:type="spellStart"/>
      <w:r w:rsidR="00C05ECC" w:rsidRPr="00DF714D">
        <w:rPr>
          <w:rFonts w:ascii="Century Gothic" w:hAnsi="Century Gothic" w:cs="Arial"/>
          <w:sz w:val="24"/>
          <w:szCs w:val="24"/>
          <w:shd w:val="clear" w:color="auto" w:fill="FFFFFF"/>
        </w:rPr>
        <w:t>iguientes</w:t>
      </w:r>
      <w:proofErr w:type="spellEnd"/>
      <w:r w:rsidR="00C05ECC" w:rsidRPr="00DF714D">
        <w:rPr>
          <w:rFonts w:ascii="Century Gothic" w:hAnsi="Century Gothic" w:cs="Arial"/>
          <w:sz w:val="24"/>
          <w:szCs w:val="24"/>
          <w:shd w:val="clear" w:color="auto" w:fill="FFFFFF"/>
        </w:rPr>
        <w:t>:</w:t>
      </w:r>
    </w:p>
    <w:p w14:paraId="5BE38B99" w14:textId="77777777"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p>
    <w:p w14:paraId="436F51CF" w14:textId="77777777" w:rsidR="00C05ECC" w:rsidRPr="00DF714D" w:rsidRDefault="00C05ECC" w:rsidP="00E963EE">
      <w:pPr>
        <w:spacing w:after="0" w:line="360" w:lineRule="auto"/>
        <w:ind w:left="1985" w:right="-518" w:hanging="567"/>
        <w:jc w:val="both"/>
        <w:rPr>
          <w:rFonts w:ascii="Century Gothic" w:hAnsi="Century Gothic" w:cs="Arial"/>
          <w:lang w:val="es-ES"/>
        </w:rPr>
      </w:pPr>
      <w:r w:rsidRPr="00DF714D">
        <w:rPr>
          <w:rFonts w:ascii="Century Gothic" w:hAnsi="Century Gothic" w:cs="Arial"/>
          <w:lang w:val="es-ES"/>
        </w:rPr>
        <w:t>1. Población total de hablantes de lenguas indígenas;</w:t>
      </w:r>
    </w:p>
    <w:p w14:paraId="20A25B40" w14:textId="77777777" w:rsidR="00C05ECC" w:rsidRPr="00DF714D" w:rsidRDefault="00C05ECC" w:rsidP="00E963EE">
      <w:pPr>
        <w:spacing w:after="0" w:line="360" w:lineRule="auto"/>
        <w:ind w:left="1985" w:right="-518" w:hanging="567"/>
        <w:jc w:val="both"/>
        <w:rPr>
          <w:rFonts w:ascii="Century Gothic" w:hAnsi="Century Gothic" w:cs="Arial"/>
          <w:lang w:val="es-ES"/>
        </w:rPr>
      </w:pPr>
      <w:r w:rsidRPr="00DF714D">
        <w:rPr>
          <w:rFonts w:ascii="Century Gothic" w:hAnsi="Century Gothic" w:cs="Arial"/>
          <w:lang w:val="es-ES"/>
        </w:rPr>
        <w:t xml:space="preserve">2. Población indígena en hogares indígenas; y </w:t>
      </w:r>
    </w:p>
    <w:p w14:paraId="0F93730E" w14:textId="77777777" w:rsidR="00C05ECC" w:rsidRPr="00DF714D" w:rsidRDefault="00C05ECC" w:rsidP="00E963EE">
      <w:pPr>
        <w:spacing w:after="0" w:line="360" w:lineRule="auto"/>
        <w:ind w:left="1985" w:right="-518" w:hanging="567"/>
        <w:jc w:val="both"/>
        <w:rPr>
          <w:rFonts w:ascii="Century Gothic" w:hAnsi="Century Gothic" w:cs="Arial"/>
          <w:lang w:val="es-ES"/>
        </w:rPr>
      </w:pPr>
      <w:r w:rsidRPr="00DF714D">
        <w:rPr>
          <w:rFonts w:ascii="Century Gothic" w:hAnsi="Century Gothic" w:cs="Arial"/>
          <w:lang w:val="es-ES"/>
        </w:rPr>
        <w:t xml:space="preserve">3. Población que se </w:t>
      </w:r>
      <w:proofErr w:type="spellStart"/>
      <w:r w:rsidRPr="00DF714D">
        <w:rPr>
          <w:rFonts w:ascii="Century Gothic" w:hAnsi="Century Gothic" w:cs="Arial"/>
          <w:lang w:val="es-ES"/>
        </w:rPr>
        <w:t>autoadscribe</w:t>
      </w:r>
      <w:proofErr w:type="spellEnd"/>
      <w:r w:rsidRPr="00DF714D">
        <w:rPr>
          <w:rFonts w:ascii="Century Gothic" w:hAnsi="Century Gothic" w:cs="Arial"/>
          <w:lang w:val="es-ES"/>
        </w:rPr>
        <w:t xml:space="preserve"> como indígena.</w:t>
      </w:r>
    </w:p>
    <w:p w14:paraId="26B19A88" w14:textId="77777777"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p>
    <w:p w14:paraId="068220F6" w14:textId="40BF36E8"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r w:rsidRPr="00DF714D">
        <w:rPr>
          <w:rFonts w:ascii="Century Gothic" w:hAnsi="Century Gothic" w:cs="Arial"/>
          <w:sz w:val="24"/>
          <w:szCs w:val="24"/>
          <w:shd w:val="clear" w:color="auto" w:fill="FFFFFF"/>
        </w:rPr>
        <w:t>Sin embargo, en consideración de las suscritas, el criterio fundamental para determinar si una persona es integrante o forma parte de</w:t>
      </w:r>
      <w:r w:rsidR="0021787C"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 xml:space="preserve">un pueblo o comunidad indígena consiste en el derecho a la </w:t>
      </w:r>
      <w:proofErr w:type="spellStart"/>
      <w:r w:rsidRPr="00DF714D">
        <w:rPr>
          <w:rFonts w:ascii="Century Gothic" w:hAnsi="Century Gothic" w:cs="Arial"/>
          <w:sz w:val="24"/>
          <w:szCs w:val="24"/>
          <w:shd w:val="clear" w:color="auto" w:fill="FFFFFF"/>
        </w:rPr>
        <w:t>autoadscripción</w:t>
      </w:r>
      <w:proofErr w:type="spellEnd"/>
      <w:r w:rsidRPr="00DF714D">
        <w:rPr>
          <w:rFonts w:ascii="Century Gothic" w:hAnsi="Century Gothic" w:cs="Arial"/>
          <w:sz w:val="24"/>
          <w:szCs w:val="24"/>
          <w:shd w:val="clear" w:color="auto" w:fill="FFFFFF"/>
        </w:rPr>
        <w:t>, es decir, la</w:t>
      </w:r>
      <w:r w:rsidR="00085C9E"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facultad de grupos e individuos de identificarse con alguno de los pueblos indígenas y así gozar</w:t>
      </w:r>
      <w:r w:rsidR="0021787C"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de los derechos que de esa pertenencia se derivan, lo que a su vez</w:t>
      </w:r>
      <w:r w:rsidR="0075383F" w:rsidRPr="00DF714D">
        <w:rPr>
          <w:rFonts w:ascii="Century Gothic" w:hAnsi="Century Gothic" w:cs="Arial"/>
          <w:sz w:val="24"/>
          <w:szCs w:val="24"/>
          <w:shd w:val="clear" w:color="auto" w:fill="FFFFFF"/>
        </w:rPr>
        <w:t>,</w:t>
      </w:r>
      <w:r w:rsidRPr="00DF714D">
        <w:rPr>
          <w:rFonts w:ascii="Century Gothic" w:hAnsi="Century Gothic" w:cs="Arial"/>
          <w:sz w:val="24"/>
          <w:szCs w:val="24"/>
          <w:shd w:val="clear" w:color="auto" w:fill="FFFFFF"/>
        </w:rPr>
        <w:t xml:space="preserve"> implica derechos o medidas</w:t>
      </w:r>
      <w:r w:rsidR="0021787C"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 xml:space="preserve">diferenciadas, </w:t>
      </w:r>
      <w:r w:rsidR="00074D17" w:rsidRPr="00DF714D">
        <w:rPr>
          <w:rFonts w:ascii="Century Gothic" w:hAnsi="Century Gothic" w:cs="Arial"/>
          <w:sz w:val="24"/>
          <w:szCs w:val="24"/>
          <w:shd w:val="clear" w:color="auto" w:fill="FFFFFF"/>
        </w:rPr>
        <w:t>esto</w:t>
      </w:r>
      <w:r w:rsidR="002F50C6"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 xml:space="preserve">tiene su base última en el reconocimiento </w:t>
      </w:r>
      <w:r w:rsidR="0079767C" w:rsidRPr="00DF714D">
        <w:rPr>
          <w:rFonts w:ascii="Century Gothic" w:hAnsi="Century Gothic" w:cs="Arial"/>
          <w:sz w:val="24"/>
          <w:szCs w:val="24"/>
          <w:shd w:val="clear" w:color="auto" w:fill="FFFFFF"/>
        </w:rPr>
        <w:t xml:space="preserve">y </w:t>
      </w:r>
      <w:r w:rsidRPr="00DF714D">
        <w:rPr>
          <w:rFonts w:ascii="Century Gothic" w:hAnsi="Century Gothic" w:cs="Arial"/>
          <w:sz w:val="24"/>
          <w:szCs w:val="24"/>
          <w:shd w:val="clear" w:color="auto" w:fill="FFFFFF"/>
        </w:rPr>
        <w:t>respeto de la dignidad de las</w:t>
      </w:r>
      <w:r w:rsidR="0021787C"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personas, pues el individuo mismo puede y debe definir su adjudicación étnico-cultural.</w:t>
      </w:r>
    </w:p>
    <w:p w14:paraId="3D71851F" w14:textId="77777777" w:rsidR="00171FE3" w:rsidRPr="00DF714D" w:rsidRDefault="00171FE3" w:rsidP="00E963EE">
      <w:pPr>
        <w:spacing w:after="0" w:line="360" w:lineRule="auto"/>
        <w:ind w:right="-518"/>
        <w:jc w:val="both"/>
        <w:rPr>
          <w:rFonts w:ascii="Century Gothic" w:hAnsi="Century Gothic" w:cs="Arial"/>
          <w:sz w:val="24"/>
          <w:szCs w:val="24"/>
          <w:shd w:val="clear" w:color="auto" w:fill="FFFFFF"/>
        </w:rPr>
      </w:pPr>
    </w:p>
    <w:p w14:paraId="6556C045" w14:textId="31E28541"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r w:rsidRPr="00DF714D">
        <w:rPr>
          <w:rFonts w:ascii="Century Gothic" w:hAnsi="Century Gothic" w:cs="Arial"/>
          <w:sz w:val="24"/>
          <w:szCs w:val="24"/>
          <w:shd w:val="clear" w:color="auto" w:fill="FFFFFF"/>
        </w:rPr>
        <w:t>El citado criterio, lo recoge la</w:t>
      </w:r>
      <w:r w:rsidR="0021787C"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Jurisprudencia 12/2013, de rubro: COMUNIDADES INDÍGENAS. EL CRITERIO DE AUTOADSCRIPCIÓN ES SUFICIENTE PARA RECONOCER A SUS INTEGRANTES</w:t>
      </w:r>
      <w:r w:rsidRPr="00DF714D">
        <w:rPr>
          <w:rStyle w:val="Refdenotaalpie"/>
          <w:rFonts w:ascii="Century Gothic" w:hAnsi="Century Gothic" w:cs="Arial"/>
          <w:sz w:val="24"/>
          <w:szCs w:val="24"/>
          <w:shd w:val="clear" w:color="auto" w:fill="FFFFFF"/>
        </w:rPr>
        <w:footnoteReference w:id="3"/>
      </w:r>
      <w:r w:rsidRPr="00DF714D">
        <w:rPr>
          <w:rFonts w:ascii="Century Gothic" w:hAnsi="Century Gothic" w:cs="Arial"/>
          <w:sz w:val="24"/>
          <w:szCs w:val="24"/>
          <w:shd w:val="clear" w:color="auto" w:fill="FFFFFF"/>
        </w:rPr>
        <w:t>.</w:t>
      </w:r>
    </w:p>
    <w:p w14:paraId="4C1AF494" w14:textId="77777777"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p>
    <w:p w14:paraId="41259F9E" w14:textId="492A5BA7"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r w:rsidRPr="00DF714D">
        <w:rPr>
          <w:rFonts w:ascii="Century Gothic" w:hAnsi="Century Gothic" w:cs="Arial"/>
          <w:sz w:val="24"/>
          <w:szCs w:val="24"/>
          <w:shd w:val="clear" w:color="auto" w:fill="FFFFFF"/>
        </w:rPr>
        <w:lastRenderedPageBreak/>
        <w:t xml:space="preserve">En ese sentido, la función de la </w:t>
      </w:r>
      <w:proofErr w:type="spellStart"/>
      <w:r w:rsidRPr="00DF714D">
        <w:rPr>
          <w:rFonts w:ascii="Century Gothic" w:hAnsi="Century Gothic" w:cs="Arial"/>
          <w:sz w:val="24"/>
          <w:szCs w:val="24"/>
          <w:shd w:val="clear" w:color="auto" w:fill="FFFFFF"/>
        </w:rPr>
        <w:t>autoadscripción</w:t>
      </w:r>
      <w:proofErr w:type="spellEnd"/>
      <w:r w:rsidRPr="00DF714D">
        <w:rPr>
          <w:rFonts w:ascii="Century Gothic" w:hAnsi="Century Gothic" w:cs="Arial"/>
          <w:sz w:val="24"/>
          <w:szCs w:val="24"/>
          <w:shd w:val="clear" w:color="auto" w:fill="FFFFFF"/>
        </w:rPr>
        <w:t xml:space="preserve"> es de especial relevancia, pues</w:t>
      </w:r>
      <w:r w:rsidR="00B267F1" w:rsidRPr="00DF714D">
        <w:rPr>
          <w:rFonts w:ascii="Century Gothic" w:hAnsi="Century Gothic" w:cs="Arial"/>
          <w:sz w:val="24"/>
          <w:szCs w:val="24"/>
          <w:shd w:val="clear" w:color="auto" w:fill="FFFFFF"/>
        </w:rPr>
        <w:t xml:space="preserve"> </w:t>
      </w:r>
      <w:r w:rsidRPr="00DF714D">
        <w:rPr>
          <w:rFonts w:ascii="Century Gothic" w:hAnsi="Century Gothic" w:cs="Arial"/>
          <w:sz w:val="24"/>
          <w:szCs w:val="24"/>
          <w:shd w:val="clear" w:color="auto" w:fill="FFFFFF"/>
        </w:rPr>
        <w:t>funge como medio para exigir los derechos de los pueblos y comunidades indígenas.</w:t>
      </w:r>
    </w:p>
    <w:p w14:paraId="5B693FAC" w14:textId="77777777" w:rsidR="00C05ECC" w:rsidRPr="00DF714D" w:rsidRDefault="00C05ECC" w:rsidP="00E963EE">
      <w:pPr>
        <w:spacing w:after="0" w:line="360" w:lineRule="auto"/>
        <w:ind w:right="-518"/>
        <w:jc w:val="both"/>
        <w:rPr>
          <w:rFonts w:ascii="Century Gothic" w:hAnsi="Century Gothic" w:cs="Arial"/>
          <w:sz w:val="24"/>
          <w:szCs w:val="24"/>
          <w:shd w:val="clear" w:color="auto" w:fill="FFFFFF"/>
        </w:rPr>
      </w:pPr>
    </w:p>
    <w:p w14:paraId="6FBC8A10" w14:textId="683187F7" w:rsidR="00C05ECC" w:rsidRPr="00DF714D" w:rsidRDefault="00C05ECC" w:rsidP="00E963EE">
      <w:pPr>
        <w:spacing w:after="0" w:line="360" w:lineRule="auto"/>
        <w:ind w:right="-518"/>
        <w:jc w:val="both"/>
        <w:rPr>
          <w:rFonts w:ascii="Century Gothic" w:hAnsi="Century Gothic"/>
          <w:sz w:val="24"/>
          <w:szCs w:val="24"/>
        </w:rPr>
      </w:pPr>
      <w:r w:rsidRPr="00DF714D">
        <w:rPr>
          <w:rFonts w:ascii="Century Gothic" w:hAnsi="Century Gothic" w:cs="Arial"/>
          <w:sz w:val="24"/>
          <w:szCs w:val="24"/>
          <w:shd w:val="clear" w:color="auto" w:fill="FFFFFF"/>
        </w:rPr>
        <w:t xml:space="preserve">En efecto, de los </w:t>
      </w:r>
      <w:r w:rsidRPr="00DF714D">
        <w:rPr>
          <w:rFonts w:ascii="Century Gothic" w:hAnsi="Century Gothic"/>
          <w:sz w:val="24"/>
          <w:szCs w:val="24"/>
        </w:rPr>
        <w:t xml:space="preserve">artículos 3, 4, 9 y 32 de la Declaración de las Naciones Unidas sobre los Derechos de los Pueblos Indígenas, se desprende </w:t>
      </w:r>
      <w:r w:rsidR="00156ECD" w:rsidRPr="00DF714D">
        <w:rPr>
          <w:rFonts w:ascii="Century Gothic" w:hAnsi="Century Gothic"/>
          <w:sz w:val="24"/>
          <w:szCs w:val="24"/>
        </w:rPr>
        <w:t>que,</w:t>
      </w:r>
      <w:r w:rsidRPr="00DF714D">
        <w:rPr>
          <w:rFonts w:ascii="Century Gothic" w:hAnsi="Century Gothic"/>
          <w:sz w:val="24"/>
          <w:szCs w:val="24"/>
        </w:rPr>
        <w:t xml:space="preserve"> para el ejercicio del derecho de libre determinación, dichos pueblos tienen el derecho colectivo e individual a mantener y desarrollar sus propias características e identidades, comprendido el derecho a identificarse a sí mismos como indígenas y a ser reconocidos como tales. </w:t>
      </w:r>
    </w:p>
    <w:p w14:paraId="2F098D30" w14:textId="77777777" w:rsidR="00C05ECC" w:rsidRPr="00DF714D" w:rsidRDefault="00C05ECC" w:rsidP="00E963EE">
      <w:pPr>
        <w:spacing w:after="0" w:line="360" w:lineRule="auto"/>
        <w:ind w:right="-518"/>
        <w:jc w:val="both"/>
        <w:rPr>
          <w:rFonts w:ascii="Century Gothic" w:hAnsi="Century Gothic"/>
          <w:sz w:val="24"/>
          <w:szCs w:val="24"/>
        </w:rPr>
      </w:pPr>
    </w:p>
    <w:p w14:paraId="1C7A2A34" w14:textId="77777777" w:rsidR="00C05ECC" w:rsidRPr="00DF714D" w:rsidRDefault="00C05ECC" w:rsidP="00E963EE">
      <w:pPr>
        <w:spacing w:after="0" w:line="360" w:lineRule="auto"/>
        <w:ind w:right="-518"/>
        <w:jc w:val="both"/>
        <w:rPr>
          <w:rFonts w:ascii="Century Gothic" w:hAnsi="Century Gothic"/>
          <w:sz w:val="24"/>
          <w:szCs w:val="24"/>
        </w:rPr>
      </w:pPr>
      <w:r w:rsidRPr="00DF714D">
        <w:rPr>
          <w:rFonts w:ascii="Century Gothic" w:hAnsi="Century Gothic"/>
          <w:sz w:val="24"/>
          <w:szCs w:val="24"/>
        </w:rPr>
        <w:t>De este derecho fundamental a la libre determinación se desprenden dos derechos centrales: </w:t>
      </w:r>
    </w:p>
    <w:p w14:paraId="475C5F56" w14:textId="77777777" w:rsidR="00A204CF" w:rsidRPr="00DF714D" w:rsidRDefault="00A204CF" w:rsidP="00E963EE">
      <w:pPr>
        <w:spacing w:after="0" w:line="360" w:lineRule="auto"/>
        <w:ind w:right="-518"/>
        <w:jc w:val="both"/>
        <w:rPr>
          <w:rFonts w:ascii="Century Gothic" w:hAnsi="Century Gothic"/>
          <w:sz w:val="24"/>
          <w:szCs w:val="24"/>
        </w:rPr>
      </w:pPr>
    </w:p>
    <w:p w14:paraId="627DA1AB"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r w:rsidRPr="00DF714D">
        <w:rPr>
          <w:rFonts w:ascii="Century Gothic" w:hAnsi="Century Gothic"/>
          <w:b/>
          <w:bCs/>
        </w:rPr>
        <w:t>1.</w:t>
      </w:r>
      <w:r w:rsidRPr="00DF714D">
        <w:rPr>
          <w:rFonts w:ascii="Century Gothic" w:hAnsi="Century Gothic"/>
        </w:rPr>
        <w:t xml:space="preserve"> El reconocimiento de los sistemas normativos de los pueblos indígenas, sus instituciones y autoridades propias, así como el correspondiente ejercicio de la jurisdicción por parte de las autoridades indígenas, tal y como se reconoce en el artículo 2o, apartado A, fracciones II y III de nuestra Carta Magna; y,</w:t>
      </w:r>
    </w:p>
    <w:p w14:paraId="08B0026E"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r w:rsidRPr="00DF714D">
        <w:rPr>
          <w:rFonts w:ascii="Century Gothic" w:hAnsi="Century Gothic"/>
        </w:rPr>
        <w:t> </w:t>
      </w:r>
    </w:p>
    <w:p w14:paraId="6359D940"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r w:rsidRPr="00DF714D">
        <w:rPr>
          <w:rFonts w:ascii="Century Gothic" w:hAnsi="Century Gothic"/>
          <w:b/>
          <w:bCs/>
        </w:rPr>
        <w:t>2.</w:t>
      </w:r>
      <w:r w:rsidRPr="00DF714D">
        <w:rPr>
          <w:rFonts w:ascii="Century Gothic" w:hAnsi="Century Gothic"/>
        </w:rPr>
        <w:t xml:space="preserve"> El derecho fundamental de que las personas o las comunidades se </w:t>
      </w:r>
      <w:proofErr w:type="spellStart"/>
      <w:r w:rsidRPr="00DF714D">
        <w:rPr>
          <w:rFonts w:ascii="Century Gothic" w:hAnsi="Century Gothic"/>
        </w:rPr>
        <w:t>autoadscriban</w:t>
      </w:r>
      <w:proofErr w:type="spellEnd"/>
      <w:r w:rsidRPr="00DF714D">
        <w:rPr>
          <w:rFonts w:ascii="Century Gothic" w:hAnsi="Century Gothic"/>
        </w:rPr>
        <w:t xml:space="preserve"> como miembros de pueblos indígenas, lo cual entraña consecuencias jurídicas sumamente importantes para el efectivo acceso a la justicia para los indígenas (artículo 2o, tercer párrafo y apartado A, fracción VIII, de la Constitución Federal). </w:t>
      </w:r>
    </w:p>
    <w:p w14:paraId="08F05B4C"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p>
    <w:p w14:paraId="07EB2D6F"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En ese sentido, la </w:t>
      </w:r>
      <w:proofErr w:type="spellStart"/>
      <w:r w:rsidRPr="00DF714D">
        <w:rPr>
          <w:rFonts w:ascii="Century Gothic" w:hAnsi="Century Gothic"/>
        </w:rPr>
        <w:t>autoadscripción</w:t>
      </w:r>
      <w:proofErr w:type="spellEnd"/>
      <w:r w:rsidRPr="00DF714D">
        <w:rPr>
          <w:rFonts w:ascii="Century Gothic" w:hAnsi="Century Gothic"/>
        </w:rPr>
        <w:t xml:space="preserve"> es la declaración de voluntad de personas (individual) o comunidades (colectiva) que, teniendo un vínculo cultural, </w:t>
      </w:r>
      <w:r w:rsidRPr="00DF714D">
        <w:rPr>
          <w:rFonts w:ascii="Century Gothic" w:hAnsi="Century Gothic"/>
        </w:rPr>
        <w:lastRenderedPageBreak/>
        <w:t>histórico, político, lingüístico o de otro tipo, deciden identificarse como miembros de un pueblo indígena y que se identifica como tal.</w:t>
      </w:r>
    </w:p>
    <w:p w14:paraId="643A9EFD"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p>
    <w:p w14:paraId="37F23B6F"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En otras palabras, es un derecho fundamental consistente en el reconocimiento que realiza una persona en el sentido de pertenecer a un pueblo o comunidad indígena, con base en sus propias concepciones.</w:t>
      </w:r>
    </w:p>
    <w:p w14:paraId="62DEDDE6"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p>
    <w:p w14:paraId="1AF3B2D3" w14:textId="492F0120"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Así, el ejercicio de </w:t>
      </w:r>
      <w:r w:rsidR="004346EE" w:rsidRPr="00DF714D">
        <w:rPr>
          <w:rFonts w:ascii="Century Gothic" w:hAnsi="Century Gothic"/>
        </w:rPr>
        <w:t>este</w:t>
      </w:r>
      <w:r w:rsidRPr="00DF714D">
        <w:rPr>
          <w:rFonts w:ascii="Century Gothic" w:hAnsi="Century Gothic"/>
        </w:rPr>
        <w:t xml:space="preserve"> derecho trae aparejada una serie de derechos y obligaciones del Estado hacia el individuo o colectividad, del pueblo indígena hacia sus miembros y también de las personas hacia su pueblo.</w:t>
      </w:r>
    </w:p>
    <w:p w14:paraId="121FFC35"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rPr>
      </w:pPr>
    </w:p>
    <w:p w14:paraId="701B2F87" w14:textId="3214D11A"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Por ende, la conciencia de identidad indígena de sus </w:t>
      </w:r>
      <w:r w:rsidR="00B267F1" w:rsidRPr="00DF714D">
        <w:rPr>
          <w:rFonts w:ascii="Century Gothic" w:hAnsi="Century Gothic"/>
        </w:rPr>
        <w:t>habitantes</w:t>
      </w:r>
      <w:r w:rsidRPr="00DF714D">
        <w:rPr>
          <w:rFonts w:ascii="Century Gothic" w:hAnsi="Century Gothic"/>
        </w:rPr>
        <w:t xml:space="preserve"> sería válida </w:t>
      </w:r>
      <w:r w:rsidR="004346EE" w:rsidRPr="00DF714D">
        <w:rPr>
          <w:rFonts w:ascii="Century Gothic" w:hAnsi="Century Gothic"/>
        </w:rPr>
        <w:t>y suficiente</w:t>
      </w:r>
      <w:r w:rsidRPr="00DF714D">
        <w:rPr>
          <w:rFonts w:ascii="Century Gothic" w:hAnsi="Century Gothic"/>
        </w:rPr>
        <w:t xml:space="preserve">, para determinar, si en el caso, la localidad de Chacala es una comunidad indígena. </w:t>
      </w:r>
    </w:p>
    <w:p w14:paraId="7FBF9B8E" w14:textId="77777777" w:rsidR="00485E99" w:rsidRPr="00DF714D" w:rsidRDefault="00485E99" w:rsidP="00E963EE">
      <w:pPr>
        <w:pStyle w:val="NormalWeb"/>
        <w:spacing w:before="0" w:beforeAutospacing="0" w:after="0" w:afterAutospacing="0" w:line="360" w:lineRule="auto"/>
        <w:ind w:right="-518"/>
        <w:jc w:val="both"/>
        <w:rPr>
          <w:rFonts w:ascii="Century Gothic" w:hAnsi="Century Gothic"/>
        </w:rPr>
      </w:pPr>
    </w:p>
    <w:p w14:paraId="1A5B98A5" w14:textId="599984C3" w:rsidR="00485E99" w:rsidRPr="00DF714D" w:rsidRDefault="00485E99" w:rsidP="00E963EE">
      <w:pPr>
        <w:spacing w:after="0" w:line="360" w:lineRule="auto"/>
        <w:ind w:right="-518"/>
        <w:jc w:val="both"/>
        <w:rPr>
          <w:rStyle w:val="ui-provider"/>
          <w:rFonts w:ascii="Century Gothic" w:hAnsi="Century Gothic"/>
        </w:rPr>
      </w:pPr>
      <w:r w:rsidRPr="00DF714D">
        <w:rPr>
          <w:rFonts w:ascii="Century Gothic" w:hAnsi="Century Gothic" w:cs="Arial"/>
          <w:sz w:val="24"/>
          <w:szCs w:val="24"/>
          <w:shd w:val="clear" w:color="auto" w:fill="FFFFFF"/>
        </w:rPr>
        <w:t xml:space="preserve">Aunado a ello, de conformidad con lo dispuesto por el </w:t>
      </w:r>
      <w:r w:rsidRPr="00DF714D">
        <w:rPr>
          <w:rStyle w:val="ui-provider"/>
          <w:rFonts w:ascii="Century Gothic" w:hAnsi="Century Gothic"/>
        </w:rPr>
        <w:t>Instituto Nacional de Información Estadística</w:t>
      </w:r>
      <w:r w:rsidR="00714D0D" w:rsidRPr="00DF714D">
        <w:rPr>
          <w:rStyle w:val="ui-provider"/>
          <w:rFonts w:ascii="Century Gothic" w:hAnsi="Century Gothic"/>
        </w:rPr>
        <w:t>,</w:t>
      </w:r>
      <w:r w:rsidRPr="00DF714D">
        <w:rPr>
          <w:rStyle w:val="ui-provider"/>
          <w:rFonts w:ascii="Century Gothic" w:hAnsi="Century Gothic"/>
        </w:rPr>
        <w:t xml:space="preserve"> Geografía</w:t>
      </w:r>
      <w:r w:rsidR="00714D0D" w:rsidRPr="00DF714D">
        <w:rPr>
          <w:rStyle w:val="ui-provider"/>
          <w:rFonts w:ascii="Century Gothic" w:hAnsi="Century Gothic"/>
        </w:rPr>
        <w:t xml:space="preserve"> e Informática</w:t>
      </w:r>
      <w:r w:rsidRPr="00DF714D">
        <w:rPr>
          <w:rStyle w:val="ui-provider"/>
          <w:rFonts w:ascii="Century Gothic" w:hAnsi="Century Gothic"/>
        </w:rPr>
        <w:t xml:space="preserve"> (INEGI), en la Síntesis metodológica y conceptual del Censo de Población y Vivienda 2020:</w:t>
      </w:r>
    </w:p>
    <w:p w14:paraId="46FBB3F4" w14:textId="77777777" w:rsidR="00485E99" w:rsidRPr="00DF714D" w:rsidRDefault="00485E99" w:rsidP="00E963EE">
      <w:pPr>
        <w:spacing w:after="0" w:line="360" w:lineRule="auto"/>
        <w:ind w:right="-518"/>
        <w:jc w:val="both"/>
        <w:rPr>
          <w:rStyle w:val="ui-provider"/>
          <w:rFonts w:ascii="Century Gothic" w:hAnsi="Century Gothic"/>
        </w:rPr>
      </w:pPr>
    </w:p>
    <w:p w14:paraId="41337274" w14:textId="77777777" w:rsidR="00485E99" w:rsidRPr="00DF714D" w:rsidRDefault="00485E99" w:rsidP="00E963EE">
      <w:pPr>
        <w:spacing w:after="0" w:line="360" w:lineRule="auto"/>
        <w:ind w:left="284" w:right="-518"/>
        <w:jc w:val="both"/>
        <w:rPr>
          <w:rStyle w:val="ui-provider"/>
          <w:rFonts w:ascii="Century Gothic" w:hAnsi="Century Gothic"/>
          <w:i/>
          <w:iCs/>
        </w:rPr>
      </w:pPr>
      <w:r w:rsidRPr="00DF714D">
        <w:rPr>
          <w:rFonts w:ascii="Century Gothic" w:hAnsi="Century Gothic" w:cs="Arial"/>
          <w:i/>
          <w:iCs/>
          <w:shd w:val="clear" w:color="auto" w:fill="FFFFFF"/>
        </w:rPr>
        <w:t xml:space="preserve">“En </w:t>
      </w:r>
      <w:r w:rsidRPr="00DF714D">
        <w:rPr>
          <w:rStyle w:val="ui-provider"/>
          <w:rFonts w:ascii="Century Gothic" w:hAnsi="Century Gothic"/>
          <w:i/>
          <w:iCs/>
        </w:rPr>
        <w:t>México, para identificar a la población indígena se utilizan dos criterios, uno de ellos es el criterio lingüístico, que considera indígenas a las personas que hablan alguna lengua indígena. Sin embargo, debido al abandono del habla de las lenguas indígenas, también se identifica a la población indígena con el criterio de autorreconocimiento, a través de una pregunta que indaga si la persona se considera o no indígena.</w:t>
      </w:r>
    </w:p>
    <w:p w14:paraId="6DBAABAC" w14:textId="77777777" w:rsidR="00485E99" w:rsidRPr="00DF714D" w:rsidRDefault="00485E99" w:rsidP="00E963EE">
      <w:pPr>
        <w:spacing w:after="0" w:line="360" w:lineRule="auto"/>
        <w:ind w:left="284" w:right="-518"/>
        <w:jc w:val="both"/>
        <w:rPr>
          <w:rStyle w:val="ui-provider"/>
          <w:rFonts w:ascii="Century Gothic" w:hAnsi="Century Gothic"/>
        </w:rPr>
      </w:pPr>
    </w:p>
    <w:p w14:paraId="2D58D607" w14:textId="77777777" w:rsidR="00485E99" w:rsidRPr="00DF714D" w:rsidRDefault="00485E99" w:rsidP="00E963EE">
      <w:pPr>
        <w:spacing w:after="0" w:line="360" w:lineRule="auto"/>
        <w:ind w:left="284" w:right="-518"/>
        <w:jc w:val="both"/>
        <w:rPr>
          <w:rFonts w:ascii="Century Gothic" w:hAnsi="Century Gothic"/>
          <w:i/>
          <w:iCs/>
        </w:rPr>
      </w:pPr>
      <w:r w:rsidRPr="00DF714D">
        <w:rPr>
          <w:rStyle w:val="ui-provider"/>
          <w:rFonts w:ascii="Century Gothic" w:hAnsi="Century Gothic"/>
          <w:i/>
          <w:iCs/>
        </w:rPr>
        <w:t xml:space="preserve">En el Censo 2020, para obtener información sobre la población indígena con el criterio lingüístico, en el Cuestionario Básico se incluyen las preguntas Lengua indígena, Nombre de la lengua indígena y Habla español; y en el Cuestionario </w:t>
      </w:r>
      <w:r w:rsidRPr="00DF714D">
        <w:rPr>
          <w:rStyle w:val="ui-provider"/>
          <w:rFonts w:ascii="Century Gothic" w:hAnsi="Century Gothic"/>
          <w:i/>
          <w:iCs/>
        </w:rPr>
        <w:lastRenderedPageBreak/>
        <w:t xml:space="preserve">Ampliado, además de las ya mencionadas, se incorporan las preguntas Comprensión de lengua indígena y </w:t>
      </w:r>
      <w:proofErr w:type="spellStart"/>
      <w:r w:rsidRPr="00DF714D">
        <w:rPr>
          <w:rStyle w:val="ui-provider"/>
          <w:rFonts w:ascii="Century Gothic" w:hAnsi="Century Gothic"/>
          <w:i/>
          <w:iCs/>
        </w:rPr>
        <w:t>Autoadscripción</w:t>
      </w:r>
      <w:proofErr w:type="spellEnd"/>
      <w:r w:rsidRPr="00DF714D">
        <w:rPr>
          <w:rStyle w:val="ui-provider"/>
          <w:rFonts w:ascii="Century Gothic" w:hAnsi="Century Gothic"/>
          <w:i/>
          <w:iCs/>
        </w:rPr>
        <w:t xml:space="preserve"> indígena, esta última con el criterio de autorreconocimiento. Es decir, se obtienen datos de la población que no habla alguna lengua indígena, pero se reconoce como tal. Estas preguntas se aplican para la población de 3 años y más de edad.”</w:t>
      </w:r>
      <w:r w:rsidRPr="00DF714D">
        <w:rPr>
          <w:rStyle w:val="Refdenotaalpie"/>
          <w:rFonts w:ascii="Century Gothic" w:hAnsi="Century Gothic"/>
          <w:i/>
          <w:iCs/>
        </w:rPr>
        <w:t xml:space="preserve"> </w:t>
      </w:r>
      <w:r w:rsidRPr="00DF714D">
        <w:rPr>
          <w:rStyle w:val="Refdenotaalpie"/>
          <w:rFonts w:ascii="Century Gothic" w:hAnsi="Century Gothic"/>
          <w:i/>
          <w:iCs/>
        </w:rPr>
        <w:footnoteReference w:id="4"/>
      </w:r>
    </w:p>
    <w:p w14:paraId="75BACD1C" w14:textId="77777777" w:rsidR="00485E99" w:rsidRPr="00DF714D" w:rsidRDefault="00485E99" w:rsidP="00E963EE">
      <w:pPr>
        <w:pStyle w:val="NormalWeb"/>
        <w:spacing w:before="0" w:beforeAutospacing="0" w:after="0" w:afterAutospacing="0" w:line="360" w:lineRule="auto"/>
        <w:ind w:right="-518"/>
        <w:jc w:val="both"/>
        <w:rPr>
          <w:rFonts w:ascii="Century Gothic" w:hAnsi="Century Gothic"/>
        </w:rPr>
      </w:pPr>
    </w:p>
    <w:p w14:paraId="71B12BA3" w14:textId="5D8DA90D" w:rsidR="001A16D2" w:rsidRPr="00DF714D" w:rsidRDefault="0050713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Lo anterior cobra relevancia, dado que los </w:t>
      </w:r>
      <w:r w:rsidR="008D7EB3" w:rsidRPr="00DF714D">
        <w:rPr>
          <w:rFonts w:ascii="Century Gothic" w:hAnsi="Century Gothic"/>
        </w:rPr>
        <w:t>resultados d</w:t>
      </w:r>
      <w:r w:rsidRPr="00DF714D">
        <w:rPr>
          <w:rFonts w:ascii="Century Gothic" w:hAnsi="Century Gothic"/>
        </w:rPr>
        <w:t xml:space="preserve">el Censo de Población y Vivienda 2020 del INEGI son </w:t>
      </w:r>
      <w:r w:rsidR="001633D8" w:rsidRPr="00DF714D">
        <w:rPr>
          <w:rFonts w:ascii="Century Gothic" w:hAnsi="Century Gothic"/>
        </w:rPr>
        <w:t xml:space="preserve">los datos duros que nos permiten a las autoridades tomar decisiones </w:t>
      </w:r>
      <w:r w:rsidR="0064105E" w:rsidRPr="00DF714D">
        <w:rPr>
          <w:rFonts w:ascii="Century Gothic" w:hAnsi="Century Gothic"/>
        </w:rPr>
        <w:t xml:space="preserve">objetivas. Los insumos que derivan de esas fuentes han sido </w:t>
      </w:r>
      <w:r w:rsidR="0052104A" w:rsidRPr="00DF714D">
        <w:rPr>
          <w:rFonts w:ascii="Century Gothic" w:hAnsi="Century Gothic"/>
        </w:rPr>
        <w:t xml:space="preserve">utilizados en la toma de decisiones y en el análisis de asuntos </w:t>
      </w:r>
      <w:r w:rsidR="007C3D4C" w:rsidRPr="00DF714D">
        <w:rPr>
          <w:rFonts w:ascii="Century Gothic" w:hAnsi="Century Gothic"/>
        </w:rPr>
        <w:t xml:space="preserve">institucionales de este Consejo General, como es el caso de las acciones afirmativas implementadas en materia indígena en las elecciones de 2021, </w:t>
      </w:r>
      <w:r w:rsidR="00D576E4" w:rsidRPr="00DF714D">
        <w:rPr>
          <w:rFonts w:ascii="Century Gothic" w:hAnsi="Century Gothic"/>
        </w:rPr>
        <w:t xml:space="preserve">en las determinaciones de la consulta previa, libre e informada que se realizó a personas, pueblos y comunidades indígenas </w:t>
      </w:r>
      <w:r w:rsidR="006A283A" w:rsidRPr="00DF714D">
        <w:rPr>
          <w:rFonts w:ascii="Century Gothic" w:hAnsi="Century Gothic"/>
        </w:rPr>
        <w:t xml:space="preserve">en Jalisco como parte del Plan Ejecutivo para </w:t>
      </w:r>
      <w:r w:rsidR="00A54518" w:rsidRPr="00DF714D">
        <w:rPr>
          <w:rFonts w:ascii="Century Gothic" w:hAnsi="Century Gothic"/>
        </w:rPr>
        <w:t>emisión de acciones afirmativas a favor de este grupo en el Proceso Electoral 2023-2024</w:t>
      </w:r>
      <w:r w:rsidR="00571649" w:rsidRPr="00DF714D">
        <w:rPr>
          <w:rFonts w:ascii="Century Gothic" w:hAnsi="Century Gothic"/>
        </w:rPr>
        <w:t xml:space="preserve"> y la proyección de los lineamientos que las contengan, entre otros</w:t>
      </w:r>
      <w:r w:rsidR="009C0A22" w:rsidRPr="00DF714D">
        <w:rPr>
          <w:rFonts w:ascii="Century Gothic" w:hAnsi="Century Gothic"/>
        </w:rPr>
        <w:t xml:space="preserve">. En los cuales se ha tomado en consideración la variable </w:t>
      </w:r>
      <w:proofErr w:type="spellStart"/>
      <w:r w:rsidR="009C0A22" w:rsidRPr="00DF714D">
        <w:rPr>
          <w:rFonts w:ascii="Century Gothic" w:hAnsi="Century Gothic"/>
        </w:rPr>
        <w:t>autoadscripción</w:t>
      </w:r>
      <w:proofErr w:type="spellEnd"/>
      <w:r w:rsidR="00907759" w:rsidRPr="00DF714D">
        <w:rPr>
          <w:rFonts w:ascii="Century Gothic" w:hAnsi="Century Gothic"/>
        </w:rPr>
        <w:t>,</w:t>
      </w:r>
      <w:r w:rsidR="009C0A22" w:rsidRPr="00DF714D">
        <w:rPr>
          <w:rFonts w:ascii="Century Gothic" w:hAnsi="Century Gothic"/>
        </w:rPr>
        <w:t xml:space="preserve"> </w:t>
      </w:r>
      <w:r w:rsidR="00907759" w:rsidRPr="00DF714D">
        <w:rPr>
          <w:rFonts w:ascii="Century Gothic" w:hAnsi="Century Gothic"/>
        </w:rPr>
        <w:t xml:space="preserve">la cual arroja </w:t>
      </w:r>
      <w:r w:rsidR="00BE7E27" w:rsidRPr="00DF714D">
        <w:rPr>
          <w:rFonts w:ascii="Century Gothic" w:hAnsi="Century Gothic"/>
        </w:rPr>
        <w:t>que</w:t>
      </w:r>
      <w:r w:rsidR="00907759" w:rsidRPr="00DF714D">
        <w:rPr>
          <w:rFonts w:ascii="Century Gothic" w:hAnsi="Century Gothic"/>
        </w:rPr>
        <w:t>,</w:t>
      </w:r>
      <w:r w:rsidR="00BE7E27" w:rsidRPr="00DF714D">
        <w:rPr>
          <w:rFonts w:ascii="Century Gothic" w:hAnsi="Century Gothic"/>
        </w:rPr>
        <w:t xml:space="preserve"> en Jalisco más del 7% de la población</w:t>
      </w:r>
      <w:r w:rsidR="00907759" w:rsidRPr="00DF714D">
        <w:rPr>
          <w:rFonts w:ascii="Century Gothic" w:hAnsi="Century Gothic"/>
        </w:rPr>
        <w:t xml:space="preserve"> de 3 años y más se </w:t>
      </w:r>
      <w:proofErr w:type="spellStart"/>
      <w:r w:rsidR="00907759" w:rsidRPr="00DF714D">
        <w:rPr>
          <w:rFonts w:ascii="Century Gothic" w:hAnsi="Century Gothic"/>
        </w:rPr>
        <w:t>autorreconoce</w:t>
      </w:r>
      <w:proofErr w:type="spellEnd"/>
      <w:r w:rsidR="00907759" w:rsidRPr="00DF714D">
        <w:rPr>
          <w:rFonts w:ascii="Century Gothic" w:hAnsi="Century Gothic"/>
        </w:rPr>
        <w:t xml:space="preserve"> como indígena, en contraposición con las personas hablantes de lengua indígena que, </w:t>
      </w:r>
      <w:r w:rsidR="00FC26BA" w:rsidRPr="00DF714D">
        <w:rPr>
          <w:rFonts w:ascii="Century Gothic" w:hAnsi="Century Gothic"/>
        </w:rPr>
        <w:t xml:space="preserve">no alcanza el 1%, fenómeno asociado al abandono de las lenguas indígenas. </w:t>
      </w:r>
    </w:p>
    <w:p w14:paraId="5DFB49AC" w14:textId="77777777" w:rsidR="00C05ECC" w:rsidRPr="00DF714D" w:rsidRDefault="00C05ECC" w:rsidP="00E963EE">
      <w:pPr>
        <w:pStyle w:val="NormalWeb"/>
        <w:spacing w:before="0" w:beforeAutospacing="0" w:after="0" w:afterAutospacing="0" w:line="360" w:lineRule="auto"/>
        <w:ind w:right="-518" w:firstLine="708"/>
        <w:jc w:val="both"/>
        <w:rPr>
          <w:rFonts w:ascii="Century Gothic" w:hAnsi="Century Gothic"/>
          <w:b/>
          <w:bCs/>
        </w:rPr>
      </w:pPr>
    </w:p>
    <w:p w14:paraId="0681B23F"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Por otra parte, en el apartado de la conclusión a la que se arriba en el proyecto de acuerdo, se citan diversas cantidades (habitantes, porcentajes), en los términos siguientes: </w:t>
      </w:r>
    </w:p>
    <w:p w14:paraId="389FD81B"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p>
    <w:p w14:paraId="0ECD02AF" w14:textId="77777777" w:rsidR="00C05ECC" w:rsidRPr="00DF714D" w:rsidRDefault="00C05ECC" w:rsidP="00E963EE">
      <w:pPr>
        <w:pStyle w:val="Prrafodelista"/>
        <w:numPr>
          <w:ilvl w:val="0"/>
          <w:numId w:val="1"/>
        </w:numPr>
        <w:spacing w:line="276" w:lineRule="auto"/>
        <w:ind w:left="993" w:right="-518" w:hanging="284"/>
        <w:jc w:val="both"/>
        <w:rPr>
          <w:rFonts w:ascii="Century Gothic" w:hAnsi="Century Gothic" w:cs="Arial"/>
          <w:sz w:val="20"/>
          <w:szCs w:val="20"/>
          <w:lang w:val="es-ES"/>
        </w:rPr>
      </w:pPr>
      <w:r w:rsidRPr="00DF714D">
        <w:rPr>
          <w:rFonts w:ascii="Century Gothic" w:hAnsi="Century Gothic" w:cs="Arial"/>
          <w:sz w:val="20"/>
          <w:szCs w:val="20"/>
          <w:lang w:val="es-ES"/>
        </w:rPr>
        <w:t>El municipio de Cabo Corrientes cuenta con una población de 10,940 habitantes.</w:t>
      </w:r>
    </w:p>
    <w:p w14:paraId="69ECA5C6" w14:textId="77777777" w:rsidR="00C05ECC" w:rsidRPr="00DF714D" w:rsidRDefault="00C05ECC" w:rsidP="00E963EE">
      <w:pPr>
        <w:pStyle w:val="Prrafodelista"/>
        <w:numPr>
          <w:ilvl w:val="0"/>
          <w:numId w:val="1"/>
        </w:numPr>
        <w:spacing w:line="276" w:lineRule="auto"/>
        <w:ind w:left="993" w:right="-518" w:hanging="284"/>
        <w:jc w:val="both"/>
        <w:rPr>
          <w:rFonts w:ascii="Century Gothic" w:hAnsi="Century Gothic" w:cs="Arial"/>
          <w:sz w:val="20"/>
          <w:szCs w:val="20"/>
          <w:lang w:val="es-ES"/>
        </w:rPr>
      </w:pPr>
      <w:r w:rsidRPr="00DF714D">
        <w:rPr>
          <w:rFonts w:ascii="Century Gothic" w:hAnsi="Century Gothic" w:cs="Arial"/>
          <w:sz w:val="20"/>
          <w:szCs w:val="20"/>
          <w:lang w:val="es-ES"/>
        </w:rPr>
        <w:t>La localidad de Chacala cuenta con 348 habitantes, lo que representa el 3.18% de la población del municipio de Cabo Corrientes.</w:t>
      </w:r>
    </w:p>
    <w:p w14:paraId="36A09198" w14:textId="77777777" w:rsidR="00C05ECC" w:rsidRPr="00DF714D" w:rsidRDefault="00C05ECC" w:rsidP="00E963EE">
      <w:pPr>
        <w:pStyle w:val="Prrafodelista"/>
        <w:numPr>
          <w:ilvl w:val="0"/>
          <w:numId w:val="1"/>
        </w:numPr>
        <w:spacing w:line="276" w:lineRule="auto"/>
        <w:ind w:left="993" w:right="-518" w:hanging="284"/>
        <w:jc w:val="both"/>
        <w:rPr>
          <w:rFonts w:ascii="Century Gothic" w:hAnsi="Century Gothic" w:cs="Arial"/>
          <w:sz w:val="20"/>
          <w:szCs w:val="20"/>
          <w:lang w:val="es-ES"/>
        </w:rPr>
      </w:pPr>
      <w:r w:rsidRPr="00DF714D">
        <w:rPr>
          <w:rFonts w:ascii="Century Gothic" w:hAnsi="Century Gothic" w:cs="Arial"/>
          <w:sz w:val="20"/>
          <w:szCs w:val="20"/>
          <w:lang w:val="es-ES"/>
        </w:rPr>
        <w:t xml:space="preserve">El municipio de Cabo Corrientes cuenta con 1,780 habitantes que se </w:t>
      </w:r>
      <w:proofErr w:type="spellStart"/>
      <w:r w:rsidRPr="00DF714D">
        <w:rPr>
          <w:rFonts w:ascii="Century Gothic" w:hAnsi="Century Gothic" w:cs="Arial"/>
          <w:sz w:val="20"/>
          <w:szCs w:val="20"/>
          <w:lang w:val="es-ES"/>
        </w:rPr>
        <w:t>autoadscriben</w:t>
      </w:r>
      <w:proofErr w:type="spellEnd"/>
      <w:r w:rsidRPr="00DF714D">
        <w:rPr>
          <w:rFonts w:ascii="Century Gothic" w:hAnsi="Century Gothic" w:cs="Arial"/>
          <w:sz w:val="20"/>
          <w:szCs w:val="20"/>
          <w:lang w:val="es-ES"/>
        </w:rPr>
        <w:t xml:space="preserve"> como indígenas, lo que representa el 16.27%</w:t>
      </w:r>
    </w:p>
    <w:p w14:paraId="48FE46F0" w14:textId="77777777" w:rsidR="00C05ECC" w:rsidRPr="00DF714D" w:rsidRDefault="00C05ECC" w:rsidP="00E963EE">
      <w:pPr>
        <w:pStyle w:val="Prrafodelista"/>
        <w:numPr>
          <w:ilvl w:val="0"/>
          <w:numId w:val="1"/>
        </w:numPr>
        <w:spacing w:line="276" w:lineRule="auto"/>
        <w:ind w:left="993" w:right="-518" w:hanging="284"/>
        <w:jc w:val="both"/>
        <w:rPr>
          <w:rFonts w:ascii="Century Gothic" w:hAnsi="Century Gothic" w:cs="Arial"/>
          <w:sz w:val="20"/>
          <w:szCs w:val="20"/>
          <w:lang w:val="es-ES"/>
        </w:rPr>
      </w:pPr>
      <w:r w:rsidRPr="00DF714D">
        <w:rPr>
          <w:rFonts w:ascii="Century Gothic" w:hAnsi="Century Gothic" w:cs="Arial"/>
          <w:b/>
          <w:bCs/>
          <w:sz w:val="20"/>
          <w:szCs w:val="20"/>
          <w:lang w:val="es-ES"/>
        </w:rPr>
        <w:t>Respecto a las variables “Población de 3 años y más que habla alguna lengua indígena” y “Población en hogares censales indígenas”,</w:t>
      </w:r>
      <w:r w:rsidRPr="00DF714D">
        <w:rPr>
          <w:rFonts w:ascii="Century Gothic" w:hAnsi="Century Gothic" w:cs="Arial"/>
          <w:sz w:val="20"/>
          <w:szCs w:val="20"/>
          <w:lang w:val="es-ES"/>
        </w:rPr>
        <w:t xml:space="preserve"> </w:t>
      </w:r>
      <w:r w:rsidRPr="00DF714D">
        <w:rPr>
          <w:rFonts w:ascii="Century Gothic" w:hAnsi="Century Gothic" w:cs="Arial"/>
          <w:b/>
          <w:bCs/>
          <w:sz w:val="20"/>
          <w:szCs w:val="20"/>
          <w:u w:val="single"/>
          <w:lang w:val="es-ES"/>
        </w:rPr>
        <w:t>la localidad de Chacala presenta un valor de 0 (cero)</w:t>
      </w:r>
      <w:r w:rsidRPr="00DF714D">
        <w:rPr>
          <w:rFonts w:ascii="Century Gothic" w:hAnsi="Century Gothic" w:cs="Arial"/>
          <w:sz w:val="20"/>
          <w:szCs w:val="20"/>
          <w:lang w:val="es-ES"/>
        </w:rPr>
        <w:t>, a diferencia de otras diez localidades del municipio.</w:t>
      </w:r>
    </w:p>
    <w:p w14:paraId="5DF45368" w14:textId="77777777" w:rsidR="00C05ECC" w:rsidRPr="00DF714D" w:rsidRDefault="00C05ECC" w:rsidP="00E963EE">
      <w:pPr>
        <w:pStyle w:val="Prrafodelista"/>
        <w:spacing w:line="276" w:lineRule="auto"/>
        <w:ind w:right="-518"/>
        <w:jc w:val="both"/>
        <w:rPr>
          <w:rFonts w:ascii="Century Gothic" w:hAnsi="Century Gothic" w:cs="Arial"/>
          <w:sz w:val="20"/>
          <w:szCs w:val="20"/>
          <w:lang w:val="es-ES"/>
        </w:rPr>
      </w:pPr>
    </w:p>
    <w:p w14:paraId="01309E0B" w14:textId="2BC0FDB9" w:rsidR="00C05ECC" w:rsidRDefault="00C05ECC" w:rsidP="00E963EE">
      <w:pPr>
        <w:spacing w:line="276" w:lineRule="auto"/>
        <w:ind w:left="426" w:right="-518"/>
        <w:jc w:val="both"/>
        <w:rPr>
          <w:rFonts w:ascii="Century Gothic" w:hAnsi="Century Gothic" w:cs="Arial"/>
          <w:sz w:val="20"/>
          <w:szCs w:val="20"/>
          <w:lang w:val="es-ES"/>
        </w:rPr>
      </w:pPr>
      <w:r w:rsidRPr="00DF714D">
        <w:rPr>
          <w:rFonts w:ascii="Century Gothic" w:hAnsi="Century Gothic" w:cs="Arial"/>
          <w:sz w:val="20"/>
          <w:szCs w:val="20"/>
          <w:lang w:val="es-ES"/>
        </w:rPr>
        <w:t xml:space="preserve">Como se advierte de la información estadística recabada, la localidad de Chacala representa el 3.18 de la población del municipio de Cabo Corrientes, y de las variables censales no es posible advertir que exista una población indígena con usos y costumbres propios en esa comunidad, si bien es cierto, en el municipio se </w:t>
      </w:r>
      <w:proofErr w:type="spellStart"/>
      <w:r w:rsidRPr="00DF714D">
        <w:rPr>
          <w:rFonts w:ascii="Century Gothic" w:hAnsi="Century Gothic" w:cs="Arial"/>
          <w:sz w:val="20"/>
          <w:szCs w:val="20"/>
          <w:lang w:val="es-ES"/>
        </w:rPr>
        <w:t>autoadscriben</w:t>
      </w:r>
      <w:proofErr w:type="spellEnd"/>
      <w:r w:rsidRPr="00DF714D">
        <w:rPr>
          <w:rFonts w:ascii="Century Gothic" w:hAnsi="Century Gothic" w:cs="Arial"/>
          <w:sz w:val="20"/>
          <w:szCs w:val="20"/>
          <w:lang w:val="es-ES"/>
        </w:rPr>
        <w:t xml:space="preserve"> como indígenas el 16.27%, no existe certeza que los habitantes que radican en la localidad de Chacala se </w:t>
      </w:r>
      <w:proofErr w:type="spellStart"/>
      <w:r w:rsidRPr="00DF714D">
        <w:rPr>
          <w:rFonts w:ascii="Century Gothic" w:hAnsi="Century Gothic" w:cs="Arial"/>
          <w:sz w:val="20"/>
          <w:szCs w:val="20"/>
          <w:lang w:val="es-ES"/>
        </w:rPr>
        <w:t>autoadscriban</w:t>
      </w:r>
      <w:proofErr w:type="spellEnd"/>
      <w:r w:rsidRPr="00DF714D">
        <w:rPr>
          <w:rFonts w:ascii="Century Gothic" w:hAnsi="Century Gothic" w:cs="Arial"/>
          <w:sz w:val="20"/>
          <w:szCs w:val="20"/>
          <w:lang w:val="es-ES"/>
        </w:rPr>
        <w:t xml:space="preserve"> como indígenas.</w:t>
      </w:r>
    </w:p>
    <w:p w14:paraId="4790BDDE" w14:textId="77777777" w:rsidR="00DF714D" w:rsidRDefault="00DF714D" w:rsidP="00E963EE">
      <w:pPr>
        <w:pStyle w:val="Prrafodelista"/>
        <w:spacing w:line="276" w:lineRule="auto"/>
        <w:ind w:right="-518"/>
        <w:jc w:val="right"/>
        <w:rPr>
          <w:rFonts w:ascii="Century Gothic" w:hAnsi="Century Gothic" w:cs="Arial"/>
          <w:sz w:val="20"/>
          <w:szCs w:val="20"/>
          <w:lang w:val="es-ES"/>
        </w:rPr>
      </w:pPr>
    </w:p>
    <w:p w14:paraId="412BB6A1" w14:textId="294B4487" w:rsidR="00C05ECC" w:rsidRPr="00DF714D" w:rsidRDefault="00C05ECC" w:rsidP="00E963EE">
      <w:pPr>
        <w:pStyle w:val="Prrafodelista"/>
        <w:spacing w:line="276" w:lineRule="auto"/>
        <w:ind w:right="-518"/>
        <w:jc w:val="right"/>
        <w:rPr>
          <w:rFonts w:ascii="Century Gothic" w:hAnsi="Century Gothic" w:cs="Arial"/>
          <w:sz w:val="20"/>
          <w:szCs w:val="20"/>
          <w:lang w:val="es-ES"/>
        </w:rPr>
      </w:pPr>
      <w:r w:rsidRPr="00DF714D">
        <w:rPr>
          <w:rFonts w:ascii="Century Gothic" w:hAnsi="Century Gothic" w:cs="Arial"/>
          <w:sz w:val="20"/>
          <w:szCs w:val="20"/>
          <w:lang w:val="es-ES"/>
        </w:rPr>
        <w:t>*Lo resaltado es del proyecto de acuerdo</w:t>
      </w:r>
    </w:p>
    <w:p w14:paraId="450A25E4" w14:textId="77777777" w:rsidR="00C05ECC" w:rsidRPr="00DF714D" w:rsidRDefault="00C05ECC" w:rsidP="00E963EE">
      <w:pPr>
        <w:pStyle w:val="Prrafodelista"/>
        <w:spacing w:line="276" w:lineRule="auto"/>
        <w:ind w:right="-518"/>
        <w:jc w:val="right"/>
        <w:rPr>
          <w:rFonts w:ascii="Century Gothic" w:hAnsi="Century Gothic" w:cs="Arial"/>
          <w:sz w:val="20"/>
          <w:szCs w:val="20"/>
          <w:lang w:val="es-ES"/>
        </w:rPr>
      </w:pPr>
    </w:p>
    <w:p w14:paraId="4ADECD17" w14:textId="77777777" w:rsidR="00EC005B" w:rsidRPr="00DF714D" w:rsidRDefault="00EC005B" w:rsidP="00E963EE">
      <w:pPr>
        <w:pStyle w:val="NormalWeb"/>
        <w:spacing w:before="0" w:beforeAutospacing="0" w:after="0" w:afterAutospacing="0" w:line="360" w:lineRule="auto"/>
        <w:ind w:right="-518"/>
        <w:jc w:val="both"/>
        <w:rPr>
          <w:rFonts w:ascii="Century Gothic" w:hAnsi="Century Gothic"/>
        </w:rPr>
      </w:pPr>
    </w:p>
    <w:p w14:paraId="315C743F" w14:textId="77C13A19"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Sin embargo, no se desprenden de los datos plasmados, las referencias mediante las cuales se cite la fuente (el documento, hipervínculo u otro medio) de dónde fueron obtenidos</w:t>
      </w:r>
      <w:r w:rsidR="00E32F3C" w:rsidRPr="00DF714D">
        <w:rPr>
          <w:rFonts w:ascii="Century Gothic" w:hAnsi="Century Gothic"/>
        </w:rPr>
        <w:t>, lo que provoca que, incluso, se presenten datos erróneos.</w:t>
      </w:r>
    </w:p>
    <w:p w14:paraId="42E45540"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p>
    <w:p w14:paraId="1F33FC46" w14:textId="77777777" w:rsidR="002B6012" w:rsidRPr="00DF714D" w:rsidRDefault="002B6012"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Asimismo, no se advierte del contenido del informe y acuerdo que se haya tomado en consideración la información consultable en la página oficial del INEGI,</w:t>
      </w:r>
      <w:r w:rsidRPr="00DF714D">
        <w:rPr>
          <w:rStyle w:val="Refdenotaalpie"/>
          <w:rFonts w:ascii="Century Gothic" w:hAnsi="Century Gothic"/>
        </w:rPr>
        <w:footnoteReference w:id="5"/>
      </w:r>
      <w:r w:rsidRPr="00DF714D">
        <w:rPr>
          <w:rFonts w:ascii="Century Gothic" w:hAnsi="Century Gothic"/>
        </w:rPr>
        <w:t xml:space="preserve"> cuyo Censo de Población y Vivienda 2020 reveló que el 17.17%</w:t>
      </w:r>
      <w:r w:rsidRPr="00DF714D">
        <w:rPr>
          <w:rStyle w:val="Refdenotaalpie"/>
          <w:rFonts w:ascii="Century Gothic" w:hAnsi="Century Gothic"/>
        </w:rPr>
        <w:footnoteReference w:id="6"/>
      </w:r>
      <w:r w:rsidRPr="00DF714D">
        <w:rPr>
          <w:rFonts w:ascii="Century Gothic" w:hAnsi="Century Gothic"/>
        </w:rPr>
        <w:t xml:space="preserve"> de la población del municipio de Cabo Corrientes se considera indígena de una población total de 10,365 personas mayores de 3 años.</w:t>
      </w:r>
    </w:p>
    <w:p w14:paraId="1045F66F" w14:textId="3D4CB604" w:rsidR="00AA3B38" w:rsidRPr="00DF714D" w:rsidRDefault="00480B3F"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lastRenderedPageBreak/>
        <w:t>En contraposición y de manera errónea</w:t>
      </w:r>
      <w:r w:rsidR="00AA3B38" w:rsidRPr="00DF714D">
        <w:rPr>
          <w:rFonts w:ascii="Century Gothic" w:hAnsi="Century Gothic"/>
        </w:rPr>
        <w:t xml:space="preserve">, en el Proyecto </w:t>
      </w:r>
      <w:r w:rsidR="008F6A8C" w:rsidRPr="00DF714D">
        <w:rPr>
          <w:rFonts w:ascii="Century Gothic" w:hAnsi="Century Gothic"/>
        </w:rPr>
        <w:t xml:space="preserve">se establece que el </w:t>
      </w:r>
      <w:r w:rsidR="00A61FAA" w:rsidRPr="00DF714D">
        <w:rPr>
          <w:rFonts w:ascii="Century Gothic" w:hAnsi="Century Gothic"/>
        </w:rPr>
        <w:t>p</w:t>
      </w:r>
      <w:r w:rsidR="008F6A8C" w:rsidRPr="00DF714D">
        <w:rPr>
          <w:rFonts w:ascii="Century Gothic" w:hAnsi="Century Gothic"/>
        </w:rPr>
        <w:t xml:space="preserve">orcentaje </w:t>
      </w:r>
      <w:r w:rsidR="003E0F2F" w:rsidRPr="00DF714D">
        <w:rPr>
          <w:rFonts w:ascii="Century Gothic" w:hAnsi="Century Gothic"/>
        </w:rPr>
        <w:t xml:space="preserve">de población que se </w:t>
      </w:r>
      <w:proofErr w:type="spellStart"/>
      <w:r w:rsidR="003E0F2F" w:rsidRPr="00DF714D">
        <w:rPr>
          <w:rFonts w:ascii="Century Gothic" w:hAnsi="Century Gothic"/>
        </w:rPr>
        <w:t>autoadscribe</w:t>
      </w:r>
      <w:proofErr w:type="spellEnd"/>
      <w:r w:rsidR="003E0F2F" w:rsidRPr="00DF714D">
        <w:rPr>
          <w:rFonts w:ascii="Century Gothic" w:hAnsi="Century Gothic"/>
        </w:rPr>
        <w:t xml:space="preserve"> como indígena en el municipio de Cabo Corrientes es </w:t>
      </w:r>
      <w:r w:rsidR="0017602B" w:rsidRPr="00DF714D">
        <w:rPr>
          <w:rFonts w:ascii="Century Gothic" w:hAnsi="Century Gothic"/>
        </w:rPr>
        <w:t xml:space="preserve">equivalente al </w:t>
      </w:r>
      <w:r w:rsidR="008F6A8C" w:rsidRPr="00DF714D">
        <w:rPr>
          <w:rFonts w:ascii="Century Gothic" w:hAnsi="Century Gothic"/>
        </w:rPr>
        <w:t>16.27%</w:t>
      </w:r>
      <w:r w:rsidR="0017602B" w:rsidRPr="00DF714D">
        <w:rPr>
          <w:rFonts w:ascii="Century Gothic" w:hAnsi="Century Gothic"/>
        </w:rPr>
        <w:t xml:space="preserve">, cifran que no corresponde a ningún dato </w:t>
      </w:r>
      <w:r w:rsidR="000B4480" w:rsidRPr="00DF714D">
        <w:rPr>
          <w:rFonts w:ascii="Century Gothic" w:hAnsi="Century Gothic"/>
        </w:rPr>
        <w:t>del INEGI u otra autoridad ni se desprend</w:t>
      </w:r>
      <w:r w:rsidR="00E37F04" w:rsidRPr="00DF714D">
        <w:rPr>
          <w:rFonts w:ascii="Century Gothic" w:hAnsi="Century Gothic"/>
        </w:rPr>
        <w:t>e</w:t>
      </w:r>
      <w:r w:rsidR="000B4480" w:rsidRPr="00DF714D">
        <w:rPr>
          <w:rFonts w:ascii="Century Gothic" w:hAnsi="Century Gothic"/>
        </w:rPr>
        <w:t xml:space="preserve"> de una fuente certera</w:t>
      </w:r>
      <w:r w:rsidR="00E37F04" w:rsidRPr="00DF714D">
        <w:rPr>
          <w:rFonts w:ascii="Century Gothic" w:hAnsi="Century Gothic"/>
        </w:rPr>
        <w:t xml:space="preserve">. </w:t>
      </w:r>
      <w:r w:rsidR="00054F43" w:rsidRPr="00DF714D">
        <w:rPr>
          <w:rFonts w:ascii="Century Gothic" w:hAnsi="Century Gothic"/>
        </w:rPr>
        <w:t xml:space="preserve">No obstante, con base en los datos </w:t>
      </w:r>
      <w:r w:rsidR="005D069E" w:rsidRPr="00DF714D">
        <w:rPr>
          <w:rFonts w:ascii="Century Gothic" w:hAnsi="Century Gothic"/>
        </w:rPr>
        <w:t xml:space="preserve">contenidos en el informe y acuerdo, se infiere que, </w:t>
      </w:r>
      <w:r w:rsidR="00A56DC4" w:rsidRPr="00DF714D">
        <w:rPr>
          <w:rFonts w:ascii="Century Gothic" w:hAnsi="Century Gothic"/>
        </w:rPr>
        <w:t>en la Secretaría Ejecutiva hicieron un cálculo</w:t>
      </w:r>
      <w:r w:rsidR="00420A98" w:rsidRPr="00DF714D">
        <w:rPr>
          <w:rFonts w:ascii="Century Gothic" w:hAnsi="Century Gothic"/>
        </w:rPr>
        <w:t xml:space="preserve"> incorrecto, porque toman datos de diferentes </w:t>
      </w:r>
      <w:r w:rsidR="007D6EB3" w:rsidRPr="00DF714D">
        <w:rPr>
          <w:rFonts w:ascii="Century Gothic" w:hAnsi="Century Gothic"/>
        </w:rPr>
        <w:t xml:space="preserve">fuentes, es decir, </w:t>
      </w:r>
      <w:r w:rsidR="0054615D" w:rsidRPr="00DF714D">
        <w:rPr>
          <w:rFonts w:ascii="Century Gothic" w:hAnsi="Century Gothic"/>
        </w:rPr>
        <w:t>toman como</w:t>
      </w:r>
      <w:r w:rsidR="007D6EB3" w:rsidRPr="00DF714D">
        <w:rPr>
          <w:rFonts w:ascii="Century Gothic" w:hAnsi="Century Gothic"/>
        </w:rPr>
        <w:t xml:space="preserve"> base</w:t>
      </w:r>
      <w:r w:rsidR="00A61FAA" w:rsidRPr="00DF714D">
        <w:rPr>
          <w:rFonts w:ascii="Century Gothic" w:hAnsi="Century Gothic"/>
        </w:rPr>
        <w:t xml:space="preserve"> un total de </w:t>
      </w:r>
      <w:r w:rsidR="00F37F98" w:rsidRPr="00DF714D">
        <w:rPr>
          <w:rFonts w:ascii="Century Gothic" w:hAnsi="Century Gothic"/>
        </w:rPr>
        <w:t>10,940</w:t>
      </w:r>
      <w:r w:rsidR="00B90030" w:rsidRPr="00DF714D">
        <w:rPr>
          <w:rFonts w:ascii="Century Gothic" w:hAnsi="Century Gothic"/>
        </w:rPr>
        <w:t xml:space="preserve"> habitantes</w:t>
      </w:r>
      <w:r w:rsidR="00A1249F" w:rsidRPr="00DF714D">
        <w:rPr>
          <w:rFonts w:ascii="Century Gothic" w:hAnsi="Century Gothic"/>
        </w:rPr>
        <w:t xml:space="preserve"> </w:t>
      </w:r>
      <w:r w:rsidR="00EB2461" w:rsidRPr="00DF714D">
        <w:rPr>
          <w:rFonts w:ascii="Century Gothic" w:hAnsi="Century Gothic"/>
        </w:rPr>
        <w:t xml:space="preserve">y determinan la equivalencia, en porcentaje, de la cantidad </w:t>
      </w:r>
      <w:r w:rsidR="00A1249F" w:rsidRPr="00DF714D">
        <w:rPr>
          <w:rFonts w:ascii="Century Gothic" w:hAnsi="Century Gothic"/>
        </w:rPr>
        <w:t>de 1</w:t>
      </w:r>
      <w:r w:rsidR="00EB2461" w:rsidRPr="00DF714D">
        <w:rPr>
          <w:rFonts w:ascii="Century Gothic" w:hAnsi="Century Gothic"/>
        </w:rPr>
        <w:t>,</w:t>
      </w:r>
      <w:r w:rsidR="00A1249F" w:rsidRPr="00DF714D">
        <w:rPr>
          <w:rFonts w:ascii="Century Gothic" w:hAnsi="Century Gothic"/>
        </w:rPr>
        <w:t xml:space="preserve">780 personas que se </w:t>
      </w:r>
      <w:proofErr w:type="spellStart"/>
      <w:r w:rsidR="00A1249F" w:rsidRPr="00DF714D">
        <w:rPr>
          <w:rFonts w:ascii="Century Gothic" w:hAnsi="Century Gothic"/>
        </w:rPr>
        <w:t>autoadscriben</w:t>
      </w:r>
      <w:proofErr w:type="spellEnd"/>
      <w:r w:rsidR="00A1249F" w:rsidRPr="00DF714D">
        <w:rPr>
          <w:rFonts w:ascii="Century Gothic" w:hAnsi="Century Gothic"/>
        </w:rPr>
        <w:t xml:space="preserve"> como indígenas en el municipio</w:t>
      </w:r>
      <w:r w:rsidR="00F37F98" w:rsidRPr="00DF714D">
        <w:rPr>
          <w:rFonts w:ascii="Century Gothic" w:hAnsi="Century Gothic"/>
        </w:rPr>
        <w:t xml:space="preserve">, lo cual resulta </w:t>
      </w:r>
      <w:r w:rsidR="00176A0B" w:rsidRPr="00DF714D">
        <w:rPr>
          <w:rFonts w:ascii="Century Gothic" w:hAnsi="Century Gothic"/>
        </w:rPr>
        <w:t>erróneo</w:t>
      </w:r>
      <w:r w:rsidR="00F37F98" w:rsidRPr="00DF714D">
        <w:rPr>
          <w:rFonts w:ascii="Century Gothic" w:hAnsi="Century Gothic"/>
        </w:rPr>
        <w:t xml:space="preserve">, puesto que se debió </w:t>
      </w:r>
      <w:r w:rsidR="00A42553" w:rsidRPr="00DF714D">
        <w:rPr>
          <w:rFonts w:ascii="Century Gothic" w:hAnsi="Century Gothic"/>
        </w:rPr>
        <w:t>tomar como base el total de población mayor de 3 años</w:t>
      </w:r>
      <w:r w:rsidR="00EB2461" w:rsidRPr="00DF714D">
        <w:rPr>
          <w:rFonts w:ascii="Century Gothic" w:hAnsi="Century Gothic"/>
        </w:rPr>
        <w:t xml:space="preserve"> </w:t>
      </w:r>
      <w:r w:rsidR="00AD0576" w:rsidRPr="00DF714D">
        <w:rPr>
          <w:rFonts w:ascii="Century Gothic" w:hAnsi="Century Gothic"/>
        </w:rPr>
        <w:t xml:space="preserve">del Cuestionario Ampliado </w:t>
      </w:r>
      <w:r w:rsidR="003E43E3" w:rsidRPr="00DF714D">
        <w:rPr>
          <w:rFonts w:ascii="Century Gothic" w:hAnsi="Century Gothic"/>
        </w:rPr>
        <w:t xml:space="preserve">citado en el </w:t>
      </w:r>
      <w:r w:rsidR="00A42553" w:rsidRPr="00DF714D">
        <w:rPr>
          <w:rFonts w:ascii="Century Gothic" w:hAnsi="Century Gothic"/>
        </w:rPr>
        <w:t>párrafo anterior</w:t>
      </w:r>
      <w:r w:rsidR="003E43E3" w:rsidRPr="00DF714D">
        <w:rPr>
          <w:rFonts w:ascii="Century Gothic" w:hAnsi="Century Gothic"/>
        </w:rPr>
        <w:t>, fuente de donde se desprende</w:t>
      </w:r>
      <w:r w:rsidR="009F1955" w:rsidRPr="00DF714D">
        <w:rPr>
          <w:rFonts w:ascii="Century Gothic" w:hAnsi="Century Gothic"/>
        </w:rPr>
        <w:t>, a partir de la conversión del 17.17% de 10,365</w:t>
      </w:r>
      <w:r w:rsidR="00B7738B" w:rsidRPr="00DF714D">
        <w:rPr>
          <w:rFonts w:ascii="Century Gothic" w:hAnsi="Century Gothic"/>
        </w:rPr>
        <w:t>,</w:t>
      </w:r>
      <w:r w:rsidR="008D036C" w:rsidRPr="00DF714D">
        <w:rPr>
          <w:rFonts w:ascii="Century Gothic" w:hAnsi="Century Gothic"/>
        </w:rPr>
        <w:t xml:space="preserve"> repetimos, no de 10,940,</w:t>
      </w:r>
      <w:r w:rsidR="00B7738B" w:rsidRPr="00DF714D">
        <w:rPr>
          <w:rFonts w:ascii="Century Gothic" w:hAnsi="Century Gothic"/>
        </w:rPr>
        <w:t xml:space="preserve"> puesto que el </w:t>
      </w:r>
      <w:r w:rsidR="008D342B" w:rsidRPr="00DF714D">
        <w:rPr>
          <w:rFonts w:ascii="Century Gothic" w:hAnsi="Century Gothic"/>
        </w:rPr>
        <w:t>parámetro</w:t>
      </w:r>
      <w:r w:rsidR="00B7738B" w:rsidRPr="00DF714D">
        <w:rPr>
          <w:rFonts w:ascii="Century Gothic" w:hAnsi="Century Gothic"/>
        </w:rPr>
        <w:t xml:space="preserve"> de los estimadores de población </w:t>
      </w:r>
      <w:r w:rsidR="00F864D7" w:rsidRPr="00DF714D">
        <w:rPr>
          <w:rFonts w:ascii="Century Gothic" w:hAnsi="Century Gothic"/>
        </w:rPr>
        <w:t xml:space="preserve">con </w:t>
      </w:r>
      <w:proofErr w:type="spellStart"/>
      <w:r w:rsidR="00F864D7" w:rsidRPr="00DF714D">
        <w:rPr>
          <w:rFonts w:ascii="Century Gothic" w:hAnsi="Century Gothic"/>
        </w:rPr>
        <w:t>autoadscripción</w:t>
      </w:r>
      <w:proofErr w:type="spellEnd"/>
      <w:r w:rsidR="00F864D7" w:rsidRPr="00DF714D">
        <w:rPr>
          <w:rFonts w:ascii="Century Gothic" w:hAnsi="Century Gothic"/>
        </w:rPr>
        <w:t xml:space="preserve"> indígena se determina</w:t>
      </w:r>
      <w:r w:rsidR="003965CA" w:rsidRPr="00DF714D">
        <w:rPr>
          <w:rFonts w:ascii="Century Gothic" w:hAnsi="Century Gothic"/>
        </w:rPr>
        <w:t xml:space="preserve"> a partir de esa edad, de ahí que</w:t>
      </w:r>
      <w:r w:rsidR="00F864D7" w:rsidRPr="00DF714D">
        <w:rPr>
          <w:rFonts w:ascii="Century Gothic" w:hAnsi="Century Gothic"/>
        </w:rPr>
        <w:t>,</w:t>
      </w:r>
      <w:r w:rsidR="003965CA" w:rsidRPr="00DF714D">
        <w:rPr>
          <w:rFonts w:ascii="Century Gothic" w:hAnsi="Century Gothic"/>
        </w:rPr>
        <w:t xml:space="preserve"> no se puede </w:t>
      </w:r>
      <w:r w:rsidR="007A0B68" w:rsidRPr="00DF714D">
        <w:rPr>
          <w:rFonts w:ascii="Century Gothic" w:hAnsi="Century Gothic"/>
        </w:rPr>
        <w:t>calcular</w:t>
      </w:r>
      <w:r w:rsidR="003965CA" w:rsidRPr="00DF714D">
        <w:rPr>
          <w:rFonts w:ascii="Century Gothic" w:hAnsi="Century Gothic"/>
        </w:rPr>
        <w:t xml:space="preserve"> el porc</w:t>
      </w:r>
      <w:r w:rsidR="008D342B" w:rsidRPr="00DF714D">
        <w:rPr>
          <w:rFonts w:ascii="Century Gothic" w:hAnsi="Century Gothic"/>
        </w:rPr>
        <w:t xml:space="preserve">entaje de población </w:t>
      </w:r>
      <w:proofErr w:type="spellStart"/>
      <w:r w:rsidR="008D342B" w:rsidRPr="00DF714D">
        <w:rPr>
          <w:rFonts w:ascii="Century Gothic" w:hAnsi="Century Gothic"/>
        </w:rPr>
        <w:t>autoadscrita</w:t>
      </w:r>
      <w:proofErr w:type="spellEnd"/>
      <w:r w:rsidR="008D342B" w:rsidRPr="00DF714D">
        <w:rPr>
          <w:rFonts w:ascii="Century Gothic" w:hAnsi="Century Gothic"/>
        </w:rPr>
        <w:t xml:space="preserve"> como indígena del total de población que habita en el municipio</w:t>
      </w:r>
      <w:r w:rsidR="007A0B68" w:rsidRPr="00DF714D">
        <w:rPr>
          <w:rFonts w:ascii="Century Gothic" w:hAnsi="Century Gothic"/>
        </w:rPr>
        <w:t>, porque ese dato es inexistente</w:t>
      </w:r>
      <w:r w:rsidR="008D342B" w:rsidRPr="00DF714D">
        <w:rPr>
          <w:rFonts w:ascii="Century Gothic" w:hAnsi="Century Gothic"/>
        </w:rPr>
        <w:t>.</w:t>
      </w:r>
      <w:r w:rsidR="00594EF5" w:rsidRPr="00DF714D">
        <w:rPr>
          <w:rFonts w:ascii="Century Gothic" w:hAnsi="Century Gothic"/>
        </w:rPr>
        <w:t xml:space="preserve"> Con ello se subraya la necesidad de citar las fuentes y </w:t>
      </w:r>
      <w:r w:rsidR="00C421C5" w:rsidRPr="00DF714D">
        <w:rPr>
          <w:rFonts w:ascii="Century Gothic" w:hAnsi="Century Gothic"/>
        </w:rPr>
        <w:t xml:space="preserve">proporcionar datos certeros al Consejo General para la toma de decisiones. </w:t>
      </w:r>
    </w:p>
    <w:p w14:paraId="4A302C16"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rPr>
      </w:pPr>
    </w:p>
    <w:p w14:paraId="3518304B" w14:textId="47B2542E" w:rsidR="00C05ECC" w:rsidRPr="00DF714D" w:rsidRDefault="00C05ECC"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Por lo anterior, al no tener la certeza de las fuentes de los datos utilizados en la argumentación </w:t>
      </w:r>
      <w:r w:rsidR="007F7A2D" w:rsidRPr="00DF714D">
        <w:rPr>
          <w:rFonts w:ascii="Century Gothic" w:hAnsi="Century Gothic"/>
        </w:rPr>
        <w:t>y,</w:t>
      </w:r>
      <w:r w:rsidRPr="00DF714D">
        <w:rPr>
          <w:rFonts w:ascii="Century Gothic" w:hAnsi="Century Gothic"/>
        </w:rPr>
        <w:t xml:space="preserve"> por lo tanto, tampoco de su veracidad, mismos que sostienen el sentido del proyecto, las suscritas, no compartimos </w:t>
      </w:r>
      <w:r w:rsidR="007E6E77" w:rsidRPr="00DF714D">
        <w:rPr>
          <w:rFonts w:ascii="Century Gothic" w:hAnsi="Century Gothic"/>
        </w:rPr>
        <w:t xml:space="preserve">los razonamientos </w:t>
      </w:r>
      <w:r w:rsidRPr="00DF714D">
        <w:rPr>
          <w:rFonts w:ascii="Century Gothic" w:hAnsi="Century Gothic"/>
        </w:rPr>
        <w:t>aprobad</w:t>
      </w:r>
      <w:r w:rsidR="007E6E77" w:rsidRPr="00DF714D">
        <w:rPr>
          <w:rFonts w:ascii="Century Gothic" w:hAnsi="Century Gothic"/>
        </w:rPr>
        <w:t>o</w:t>
      </w:r>
      <w:r w:rsidRPr="00DF714D">
        <w:rPr>
          <w:rFonts w:ascii="Century Gothic" w:hAnsi="Century Gothic"/>
        </w:rPr>
        <w:t>s por la mayoría de los integrantes del Pleno</w:t>
      </w:r>
      <w:r w:rsidR="007E6E77" w:rsidRPr="00DF714D">
        <w:rPr>
          <w:rFonts w:ascii="Century Gothic" w:hAnsi="Century Gothic"/>
        </w:rPr>
        <w:t xml:space="preserve"> para llegar a la conclusión de la inviabilidad de las pretensiones de los recurrentes.</w:t>
      </w:r>
    </w:p>
    <w:p w14:paraId="6B74E012" w14:textId="7DC4F5D1" w:rsidR="007E6E77" w:rsidRPr="00DF714D" w:rsidRDefault="007E6E77" w:rsidP="00E963EE">
      <w:pPr>
        <w:pStyle w:val="NormalWeb"/>
        <w:spacing w:before="0" w:beforeAutospacing="0" w:after="0" w:afterAutospacing="0" w:line="360" w:lineRule="auto"/>
        <w:ind w:right="-518"/>
        <w:jc w:val="both"/>
        <w:rPr>
          <w:rFonts w:ascii="Century Gothic" w:hAnsi="Century Gothic"/>
        </w:rPr>
      </w:pPr>
    </w:p>
    <w:p w14:paraId="081746B2" w14:textId="73F61AC8" w:rsidR="007E6E77" w:rsidRPr="00DF714D" w:rsidRDefault="007E6E77" w:rsidP="00E963EE">
      <w:pPr>
        <w:pStyle w:val="NormalWeb"/>
        <w:spacing w:before="0" w:beforeAutospacing="0" w:after="0" w:afterAutospacing="0" w:line="360" w:lineRule="auto"/>
        <w:ind w:right="-518"/>
        <w:jc w:val="both"/>
        <w:rPr>
          <w:rFonts w:ascii="Century Gothic" w:hAnsi="Century Gothic"/>
        </w:rPr>
      </w:pPr>
      <w:r w:rsidRPr="00DF714D">
        <w:rPr>
          <w:rFonts w:ascii="Century Gothic" w:hAnsi="Century Gothic"/>
        </w:rPr>
        <w:t xml:space="preserve">Conclusión que compartimos, tomando en consideración la información proporcionada por el INEGI, relativa al porcentaje de población indígena en el municipio de Cabo Corrientes, respecto de la cual, no se </w:t>
      </w:r>
      <w:r w:rsidR="002151F6" w:rsidRPr="00DF714D">
        <w:rPr>
          <w:rFonts w:ascii="Century Gothic" w:hAnsi="Century Gothic"/>
        </w:rPr>
        <w:t xml:space="preserve">desprende </w:t>
      </w:r>
      <w:r w:rsidRPr="00DF714D">
        <w:rPr>
          <w:rFonts w:ascii="Century Gothic" w:hAnsi="Century Gothic"/>
        </w:rPr>
        <w:t xml:space="preserve">información </w:t>
      </w:r>
      <w:r w:rsidR="002151F6" w:rsidRPr="00DF714D">
        <w:rPr>
          <w:rFonts w:ascii="Century Gothic" w:hAnsi="Century Gothic"/>
        </w:rPr>
        <w:lastRenderedPageBreak/>
        <w:t>desagregada por localidades, lo que imposibilita tener la certeza de la cantidad de población en la localidad de Chacala, aunado a</w:t>
      </w:r>
      <w:r w:rsidR="002B6012" w:rsidRPr="00DF714D">
        <w:rPr>
          <w:rFonts w:ascii="Century Gothic" w:hAnsi="Century Gothic"/>
        </w:rPr>
        <w:t xml:space="preserve"> la</w:t>
      </w:r>
      <w:r w:rsidR="002151F6" w:rsidRPr="00DF714D">
        <w:rPr>
          <w:rFonts w:ascii="Century Gothic" w:hAnsi="Century Gothic"/>
        </w:rPr>
        <w:t xml:space="preserve"> información proporcionada </w:t>
      </w:r>
      <w:r w:rsidR="00EC005B" w:rsidRPr="00DF714D">
        <w:rPr>
          <w:rFonts w:ascii="Century Gothic" w:hAnsi="Century Gothic"/>
        </w:rPr>
        <w:t xml:space="preserve">por la Comisión Estatal Indígena en el sentido de que cuenta con un Padrón de Comunidades y Localidades Indígenas del Estado de Jalisco, en la cual no se encuentra reconocida la comunidad Indígena de Chacala en el municipio de Cabo Corrientes, Jalisco. </w:t>
      </w:r>
    </w:p>
    <w:p w14:paraId="60C23302" w14:textId="77777777" w:rsidR="00C05ECC" w:rsidRPr="00DF714D" w:rsidRDefault="00C05ECC" w:rsidP="00E963EE">
      <w:pPr>
        <w:pStyle w:val="NormalWeb"/>
        <w:spacing w:before="0" w:beforeAutospacing="0" w:after="0" w:afterAutospacing="0" w:line="360" w:lineRule="auto"/>
        <w:ind w:right="-518"/>
        <w:jc w:val="both"/>
        <w:rPr>
          <w:rFonts w:ascii="Century Gothic" w:hAnsi="Century Gothic"/>
          <w:b/>
          <w:bCs/>
        </w:rPr>
      </w:pPr>
    </w:p>
    <w:p w14:paraId="617EA3B4" w14:textId="180DA848" w:rsidR="0021787C" w:rsidRPr="00DF714D" w:rsidRDefault="0021787C" w:rsidP="00E963EE">
      <w:pPr>
        <w:spacing w:after="0" w:line="360" w:lineRule="auto"/>
        <w:ind w:right="-518"/>
        <w:jc w:val="both"/>
        <w:rPr>
          <w:rFonts w:ascii="Century Gothic" w:hAnsi="Century Gothic" w:cs="Arial"/>
          <w:sz w:val="24"/>
          <w:szCs w:val="24"/>
          <w:lang w:val="es-ES"/>
        </w:rPr>
      </w:pPr>
      <w:r w:rsidRPr="00DF714D">
        <w:rPr>
          <w:rFonts w:ascii="Century Gothic" w:hAnsi="Century Gothic" w:cs="Arial"/>
          <w:sz w:val="24"/>
          <w:szCs w:val="24"/>
          <w:lang w:val="es-ES"/>
        </w:rPr>
        <w:t>Finalmente, el Punto de Acuerdo Primero</w:t>
      </w:r>
      <w:r w:rsidR="00EA6A14" w:rsidRPr="00DF714D">
        <w:rPr>
          <w:rFonts w:ascii="Century Gothic" w:hAnsi="Century Gothic" w:cs="Arial"/>
          <w:sz w:val="24"/>
          <w:szCs w:val="24"/>
          <w:lang w:val="es-ES"/>
        </w:rPr>
        <w:t xml:space="preserve"> del documento aprobado</w:t>
      </w:r>
      <w:r w:rsidRPr="00DF714D">
        <w:rPr>
          <w:rFonts w:ascii="Century Gothic" w:hAnsi="Century Gothic" w:cs="Arial"/>
          <w:sz w:val="24"/>
          <w:szCs w:val="24"/>
          <w:lang w:val="es-ES"/>
        </w:rPr>
        <w:t>, fue modificando</w:t>
      </w:r>
      <w:r w:rsidR="00EA6A14" w:rsidRPr="00DF714D">
        <w:rPr>
          <w:rFonts w:ascii="Century Gothic" w:hAnsi="Century Gothic" w:cs="Arial"/>
          <w:sz w:val="24"/>
          <w:szCs w:val="24"/>
          <w:lang w:val="es-ES"/>
        </w:rPr>
        <w:t>,</w:t>
      </w:r>
      <w:r w:rsidRPr="00DF714D">
        <w:rPr>
          <w:rFonts w:ascii="Century Gothic" w:hAnsi="Century Gothic" w:cs="Arial"/>
          <w:sz w:val="24"/>
          <w:szCs w:val="24"/>
          <w:lang w:val="es-ES"/>
        </w:rPr>
        <w:t xml:space="preserve"> haciendo énfasis en que se tiene al Secretario Ejecutivo presentando</w:t>
      </w:r>
      <w:r w:rsidR="008628A3" w:rsidRPr="00DF714D">
        <w:rPr>
          <w:rFonts w:ascii="Century Gothic" w:hAnsi="Century Gothic" w:cs="Arial"/>
          <w:sz w:val="24"/>
          <w:szCs w:val="24"/>
          <w:lang w:val="es-ES"/>
        </w:rPr>
        <w:t>,</w:t>
      </w:r>
      <w:r w:rsidRPr="00DF714D">
        <w:rPr>
          <w:rFonts w:ascii="Century Gothic" w:hAnsi="Century Gothic" w:cs="Arial"/>
          <w:sz w:val="24"/>
          <w:szCs w:val="24"/>
          <w:lang w:val="es-ES"/>
        </w:rPr>
        <w:t xml:space="preserve"> en tiempo y forma</w:t>
      </w:r>
      <w:r w:rsidR="008628A3" w:rsidRPr="00DF714D">
        <w:rPr>
          <w:rFonts w:ascii="Century Gothic" w:hAnsi="Century Gothic" w:cs="Arial"/>
          <w:sz w:val="24"/>
          <w:szCs w:val="24"/>
          <w:lang w:val="es-ES"/>
        </w:rPr>
        <w:t>,</w:t>
      </w:r>
      <w:r w:rsidRPr="00DF714D">
        <w:rPr>
          <w:rFonts w:ascii="Century Gothic" w:hAnsi="Century Gothic" w:cs="Arial"/>
          <w:sz w:val="24"/>
          <w:szCs w:val="24"/>
          <w:lang w:val="es-ES"/>
        </w:rPr>
        <w:t xml:space="preserve"> el Informe respectivo, </w:t>
      </w:r>
      <w:r w:rsidR="00EA6A14" w:rsidRPr="00DF714D">
        <w:rPr>
          <w:rFonts w:ascii="Century Gothic" w:hAnsi="Century Gothic" w:cs="Arial"/>
          <w:sz w:val="24"/>
          <w:szCs w:val="24"/>
          <w:lang w:val="es-ES"/>
        </w:rPr>
        <w:t>proposición que no se encontraba en el proyecto discutido antes de</w:t>
      </w:r>
      <w:r w:rsidR="00673C61" w:rsidRPr="00DF714D">
        <w:rPr>
          <w:rFonts w:ascii="Century Gothic" w:hAnsi="Century Gothic" w:cs="Arial"/>
          <w:sz w:val="24"/>
          <w:szCs w:val="24"/>
          <w:lang w:val="es-ES"/>
        </w:rPr>
        <w:t xml:space="preserve">l receso y que no fue objeto de observaciones, por lo tanto, </w:t>
      </w:r>
      <w:r w:rsidRPr="00DF714D">
        <w:rPr>
          <w:rFonts w:ascii="Century Gothic" w:hAnsi="Century Gothic" w:cs="Arial"/>
          <w:sz w:val="24"/>
          <w:szCs w:val="24"/>
          <w:lang w:val="es-ES"/>
        </w:rPr>
        <w:t>no debió ser</w:t>
      </w:r>
      <w:r w:rsidR="00673C61" w:rsidRPr="00DF714D">
        <w:rPr>
          <w:rFonts w:ascii="Century Gothic" w:hAnsi="Century Gothic" w:cs="Arial"/>
          <w:sz w:val="24"/>
          <w:szCs w:val="24"/>
          <w:lang w:val="es-ES"/>
        </w:rPr>
        <w:t xml:space="preserve"> parte del engrose</w:t>
      </w:r>
      <w:r w:rsidR="00B5180A" w:rsidRPr="00DF714D">
        <w:rPr>
          <w:rFonts w:ascii="Century Gothic" w:hAnsi="Century Gothic" w:cs="Arial"/>
          <w:sz w:val="24"/>
          <w:szCs w:val="24"/>
          <w:lang w:val="es-ES"/>
        </w:rPr>
        <w:t xml:space="preserve"> d</w:t>
      </w:r>
      <w:r w:rsidRPr="00DF714D">
        <w:rPr>
          <w:rFonts w:ascii="Century Gothic" w:hAnsi="Century Gothic" w:cs="Arial"/>
          <w:sz w:val="24"/>
          <w:szCs w:val="24"/>
          <w:lang w:val="es-ES"/>
        </w:rPr>
        <w:t>el</w:t>
      </w:r>
      <w:r w:rsidR="00B5180A" w:rsidRPr="00DF714D">
        <w:rPr>
          <w:rFonts w:ascii="Century Gothic" w:hAnsi="Century Gothic" w:cs="Arial"/>
          <w:sz w:val="24"/>
          <w:szCs w:val="24"/>
          <w:lang w:val="es-ES"/>
        </w:rPr>
        <w:t xml:space="preserve"> proyecto</w:t>
      </w:r>
      <w:r w:rsidRPr="00DF714D">
        <w:rPr>
          <w:rFonts w:ascii="Century Gothic" w:hAnsi="Century Gothic" w:cs="Arial"/>
          <w:sz w:val="24"/>
          <w:szCs w:val="24"/>
          <w:lang w:val="es-ES"/>
        </w:rPr>
        <w:t xml:space="preserve"> Acuerdo que nos ocupa, </w:t>
      </w:r>
      <w:r w:rsidR="00265648" w:rsidRPr="00DF714D">
        <w:rPr>
          <w:rFonts w:ascii="Century Gothic" w:hAnsi="Century Gothic" w:cs="Arial"/>
          <w:sz w:val="24"/>
          <w:szCs w:val="24"/>
          <w:lang w:val="es-ES"/>
        </w:rPr>
        <w:t xml:space="preserve">solo </w:t>
      </w:r>
      <w:r w:rsidR="002B6012" w:rsidRPr="00DF714D">
        <w:rPr>
          <w:rFonts w:ascii="Century Gothic" w:hAnsi="Century Gothic" w:cs="Arial"/>
          <w:sz w:val="24"/>
          <w:szCs w:val="24"/>
          <w:lang w:val="es-ES"/>
        </w:rPr>
        <w:t xml:space="preserve">se </w:t>
      </w:r>
      <w:r w:rsidR="00265648" w:rsidRPr="00DF714D">
        <w:rPr>
          <w:rFonts w:ascii="Century Gothic" w:hAnsi="Century Gothic" w:cs="Arial"/>
          <w:sz w:val="24"/>
          <w:szCs w:val="24"/>
          <w:lang w:val="es-ES"/>
        </w:rPr>
        <w:t>debían</w:t>
      </w:r>
      <w:r w:rsidRPr="00DF714D">
        <w:rPr>
          <w:rFonts w:ascii="Century Gothic" w:hAnsi="Century Gothic" w:cs="Arial"/>
          <w:sz w:val="24"/>
          <w:szCs w:val="24"/>
          <w:lang w:val="es-ES"/>
        </w:rPr>
        <w:t xml:space="preserve"> modificar los Considerandos y no los puntos de acuerdo, por lo que se está contraviniendo el artículo 26, párrafo 2 del Reglamento de Sesiones de este Instituto.</w:t>
      </w:r>
    </w:p>
    <w:p w14:paraId="4A6EC1A5" w14:textId="77777777" w:rsidR="00EA2C3E" w:rsidRPr="00DF714D" w:rsidRDefault="00EA2C3E" w:rsidP="00E963EE">
      <w:pPr>
        <w:pStyle w:val="Sinespaciado"/>
        <w:spacing w:line="360" w:lineRule="auto"/>
        <w:ind w:right="-518"/>
        <w:jc w:val="both"/>
        <w:rPr>
          <w:rFonts w:ascii="Century Gothic" w:hAnsi="Century Gothic"/>
          <w:sz w:val="24"/>
          <w:szCs w:val="24"/>
          <w:lang w:val="es-ES_tradnl" w:eastAsia="es-MX"/>
        </w:rPr>
      </w:pPr>
    </w:p>
    <w:p w14:paraId="5B495A85" w14:textId="62828D5B" w:rsidR="00671C3F" w:rsidRPr="00DF714D" w:rsidRDefault="00170F9B" w:rsidP="00E963EE">
      <w:pPr>
        <w:pStyle w:val="Sinespaciado"/>
        <w:spacing w:line="360" w:lineRule="auto"/>
        <w:ind w:right="-518"/>
        <w:jc w:val="both"/>
        <w:rPr>
          <w:rFonts w:ascii="Century Gothic" w:hAnsi="Century Gothic"/>
          <w:sz w:val="24"/>
          <w:szCs w:val="24"/>
          <w:lang w:val="es-ES_tradnl" w:eastAsia="es-MX"/>
        </w:rPr>
      </w:pPr>
      <w:r w:rsidRPr="00DF714D">
        <w:rPr>
          <w:rFonts w:ascii="Century Gothic" w:hAnsi="Century Gothic"/>
          <w:sz w:val="24"/>
          <w:szCs w:val="24"/>
          <w:lang w:val="es-ES_tradnl" w:eastAsia="es-MX"/>
        </w:rPr>
        <w:t xml:space="preserve">De ahí que, para las suscritas, es incongruente y ajeno de toda lógica, </w:t>
      </w:r>
      <w:r w:rsidR="00F468EA" w:rsidRPr="00DF714D">
        <w:rPr>
          <w:rFonts w:ascii="Century Gothic" w:hAnsi="Century Gothic"/>
          <w:sz w:val="24"/>
          <w:szCs w:val="24"/>
          <w:lang w:val="es-ES_tradnl" w:eastAsia="es-MX"/>
        </w:rPr>
        <w:t>se pretenda que</w:t>
      </w:r>
      <w:r w:rsidR="00816C5D" w:rsidRPr="00DF714D">
        <w:rPr>
          <w:rFonts w:ascii="Century Gothic" w:hAnsi="Century Gothic"/>
          <w:sz w:val="24"/>
          <w:szCs w:val="24"/>
          <w:lang w:val="es-ES_tradnl" w:eastAsia="es-MX"/>
        </w:rPr>
        <w:t>,</w:t>
      </w:r>
      <w:r w:rsidR="00F468EA" w:rsidRPr="00DF714D">
        <w:rPr>
          <w:rFonts w:ascii="Century Gothic" w:hAnsi="Century Gothic"/>
          <w:sz w:val="24"/>
          <w:szCs w:val="24"/>
          <w:lang w:val="es-ES_tradnl" w:eastAsia="es-MX"/>
        </w:rPr>
        <w:t xml:space="preserve"> en </w:t>
      </w:r>
      <w:r w:rsidR="00993593" w:rsidRPr="00DF714D">
        <w:rPr>
          <w:rFonts w:ascii="Century Gothic" w:hAnsi="Century Gothic"/>
          <w:sz w:val="24"/>
          <w:szCs w:val="24"/>
          <w:lang w:val="es-ES_tradnl" w:eastAsia="es-MX"/>
        </w:rPr>
        <w:t xml:space="preserve">lapso de 24 horas se realice </w:t>
      </w:r>
      <w:r w:rsidR="00F3087C" w:rsidRPr="00DF714D">
        <w:rPr>
          <w:rFonts w:ascii="Century Gothic" w:hAnsi="Century Gothic"/>
          <w:sz w:val="24"/>
          <w:szCs w:val="24"/>
          <w:lang w:val="es-ES_tradnl" w:eastAsia="es-MX"/>
        </w:rPr>
        <w:t>el</w:t>
      </w:r>
      <w:r w:rsidR="00993593" w:rsidRPr="00DF714D">
        <w:rPr>
          <w:rFonts w:ascii="Century Gothic" w:hAnsi="Century Gothic"/>
          <w:sz w:val="24"/>
          <w:szCs w:val="24"/>
          <w:lang w:val="es-ES_tradnl" w:eastAsia="es-MX"/>
        </w:rPr>
        <w:t xml:space="preserve"> análisis correspondiente </w:t>
      </w:r>
      <w:r w:rsidR="0064427E" w:rsidRPr="00DF714D">
        <w:rPr>
          <w:rFonts w:ascii="Century Gothic" w:hAnsi="Century Gothic"/>
          <w:sz w:val="24"/>
          <w:szCs w:val="24"/>
          <w:lang w:val="es-ES_tradnl" w:eastAsia="es-MX"/>
        </w:rPr>
        <w:t xml:space="preserve">al Informe de Inviabilidad, </w:t>
      </w:r>
      <w:r w:rsidR="00382C45" w:rsidRPr="00DF714D">
        <w:rPr>
          <w:rFonts w:ascii="Century Gothic" w:hAnsi="Century Gothic"/>
          <w:sz w:val="24"/>
          <w:szCs w:val="24"/>
          <w:lang w:val="es-ES_tradnl" w:eastAsia="es-MX"/>
        </w:rPr>
        <w:t>incluso en 93 minutos</w:t>
      </w:r>
      <w:r w:rsidR="00C70090" w:rsidRPr="00DF714D">
        <w:rPr>
          <w:rFonts w:ascii="Century Gothic" w:hAnsi="Century Gothic"/>
          <w:sz w:val="24"/>
          <w:szCs w:val="24"/>
          <w:lang w:val="es-ES_tradnl" w:eastAsia="es-MX"/>
        </w:rPr>
        <w:t xml:space="preserve"> antes de reanudar la sesión</w:t>
      </w:r>
      <w:r w:rsidR="005B006A" w:rsidRPr="00DF714D">
        <w:rPr>
          <w:rFonts w:ascii="Century Gothic" w:hAnsi="Century Gothic"/>
          <w:sz w:val="24"/>
          <w:szCs w:val="24"/>
          <w:lang w:val="es-ES_tradnl" w:eastAsia="es-MX"/>
        </w:rPr>
        <w:t>,</w:t>
      </w:r>
      <w:r w:rsidR="00382C45" w:rsidRPr="00DF714D">
        <w:rPr>
          <w:rFonts w:ascii="Century Gothic" w:hAnsi="Century Gothic"/>
          <w:sz w:val="24"/>
          <w:szCs w:val="24"/>
          <w:lang w:val="es-ES_tradnl" w:eastAsia="es-MX"/>
        </w:rPr>
        <w:t xml:space="preserve"> tiempo </w:t>
      </w:r>
      <w:r w:rsidR="00C70090" w:rsidRPr="00DF714D">
        <w:rPr>
          <w:rFonts w:ascii="Century Gothic" w:hAnsi="Century Gothic"/>
          <w:sz w:val="24"/>
          <w:szCs w:val="24"/>
          <w:lang w:val="es-ES_tradnl" w:eastAsia="es-MX"/>
        </w:rPr>
        <w:t>en el que tuvimos acceso a los documentos y datos que sustenta tanto el informe como el acuerdo</w:t>
      </w:r>
      <w:r w:rsidR="00B27140" w:rsidRPr="00DF714D">
        <w:rPr>
          <w:rFonts w:ascii="Century Gothic" w:hAnsi="Century Gothic"/>
          <w:sz w:val="24"/>
          <w:szCs w:val="24"/>
          <w:lang w:val="es-ES_tradnl" w:eastAsia="es-MX"/>
        </w:rPr>
        <w:t>. A</w:t>
      </w:r>
      <w:r w:rsidR="0064427E" w:rsidRPr="00DF714D">
        <w:rPr>
          <w:rFonts w:ascii="Century Gothic" w:hAnsi="Century Gothic"/>
          <w:sz w:val="24"/>
          <w:szCs w:val="24"/>
          <w:lang w:val="es-ES_tradnl" w:eastAsia="es-MX"/>
        </w:rPr>
        <w:t>demás</w:t>
      </w:r>
      <w:r w:rsidR="00396B1D" w:rsidRPr="00DF714D">
        <w:rPr>
          <w:rFonts w:ascii="Century Gothic" w:hAnsi="Century Gothic"/>
          <w:sz w:val="24"/>
          <w:szCs w:val="24"/>
          <w:lang w:val="es-ES_tradnl" w:eastAsia="es-MX"/>
        </w:rPr>
        <w:t>,</w:t>
      </w:r>
      <w:r w:rsidR="0064427E" w:rsidRPr="00DF714D">
        <w:rPr>
          <w:rFonts w:ascii="Century Gothic" w:hAnsi="Century Gothic"/>
          <w:sz w:val="24"/>
          <w:szCs w:val="24"/>
          <w:lang w:val="es-ES_tradnl" w:eastAsia="es-MX"/>
        </w:rPr>
        <w:t xml:space="preserve"> que</w:t>
      </w:r>
      <w:r w:rsidR="00812348" w:rsidRPr="00DF714D">
        <w:rPr>
          <w:rFonts w:ascii="Century Gothic" w:hAnsi="Century Gothic"/>
          <w:sz w:val="24"/>
          <w:szCs w:val="24"/>
          <w:lang w:val="es-ES_tradnl" w:eastAsia="es-MX"/>
        </w:rPr>
        <w:t xml:space="preserve"> dos actos ordenados por el Tribunal para desarrollarse en diferentes momentos </w:t>
      </w:r>
      <w:r w:rsidR="00E3050D" w:rsidRPr="00DF714D">
        <w:rPr>
          <w:rFonts w:ascii="Century Gothic" w:hAnsi="Century Gothic"/>
          <w:sz w:val="24"/>
          <w:szCs w:val="24"/>
          <w:lang w:val="es-ES_tradnl" w:eastAsia="es-MX"/>
        </w:rPr>
        <w:t xml:space="preserve">en vista de la necesidad de contar con el suficiente tiempo para hacer un estudio </w:t>
      </w:r>
      <w:proofErr w:type="gramStart"/>
      <w:r w:rsidR="00E3050D" w:rsidRPr="00DF714D">
        <w:rPr>
          <w:rFonts w:ascii="Century Gothic" w:hAnsi="Century Gothic"/>
          <w:sz w:val="24"/>
          <w:szCs w:val="24"/>
          <w:lang w:val="es-ES_tradnl" w:eastAsia="es-MX"/>
        </w:rPr>
        <w:t>exhaustivo</w:t>
      </w:r>
      <w:r w:rsidR="00D5485F" w:rsidRPr="00DF714D">
        <w:rPr>
          <w:rFonts w:ascii="Century Gothic" w:hAnsi="Century Gothic"/>
          <w:sz w:val="24"/>
          <w:szCs w:val="24"/>
          <w:lang w:val="es-ES_tradnl" w:eastAsia="es-MX"/>
        </w:rPr>
        <w:t>,</w:t>
      </w:r>
      <w:proofErr w:type="gramEnd"/>
      <w:r w:rsidR="00D5485F" w:rsidRPr="00DF714D">
        <w:rPr>
          <w:rFonts w:ascii="Century Gothic" w:hAnsi="Century Gothic"/>
          <w:sz w:val="24"/>
          <w:szCs w:val="24"/>
          <w:lang w:val="es-ES_tradnl" w:eastAsia="es-MX"/>
        </w:rPr>
        <w:t xml:space="preserve"> se concretaron en un </w:t>
      </w:r>
      <w:r w:rsidR="0064427E" w:rsidRPr="00DF714D">
        <w:rPr>
          <w:rFonts w:ascii="Century Gothic" w:hAnsi="Century Gothic"/>
          <w:sz w:val="24"/>
          <w:szCs w:val="24"/>
          <w:lang w:val="es-ES_tradnl" w:eastAsia="es-MX"/>
        </w:rPr>
        <w:t xml:space="preserve">mismo </w:t>
      </w:r>
      <w:r w:rsidR="00D5485F" w:rsidRPr="00DF714D">
        <w:rPr>
          <w:rFonts w:ascii="Century Gothic" w:hAnsi="Century Gothic"/>
          <w:sz w:val="24"/>
          <w:szCs w:val="24"/>
          <w:lang w:val="es-ES_tradnl" w:eastAsia="es-MX"/>
        </w:rPr>
        <w:t xml:space="preserve">acto y </w:t>
      </w:r>
      <w:r w:rsidR="0064427E" w:rsidRPr="00DF714D">
        <w:rPr>
          <w:rFonts w:ascii="Century Gothic" w:hAnsi="Century Gothic"/>
          <w:sz w:val="24"/>
          <w:szCs w:val="24"/>
          <w:lang w:val="es-ES_tradnl" w:eastAsia="es-MX"/>
        </w:rPr>
        <w:t>momento</w:t>
      </w:r>
      <w:r w:rsidR="00BE2A9E" w:rsidRPr="00DF714D">
        <w:rPr>
          <w:rFonts w:ascii="Century Gothic" w:hAnsi="Century Gothic"/>
          <w:sz w:val="24"/>
          <w:szCs w:val="24"/>
          <w:lang w:val="es-ES_tradnl" w:eastAsia="es-MX"/>
        </w:rPr>
        <w:t>. D</w:t>
      </w:r>
      <w:r w:rsidR="00F21E2E" w:rsidRPr="00DF714D">
        <w:rPr>
          <w:rFonts w:ascii="Century Gothic" w:hAnsi="Century Gothic"/>
          <w:sz w:val="24"/>
          <w:szCs w:val="24"/>
          <w:lang w:val="es-ES_tradnl" w:eastAsia="es-MX"/>
        </w:rPr>
        <w:t xml:space="preserve">e igual </w:t>
      </w:r>
      <w:r w:rsidR="00671C3F" w:rsidRPr="00DF714D">
        <w:rPr>
          <w:rFonts w:ascii="Century Gothic" w:hAnsi="Century Gothic"/>
          <w:sz w:val="24"/>
          <w:szCs w:val="24"/>
          <w:lang w:val="es-ES_tradnl" w:eastAsia="es-MX"/>
        </w:rPr>
        <w:t>forma</w:t>
      </w:r>
      <w:r w:rsidR="00BE2A9E" w:rsidRPr="00DF714D">
        <w:rPr>
          <w:rFonts w:ascii="Century Gothic" w:hAnsi="Century Gothic"/>
          <w:sz w:val="24"/>
          <w:szCs w:val="24"/>
          <w:lang w:val="es-ES_tradnl" w:eastAsia="es-MX"/>
        </w:rPr>
        <w:t>,</w:t>
      </w:r>
      <w:r w:rsidR="00671C3F" w:rsidRPr="00DF714D">
        <w:rPr>
          <w:rFonts w:ascii="Century Gothic" w:hAnsi="Century Gothic"/>
          <w:sz w:val="24"/>
          <w:szCs w:val="24"/>
          <w:lang w:val="es-ES_tradnl" w:eastAsia="es-MX"/>
        </w:rPr>
        <w:t xml:space="preserve"> no es aceptable tomar como parámetro</w:t>
      </w:r>
      <w:r w:rsidR="00BE2A9E" w:rsidRPr="00DF714D">
        <w:rPr>
          <w:rFonts w:ascii="Century Gothic" w:hAnsi="Century Gothic"/>
          <w:sz w:val="24"/>
          <w:szCs w:val="24"/>
          <w:lang w:val="es-ES_tradnl" w:eastAsia="es-MX"/>
        </w:rPr>
        <w:t>s</w:t>
      </w:r>
      <w:r w:rsidR="00671C3F" w:rsidRPr="00DF714D">
        <w:rPr>
          <w:rFonts w:ascii="Century Gothic" w:hAnsi="Century Gothic"/>
          <w:sz w:val="24"/>
          <w:szCs w:val="24"/>
          <w:lang w:val="es-ES_tradnl" w:eastAsia="es-MX"/>
        </w:rPr>
        <w:t xml:space="preserve"> de </w:t>
      </w:r>
      <w:r w:rsidR="000C5FC6" w:rsidRPr="00DF714D">
        <w:rPr>
          <w:rFonts w:ascii="Century Gothic" w:hAnsi="Century Gothic"/>
          <w:sz w:val="24"/>
          <w:szCs w:val="24"/>
          <w:lang w:val="es-ES_tradnl" w:eastAsia="es-MX"/>
        </w:rPr>
        <w:t>captación de</w:t>
      </w:r>
      <w:r w:rsidR="000C5FC6" w:rsidRPr="00DF714D">
        <w:rPr>
          <w:rFonts w:ascii="Century Gothic" w:hAnsi="Century Gothic" w:cs="Arial"/>
          <w:sz w:val="24"/>
          <w:szCs w:val="24"/>
          <w:shd w:val="clear" w:color="auto" w:fill="FFFFFF"/>
        </w:rPr>
        <w:t xml:space="preserve"> la población indígena en México</w:t>
      </w:r>
      <w:r w:rsidR="00EE6BDF" w:rsidRPr="00DF714D">
        <w:rPr>
          <w:rFonts w:ascii="Century Gothic" w:hAnsi="Century Gothic" w:cs="Arial"/>
          <w:sz w:val="24"/>
          <w:szCs w:val="24"/>
          <w:shd w:val="clear" w:color="auto" w:fill="FFFFFF"/>
        </w:rPr>
        <w:t xml:space="preserve"> </w:t>
      </w:r>
      <w:r w:rsidR="00725156" w:rsidRPr="00DF714D">
        <w:rPr>
          <w:rFonts w:ascii="Century Gothic" w:hAnsi="Century Gothic" w:cs="Arial"/>
          <w:sz w:val="24"/>
          <w:szCs w:val="24"/>
          <w:shd w:val="clear" w:color="auto" w:fill="FFFFFF"/>
        </w:rPr>
        <w:t xml:space="preserve">los </w:t>
      </w:r>
      <w:r w:rsidR="00EE6BDF" w:rsidRPr="00DF714D">
        <w:rPr>
          <w:rFonts w:ascii="Century Gothic" w:hAnsi="Century Gothic" w:cs="Arial"/>
          <w:sz w:val="24"/>
          <w:szCs w:val="24"/>
          <w:shd w:val="clear" w:color="auto" w:fill="FFFFFF"/>
        </w:rPr>
        <w:t>elemento</w:t>
      </w:r>
      <w:r w:rsidR="00BE2A9E" w:rsidRPr="00DF714D">
        <w:rPr>
          <w:rFonts w:ascii="Century Gothic" w:hAnsi="Century Gothic" w:cs="Arial"/>
          <w:sz w:val="24"/>
          <w:szCs w:val="24"/>
          <w:shd w:val="clear" w:color="auto" w:fill="FFFFFF"/>
        </w:rPr>
        <w:t>s</w:t>
      </w:r>
      <w:r w:rsidR="00EE6BDF" w:rsidRPr="00DF714D">
        <w:rPr>
          <w:rFonts w:ascii="Century Gothic" w:hAnsi="Century Gothic" w:cs="Arial"/>
          <w:sz w:val="24"/>
          <w:szCs w:val="24"/>
          <w:shd w:val="clear" w:color="auto" w:fill="FFFFFF"/>
        </w:rPr>
        <w:t xml:space="preserve"> desarrollados </w:t>
      </w:r>
      <w:r w:rsidR="00725156" w:rsidRPr="00DF714D">
        <w:rPr>
          <w:rFonts w:ascii="Century Gothic" w:hAnsi="Century Gothic" w:cs="Arial"/>
          <w:sz w:val="24"/>
          <w:szCs w:val="24"/>
          <w:shd w:val="clear" w:color="auto" w:fill="FFFFFF"/>
        </w:rPr>
        <w:t>por</w:t>
      </w:r>
      <w:r w:rsidR="00BE2A9E" w:rsidRPr="00DF714D">
        <w:rPr>
          <w:rFonts w:ascii="Century Gothic" w:hAnsi="Century Gothic" w:cs="Arial"/>
          <w:sz w:val="24"/>
          <w:szCs w:val="24"/>
          <w:shd w:val="clear" w:color="auto" w:fill="FFFFFF"/>
        </w:rPr>
        <w:t xml:space="preserve"> el </w:t>
      </w:r>
      <w:proofErr w:type="spellStart"/>
      <w:r w:rsidR="00BE2A9E" w:rsidRPr="00DF714D">
        <w:rPr>
          <w:rFonts w:ascii="Century Gothic" w:hAnsi="Century Gothic" w:cs="Arial"/>
          <w:sz w:val="24"/>
          <w:szCs w:val="24"/>
          <w:shd w:val="clear" w:color="auto" w:fill="FFFFFF"/>
        </w:rPr>
        <w:t>doctrinista</w:t>
      </w:r>
      <w:proofErr w:type="spellEnd"/>
      <w:r w:rsidR="00725156" w:rsidRPr="00DF714D">
        <w:rPr>
          <w:rFonts w:ascii="Century Gothic" w:hAnsi="Century Gothic" w:cs="Arial"/>
          <w:sz w:val="24"/>
          <w:szCs w:val="24"/>
          <w:shd w:val="clear" w:color="auto" w:fill="FFFFFF"/>
        </w:rPr>
        <w:t xml:space="preserve"> </w:t>
      </w:r>
      <w:proofErr w:type="spellStart"/>
      <w:r w:rsidR="00725156" w:rsidRPr="00DF714D">
        <w:rPr>
          <w:rFonts w:ascii="Century Gothic" w:hAnsi="Century Gothic" w:cs="Arial"/>
          <w:sz w:val="24"/>
          <w:szCs w:val="24"/>
          <w:lang w:val="es-ES"/>
        </w:rPr>
        <w:t>Sonnleitner</w:t>
      </w:r>
      <w:proofErr w:type="spellEnd"/>
      <w:r w:rsidR="00725156" w:rsidRPr="00DF714D">
        <w:rPr>
          <w:rFonts w:ascii="Century Gothic" w:hAnsi="Century Gothic" w:cs="Arial"/>
          <w:sz w:val="24"/>
          <w:szCs w:val="24"/>
          <w:lang w:val="es-ES"/>
        </w:rPr>
        <w:t>, cuando existen</w:t>
      </w:r>
      <w:r w:rsidR="0095658A" w:rsidRPr="00DF714D">
        <w:rPr>
          <w:rFonts w:ascii="Century Gothic" w:hAnsi="Century Gothic" w:cs="Arial"/>
          <w:sz w:val="24"/>
          <w:szCs w:val="24"/>
          <w:lang w:val="es-ES"/>
        </w:rPr>
        <w:t xml:space="preserve"> disposiciones constitucionales y</w:t>
      </w:r>
      <w:r w:rsidR="00725156" w:rsidRPr="00DF714D">
        <w:rPr>
          <w:rFonts w:ascii="Century Gothic" w:hAnsi="Century Gothic" w:cs="Arial"/>
          <w:sz w:val="24"/>
          <w:szCs w:val="24"/>
          <w:lang w:val="es-ES"/>
        </w:rPr>
        <w:t xml:space="preserve"> criterios jurisprudenciales en los que se establece </w:t>
      </w:r>
      <w:r w:rsidR="00A00271" w:rsidRPr="00DF714D">
        <w:rPr>
          <w:rFonts w:ascii="Century Gothic" w:hAnsi="Century Gothic" w:cs="Arial"/>
          <w:sz w:val="24"/>
          <w:szCs w:val="24"/>
          <w:lang w:val="es-ES"/>
        </w:rPr>
        <w:t xml:space="preserve">a la </w:t>
      </w:r>
      <w:proofErr w:type="spellStart"/>
      <w:r w:rsidR="00A00271" w:rsidRPr="00DF714D">
        <w:rPr>
          <w:rFonts w:ascii="Century Gothic" w:hAnsi="Century Gothic" w:cs="Arial"/>
          <w:sz w:val="24"/>
          <w:szCs w:val="24"/>
          <w:lang w:val="es-ES"/>
        </w:rPr>
        <w:t>autoadscripción</w:t>
      </w:r>
      <w:proofErr w:type="spellEnd"/>
      <w:r w:rsidR="00A00271" w:rsidRPr="00DF714D">
        <w:rPr>
          <w:rFonts w:ascii="Century Gothic" w:hAnsi="Century Gothic" w:cs="Arial"/>
          <w:sz w:val="24"/>
          <w:szCs w:val="24"/>
          <w:lang w:val="es-ES"/>
        </w:rPr>
        <w:t xml:space="preserve"> como elemento </w:t>
      </w:r>
      <w:r w:rsidR="00ED3F01" w:rsidRPr="00DF714D">
        <w:rPr>
          <w:rFonts w:ascii="Century Gothic" w:hAnsi="Century Gothic" w:cs="Arial"/>
          <w:sz w:val="24"/>
          <w:szCs w:val="24"/>
          <w:lang w:val="es-ES"/>
        </w:rPr>
        <w:t>suficiente</w:t>
      </w:r>
      <w:r w:rsidR="00A00271" w:rsidRPr="00DF714D">
        <w:rPr>
          <w:rFonts w:ascii="Century Gothic" w:hAnsi="Century Gothic" w:cs="Arial"/>
          <w:sz w:val="24"/>
          <w:szCs w:val="24"/>
          <w:lang w:val="es-ES"/>
        </w:rPr>
        <w:t xml:space="preserve"> para reconocer </w:t>
      </w:r>
      <w:r w:rsidR="00ED3F01" w:rsidRPr="00DF714D">
        <w:rPr>
          <w:rFonts w:ascii="Century Gothic" w:hAnsi="Century Gothic" w:cs="Arial"/>
          <w:sz w:val="24"/>
          <w:szCs w:val="24"/>
          <w:lang w:val="es-ES"/>
        </w:rPr>
        <w:t>a sus integrantes.</w:t>
      </w:r>
    </w:p>
    <w:p w14:paraId="31DBC7D7" w14:textId="1AA10FFB" w:rsidR="00170F9B" w:rsidRPr="009B1349" w:rsidRDefault="00170F9B" w:rsidP="00E963EE">
      <w:pPr>
        <w:pStyle w:val="Sinespaciado"/>
        <w:spacing w:line="360" w:lineRule="auto"/>
        <w:ind w:right="-518"/>
        <w:jc w:val="center"/>
        <w:rPr>
          <w:rFonts w:ascii="Century Gothic" w:hAnsi="Century Gothic"/>
          <w:b/>
          <w:bCs/>
          <w:sz w:val="23"/>
          <w:szCs w:val="23"/>
        </w:rPr>
      </w:pPr>
      <w:r w:rsidRPr="009B1349">
        <w:rPr>
          <w:rFonts w:ascii="Century Gothic" w:hAnsi="Century Gothic"/>
          <w:b/>
          <w:bCs/>
          <w:sz w:val="23"/>
          <w:szCs w:val="23"/>
        </w:rPr>
        <w:lastRenderedPageBreak/>
        <w:t xml:space="preserve">Guadalajara, Jalisco; a </w:t>
      </w:r>
      <w:r w:rsidR="0016358A" w:rsidRPr="009B1349">
        <w:rPr>
          <w:rFonts w:ascii="Century Gothic" w:hAnsi="Century Gothic"/>
          <w:b/>
          <w:bCs/>
          <w:sz w:val="23"/>
          <w:szCs w:val="23"/>
        </w:rPr>
        <w:t>26</w:t>
      </w:r>
      <w:r w:rsidRPr="009B1349">
        <w:rPr>
          <w:rFonts w:ascii="Century Gothic" w:hAnsi="Century Gothic"/>
          <w:b/>
          <w:bCs/>
          <w:sz w:val="23"/>
          <w:szCs w:val="23"/>
        </w:rPr>
        <w:t xml:space="preserve"> de ma</w:t>
      </w:r>
      <w:r w:rsidR="0016358A" w:rsidRPr="009B1349">
        <w:rPr>
          <w:rFonts w:ascii="Century Gothic" w:hAnsi="Century Gothic"/>
          <w:b/>
          <w:bCs/>
          <w:sz w:val="23"/>
          <w:szCs w:val="23"/>
        </w:rPr>
        <w:t>y</w:t>
      </w:r>
      <w:r w:rsidRPr="009B1349">
        <w:rPr>
          <w:rFonts w:ascii="Century Gothic" w:hAnsi="Century Gothic"/>
          <w:b/>
          <w:bCs/>
          <w:sz w:val="23"/>
          <w:szCs w:val="23"/>
        </w:rPr>
        <w:t>o de 2023.</w:t>
      </w:r>
    </w:p>
    <w:p w14:paraId="1C3F32B3" w14:textId="358C1396" w:rsidR="002B6012" w:rsidRPr="005C6E7F" w:rsidRDefault="002B6012" w:rsidP="00E963EE">
      <w:pPr>
        <w:pStyle w:val="Sinespaciado"/>
        <w:spacing w:line="360" w:lineRule="auto"/>
        <w:ind w:right="-518"/>
        <w:jc w:val="center"/>
        <w:rPr>
          <w:rFonts w:ascii="Century Gothic" w:eastAsia="Times New Roman" w:hAnsi="Century Gothic" w:cs="Arial"/>
          <w:b/>
          <w:sz w:val="23"/>
          <w:szCs w:val="23"/>
          <w:lang w:val="es-ES" w:eastAsia="es-ES"/>
        </w:rPr>
      </w:pPr>
    </w:p>
    <w:p w14:paraId="499AC348" w14:textId="514271A1" w:rsidR="002B6012" w:rsidRDefault="002B6012" w:rsidP="00E963EE">
      <w:pPr>
        <w:pStyle w:val="Sinespaciado"/>
        <w:spacing w:line="360" w:lineRule="auto"/>
        <w:ind w:right="-518"/>
        <w:jc w:val="center"/>
        <w:rPr>
          <w:rFonts w:ascii="Century Gothic" w:eastAsia="Times New Roman" w:hAnsi="Century Gothic" w:cs="Arial"/>
          <w:b/>
          <w:sz w:val="23"/>
          <w:szCs w:val="23"/>
          <w:lang w:val="es-ES" w:eastAsia="es-ES"/>
        </w:rPr>
      </w:pPr>
    </w:p>
    <w:p w14:paraId="140AF9CE" w14:textId="77777777" w:rsidR="00D640DD" w:rsidRPr="005C6E7F" w:rsidRDefault="00D640DD" w:rsidP="00E963EE">
      <w:pPr>
        <w:pStyle w:val="Sinespaciado"/>
        <w:spacing w:line="360" w:lineRule="auto"/>
        <w:ind w:right="-518"/>
        <w:jc w:val="center"/>
        <w:rPr>
          <w:rFonts w:ascii="Century Gothic" w:eastAsia="Times New Roman" w:hAnsi="Century Gothic" w:cs="Arial"/>
          <w:b/>
          <w:sz w:val="23"/>
          <w:szCs w:val="23"/>
          <w:lang w:val="es-ES" w:eastAsia="es-ES"/>
        </w:rPr>
      </w:pPr>
    </w:p>
    <w:p w14:paraId="3828F58F" w14:textId="77777777" w:rsidR="00DF714D" w:rsidRPr="009B1349" w:rsidRDefault="00DF714D" w:rsidP="00E963EE">
      <w:pPr>
        <w:spacing w:after="0" w:line="276" w:lineRule="auto"/>
        <w:ind w:right="-518"/>
        <w:jc w:val="center"/>
        <w:rPr>
          <w:rFonts w:ascii="Century Gothic" w:eastAsia="Times New Roman" w:hAnsi="Century Gothic" w:cs="Arial"/>
          <w:b/>
          <w:sz w:val="23"/>
          <w:szCs w:val="23"/>
          <w:lang w:val="es-ES" w:eastAsia="es-ES"/>
        </w:rPr>
      </w:pPr>
    </w:p>
    <w:p w14:paraId="59D820CE" w14:textId="77777777" w:rsidR="00D640DD" w:rsidRPr="005C6E7F" w:rsidRDefault="00D640DD" w:rsidP="00D640DD">
      <w:pPr>
        <w:spacing w:after="0" w:line="276" w:lineRule="auto"/>
        <w:ind w:right="-518"/>
        <w:jc w:val="center"/>
        <w:rPr>
          <w:rFonts w:ascii="Century Gothic" w:eastAsia="Times New Roman" w:hAnsi="Century Gothic" w:cs="Arial"/>
          <w:b/>
          <w:sz w:val="23"/>
          <w:szCs w:val="23"/>
          <w:lang w:val="es-ES" w:eastAsia="es-ES"/>
        </w:rPr>
      </w:pPr>
      <w:r>
        <w:rPr>
          <w:rFonts w:ascii="Century Gothic" w:eastAsia="Times New Roman" w:hAnsi="Century Gothic" w:cs="Arial"/>
          <w:b/>
          <w:sz w:val="23"/>
          <w:szCs w:val="23"/>
          <w:lang w:val="es-ES" w:eastAsia="es-ES"/>
        </w:rPr>
        <w:t>Si</w:t>
      </w:r>
      <w:r w:rsidRPr="005C6E7F">
        <w:rPr>
          <w:rFonts w:ascii="Century Gothic" w:eastAsia="Times New Roman" w:hAnsi="Century Gothic" w:cs="Arial"/>
          <w:b/>
          <w:sz w:val="23"/>
          <w:szCs w:val="23"/>
          <w:lang w:val="es-ES" w:eastAsia="es-ES"/>
        </w:rPr>
        <w:t>lvia Guadalupe Bustos Vásquez</w:t>
      </w:r>
    </w:p>
    <w:p w14:paraId="2AE219B3" w14:textId="536F6B55" w:rsidR="00DF714D" w:rsidRPr="009B1349" w:rsidRDefault="00D640DD" w:rsidP="00D640DD">
      <w:pPr>
        <w:spacing w:after="0" w:line="276" w:lineRule="auto"/>
        <w:ind w:right="-518"/>
        <w:jc w:val="center"/>
        <w:rPr>
          <w:rFonts w:ascii="Century Gothic" w:eastAsia="Times New Roman" w:hAnsi="Century Gothic" w:cs="Arial"/>
          <w:b/>
          <w:sz w:val="23"/>
          <w:szCs w:val="23"/>
          <w:lang w:val="es-ES" w:eastAsia="es-ES"/>
        </w:rPr>
      </w:pPr>
      <w:r w:rsidRPr="005C6E7F">
        <w:rPr>
          <w:rFonts w:ascii="Century Gothic" w:eastAsia="Times New Roman" w:hAnsi="Century Gothic" w:cs="Arial"/>
          <w:b/>
          <w:sz w:val="23"/>
          <w:szCs w:val="23"/>
          <w:lang w:val="es-ES" w:eastAsia="es-ES"/>
        </w:rPr>
        <w:t>Consejera electoral</w:t>
      </w:r>
    </w:p>
    <w:p w14:paraId="3D8DC730" w14:textId="031F6245" w:rsidR="00DF714D" w:rsidRPr="009B1349" w:rsidRDefault="00DF714D" w:rsidP="00E963EE">
      <w:pPr>
        <w:spacing w:after="0" w:line="276" w:lineRule="auto"/>
        <w:ind w:right="-518"/>
        <w:jc w:val="center"/>
        <w:rPr>
          <w:rFonts w:ascii="Century Gothic" w:eastAsia="Times New Roman" w:hAnsi="Century Gothic" w:cs="Arial"/>
          <w:b/>
          <w:sz w:val="23"/>
          <w:szCs w:val="23"/>
          <w:lang w:val="es-ES" w:eastAsia="es-ES"/>
        </w:rPr>
      </w:pPr>
    </w:p>
    <w:p w14:paraId="66099EC5" w14:textId="1A1CE422" w:rsidR="00DF714D" w:rsidRPr="009B1349" w:rsidRDefault="00DF714D" w:rsidP="00E963EE">
      <w:pPr>
        <w:spacing w:after="0" w:line="276" w:lineRule="auto"/>
        <w:ind w:right="-518"/>
        <w:jc w:val="center"/>
        <w:rPr>
          <w:rFonts w:ascii="Century Gothic" w:eastAsia="Times New Roman" w:hAnsi="Century Gothic" w:cs="Arial"/>
          <w:b/>
          <w:sz w:val="23"/>
          <w:szCs w:val="23"/>
          <w:lang w:val="es-ES" w:eastAsia="es-ES"/>
        </w:rPr>
      </w:pPr>
    </w:p>
    <w:p w14:paraId="61689A6E" w14:textId="04F96301" w:rsidR="00DF714D" w:rsidRPr="009B1349" w:rsidRDefault="00DF714D" w:rsidP="00E963EE">
      <w:pPr>
        <w:spacing w:after="0" w:line="276" w:lineRule="auto"/>
        <w:ind w:right="-518"/>
        <w:jc w:val="center"/>
        <w:rPr>
          <w:rFonts w:ascii="Century Gothic" w:eastAsia="Times New Roman" w:hAnsi="Century Gothic" w:cs="Arial"/>
          <w:b/>
          <w:sz w:val="23"/>
          <w:szCs w:val="23"/>
          <w:lang w:val="es-ES" w:eastAsia="es-ES"/>
        </w:rPr>
      </w:pPr>
    </w:p>
    <w:p w14:paraId="6E57C632" w14:textId="26B03407" w:rsidR="00DF714D" w:rsidRDefault="00DF714D" w:rsidP="00E963EE">
      <w:pPr>
        <w:spacing w:after="0" w:line="276" w:lineRule="auto"/>
        <w:ind w:right="-518"/>
        <w:jc w:val="center"/>
        <w:rPr>
          <w:rFonts w:ascii="Century Gothic" w:eastAsia="Times New Roman" w:hAnsi="Century Gothic" w:cs="Arial"/>
          <w:b/>
          <w:sz w:val="23"/>
          <w:szCs w:val="23"/>
          <w:lang w:val="es-ES" w:eastAsia="es-ES"/>
        </w:rPr>
      </w:pPr>
    </w:p>
    <w:p w14:paraId="50C8C716" w14:textId="418A68F7" w:rsidR="002D2974" w:rsidRDefault="002D2974" w:rsidP="00E963EE">
      <w:pPr>
        <w:spacing w:after="0" w:line="276" w:lineRule="auto"/>
        <w:ind w:right="-518"/>
        <w:jc w:val="center"/>
        <w:rPr>
          <w:rFonts w:ascii="Century Gothic" w:eastAsia="Times New Roman" w:hAnsi="Century Gothic" w:cs="Arial"/>
          <w:b/>
          <w:sz w:val="23"/>
          <w:szCs w:val="23"/>
          <w:lang w:val="es-ES" w:eastAsia="es-ES"/>
        </w:rPr>
      </w:pPr>
    </w:p>
    <w:p w14:paraId="75E99AA1" w14:textId="77777777" w:rsidR="002D2974" w:rsidRPr="009B1349" w:rsidRDefault="002D2974" w:rsidP="00E963EE">
      <w:pPr>
        <w:spacing w:after="0" w:line="276" w:lineRule="auto"/>
        <w:ind w:right="-518"/>
        <w:jc w:val="center"/>
        <w:rPr>
          <w:rFonts w:ascii="Century Gothic" w:eastAsia="Times New Roman" w:hAnsi="Century Gothic" w:cs="Arial"/>
          <w:b/>
          <w:sz w:val="23"/>
          <w:szCs w:val="23"/>
          <w:lang w:val="es-ES" w:eastAsia="es-ES"/>
        </w:rPr>
      </w:pPr>
    </w:p>
    <w:p w14:paraId="1606EDC7" w14:textId="77777777" w:rsidR="00DF714D" w:rsidRPr="009B1349" w:rsidRDefault="00DF714D" w:rsidP="002D2974">
      <w:pPr>
        <w:spacing w:after="0" w:line="276" w:lineRule="auto"/>
        <w:ind w:right="-518"/>
        <w:rPr>
          <w:rFonts w:ascii="Century Gothic" w:eastAsia="Times New Roman" w:hAnsi="Century Gothic" w:cs="Arial"/>
          <w:b/>
          <w:sz w:val="23"/>
          <w:szCs w:val="23"/>
          <w:lang w:val="es-ES" w:eastAsia="es-ES"/>
        </w:rPr>
      </w:pPr>
    </w:p>
    <w:p w14:paraId="1EB4ADC2" w14:textId="0EDA0E89" w:rsidR="002B6012" w:rsidRPr="009B1349" w:rsidRDefault="002D2974" w:rsidP="002D2974">
      <w:pPr>
        <w:spacing w:after="0" w:line="276" w:lineRule="auto"/>
        <w:ind w:right="-518"/>
        <w:rPr>
          <w:rFonts w:ascii="Century Gothic" w:eastAsia="Times New Roman" w:hAnsi="Century Gothic" w:cs="Arial"/>
          <w:b/>
          <w:sz w:val="23"/>
          <w:szCs w:val="23"/>
          <w:lang w:val="es-ES" w:eastAsia="es-ES"/>
        </w:rPr>
      </w:pPr>
      <w:r>
        <w:rPr>
          <w:rFonts w:ascii="Century Gothic" w:eastAsia="Times New Roman" w:hAnsi="Century Gothic" w:cs="Arial"/>
          <w:b/>
          <w:sz w:val="23"/>
          <w:szCs w:val="23"/>
          <w:lang w:val="es-ES" w:eastAsia="es-ES"/>
        </w:rPr>
        <w:t xml:space="preserve">                                          </w:t>
      </w:r>
      <w:r w:rsidR="002B6012" w:rsidRPr="009B1349">
        <w:rPr>
          <w:rFonts w:ascii="Century Gothic" w:eastAsia="Times New Roman" w:hAnsi="Century Gothic" w:cs="Arial"/>
          <w:b/>
          <w:sz w:val="23"/>
          <w:szCs w:val="23"/>
          <w:lang w:val="es-ES" w:eastAsia="es-ES"/>
        </w:rPr>
        <w:t>Zoad Jeanine García González</w:t>
      </w:r>
    </w:p>
    <w:p w14:paraId="7D0E0A79" w14:textId="14CF351F" w:rsidR="002B6012" w:rsidRPr="009B1349" w:rsidRDefault="002D2974" w:rsidP="002D2974">
      <w:pPr>
        <w:pStyle w:val="Sinespaciado"/>
        <w:spacing w:line="360" w:lineRule="auto"/>
        <w:ind w:right="-518"/>
        <w:rPr>
          <w:rFonts w:ascii="Century Gothic" w:hAnsi="Century Gothic"/>
          <w:b/>
          <w:bCs/>
          <w:sz w:val="23"/>
          <w:szCs w:val="23"/>
        </w:rPr>
      </w:pPr>
      <w:r>
        <w:rPr>
          <w:rFonts w:ascii="Century Gothic" w:eastAsia="Times New Roman" w:hAnsi="Century Gothic" w:cs="Arial"/>
          <w:b/>
          <w:sz w:val="23"/>
          <w:szCs w:val="23"/>
          <w:lang w:val="es-ES" w:eastAsia="es-ES"/>
        </w:rPr>
        <w:t xml:space="preserve">                                               </w:t>
      </w:r>
      <w:r w:rsidR="0084265B">
        <w:rPr>
          <w:rFonts w:ascii="Century Gothic" w:eastAsia="Times New Roman" w:hAnsi="Century Gothic" w:cs="Arial"/>
          <w:b/>
          <w:sz w:val="23"/>
          <w:szCs w:val="23"/>
          <w:lang w:val="es-ES" w:eastAsia="es-ES"/>
        </w:rPr>
        <w:t xml:space="preserve"> </w:t>
      </w:r>
      <w:r>
        <w:rPr>
          <w:rFonts w:ascii="Century Gothic" w:eastAsia="Times New Roman" w:hAnsi="Century Gothic" w:cs="Arial"/>
          <w:b/>
          <w:sz w:val="23"/>
          <w:szCs w:val="23"/>
          <w:lang w:val="es-ES" w:eastAsia="es-ES"/>
        </w:rPr>
        <w:t xml:space="preserve">    </w:t>
      </w:r>
      <w:r w:rsidR="002B6012" w:rsidRPr="009B1349">
        <w:rPr>
          <w:rFonts w:ascii="Century Gothic" w:eastAsia="Times New Roman" w:hAnsi="Century Gothic" w:cs="Arial"/>
          <w:b/>
          <w:sz w:val="23"/>
          <w:szCs w:val="23"/>
          <w:lang w:val="es-ES" w:eastAsia="es-ES"/>
        </w:rPr>
        <w:t>Consejera electoral</w:t>
      </w:r>
    </w:p>
    <w:sectPr w:rsidR="002B6012" w:rsidRPr="009B1349" w:rsidSect="00E963EE">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3A6F" w14:textId="77777777" w:rsidR="00DB12A2" w:rsidRDefault="00DB12A2" w:rsidP="00C05ECC">
      <w:pPr>
        <w:spacing w:after="0" w:line="240" w:lineRule="auto"/>
      </w:pPr>
      <w:r>
        <w:separator/>
      </w:r>
    </w:p>
  </w:endnote>
  <w:endnote w:type="continuationSeparator" w:id="0">
    <w:p w14:paraId="112DBB44" w14:textId="77777777" w:rsidR="00DB12A2" w:rsidRDefault="00DB12A2" w:rsidP="00C05ECC">
      <w:pPr>
        <w:spacing w:after="0" w:line="240" w:lineRule="auto"/>
      </w:pPr>
      <w:r>
        <w:continuationSeparator/>
      </w:r>
    </w:p>
  </w:endnote>
  <w:endnote w:type="continuationNotice" w:id="1">
    <w:p w14:paraId="1F192787" w14:textId="77777777" w:rsidR="00DB12A2" w:rsidRDefault="00DB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E547" w14:textId="77777777" w:rsidR="00DB12A2" w:rsidRDefault="00DB12A2" w:rsidP="00C05ECC">
      <w:pPr>
        <w:spacing w:after="0" w:line="240" w:lineRule="auto"/>
      </w:pPr>
      <w:r>
        <w:separator/>
      </w:r>
    </w:p>
  </w:footnote>
  <w:footnote w:type="continuationSeparator" w:id="0">
    <w:p w14:paraId="13D7BB93" w14:textId="77777777" w:rsidR="00DB12A2" w:rsidRDefault="00DB12A2" w:rsidP="00C05ECC">
      <w:pPr>
        <w:spacing w:after="0" w:line="240" w:lineRule="auto"/>
      </w:pPr>
      <w:r>
        <w:continuationSeparator/>
      </w:r>
    </w:p>
  </w:footnote>
  <w:footnote w:type="continuationNotice" w:id="1">
    <w:p w14:paraId="7E06C0D4" w14:textId="77777777" w:rsidR="00DB12A2" w:rsidRDefault="00DB12A2">
      <w:pPr>
        <w:spacing w:after="0" w:line="240" w:lineRule="auto"/>
      </w:pPr>
    </w:p>
  </w:footnote>
  <w:footnote w:id="2">
    <w:p w14:paraId="152BC40C" w14:textId="77777777" w:rsidR="00C05ECC" w:rsidRPr="001B784B" w:rsidRDefault="00C05ECC" w:rsidP="00E963EE">
      <w:pPr>
        <w:pStyle w:val="Textonotapie"/>
        <w:ind w:right="-518"/>
        <w:rPr>
          <w:rFonts w:ascii="Century Gothic" w:hAnsi="Century Gothic"/>
          <w:lang w:val="es-ES"/>
        </w:rPr>
      </w:pPr>
      <w:r w:rsidRPr="00DF714D">
        <w:rPr>
          <w:rFonts w:ascii="Century Gothic" w:hAnsi="Century Gothic"/>
          <w:vertAlign w:val="superscript"/>
        </w:rPr>
        <w:footnoteRef/>
      </w:r>
      <w:r w:rsidRPr="001B784B">
        <w:rPr>
          <w:rFonts w:ascii="Century Gothic" w:hAnsi="Century Gothic"/>
        </w:rPr>
        <w:t xml:space="preserve"> </w:t>
      </w:r>
      <w:proofErr w:type="spellStart"/>
      <w:r w:rsidRPr="001B784B">
        <w:rPr>
          <w:rFonts w:ascii="Century Gothic" w:hAnsi="Century Gothic"/>
        </w:rPr>
        <w:t>Sonnleitner</w:t>
      </w:r>
      <w:proofErr w:type="spellEnd"/>
      <w:r w:rsidRPr="001B784B">
        <w:rPr>
          <w:rFonts w:ascii="Century Gothic" w:hAnsi="Century Gothic"/>
        </w:rPr>
        <w:t>, W. (2020). Participación, representación e inclusión política. Política.</w:t>
      </w:r>
    </w:p>
  </w:footnote>
  <w:footnote w:id="3">
    <w:p w14:paraId="4B0CBE8D" w14:textId="4A41475E" w:rsidR="00C05ECC" w:rsidRPr="001B784B" w:rsidRDefault="00C05ECC" w:rsidP="00E963EE">
      <w:pPr>
        <w:pStyle w:val="Textonotapie"/>
        <w:ind w:right="-518"/>
        <w:rPr>
          <w:rFonts w:ascii="Century Gothic" w:hAnsi="Century Gothic"/>
        </w:rPr>
      </w:pPr>
      <w:r w:rsidRPr="001B784B">
        <w:rPr>
          <w:rStyle w:val="Refdenotaalpie"/>
          <w:rFonts w:ascii="Century Gothic" w:hAnsi="Century Gothic"/>
        </w:rPr>
        <w:footnoteRef/>
      </w:r>
      <w:r w:rsidRPr="001B784B">
        <w:rPr>
          <w:rFonts w:ascii="Century Gothic" w:hAnsi="Century Gothic"/>
        </w:rPr>
        <w:t xml:space="preserve"> Consultable en</w:t>
      </w:r>
      <w:r w:rsidR="00480665">
        <w:rPr>
          <w:rFonts w:ascii="Century Gothic" w:hAnsi="Century Gothic"/>
        </w:rPr>
        <w:t>:</w:t>
      </w:r>
      <w:r w:rsidR="003E16AD">
        <w:rPr>
          <w:rFonts w:ascii="Century Gothic" w:hAnsi="Century Gothic"/>
        </w:rPr>
        <w:t xml:space="preserve"> </w:t>
      </w:r>
      <w:hyperlink r:id="rId1" w:history="1">
        <w:r w:rsidR="003E16AD" w:rsidRPr="00AA440E">
          <w:rPr>
            <w:rStyle w:val="Hipervnculo"/>
            <w:rFonts w:ascii="Century Gothic" w:hAnsi="Century Gothic"/>
          </w:rPr>
          <w:t>https://www.te.gob.mx/IUSEapp/tesisjur.aspx?idtesis=12/2013&amp;tpoBusqueda=S&amp;sWord=COMUNIDADES,IND%c3%8dGENAS.,EL,CRITERIO,DE,AUTOADSCRIPCI%c3%93N,ES,SUFICIENTE,PARA,RECONOCER,A,SUS,INTEGRANTES</w:t>
        </w:r>
      </w:hyperlink>
      <w:r w:rsidR="003E16AD">
        <w:rPr>
          <w:rFonts w:ascii="Century Gothic" w:hAnsi="Century Gothic"/>
        </w:rPr>
        <w:t xml:space="preserve"> </w:t>
      </w:r>
    </w:p>
  </w:footnote>
  <w:footnote w:id="4">
    <w:p w14:paraId="44179DCA" w14:textId="77777777" w:rsidR="00485E99" w:rsidRPr="00BA193A" w:rsidRDefault="00485E99" w:rsidP="00E963EE">
      <w:pPr>
        <w:pStyle w:val="Textonotapie"/>
        <w:ind w:right="-518"/>
        <w:jc w:val="both"/>
        <w:rPr>
          <w:rFonts w:ascii="Century Gothic" w:hAnsi="Century Gothic"/>
          <w:lang w:val="es-ES"/>
        </w:rPr>
      </w:pPr>
      <w:r w:rsidRPr="00BA193A">
        <w:rPr>
          <w:rStyle w:val="Refdenotaalpie"/>
          <w:rFonts w:ascii="Century Gothic" w:hAnsi="Century Gothic"/>
        </w:rPr>
        <w:footnoteRef/>
      </w:r>
      <w:r w:rsidRPr="00BA193A">
        <w:rPr>
          <w:rFonts w:ascii="Century Gothic" w:hAnsi="Century Gothic"/>
        </w:rPr>
        <w:t xml:space="preserve"> </w:t>
      </w:r>
      <w:r w:rsidRPr="00BA193A">
        <w:rPr>
          <w:rStyle w:val="ui-provider"/>
          <w:rFonts w:ascii="Century Gothic" w:hAnsi="Century Gothic"/>
        </w:rPr>
        <w:t>NEGI. 2021.  Censo de Población y Vivienda 2020. Síntesis metodológica y conceptual. México: I</w:t>
      </w:r>
      <w:r>
        <w:rPr>
          <w:rStyle w:val="ui-provider"/>
          <w:rFonts w:ascii="Century Gothic" w:hAnsi="Century Gothic"/>
        </w:rPr>
        <w:t xml:space="preserve">nstituto </w:t>
      </w:r>
      <w:r w:rsidRPr="00BA193A">
        <w:rPr>
          <w:rStyle w:val="ui-provider"/>
          <w:rFonts w:ascii="Century Gothic" w:hAnsi="Century Gothic"/>
        </w:rPr>
        <w:t>N</w:t>
      </w:r>
      <w:r>
        <w:rPr>
          <w:rStyle w:val="ui-provider"/>
          <w:rFonts w:ascii="Century Gothic" w:hAnsi="Century Gothic"/>
        </w:rPr>
        <w:t>acional de Información Estadística y Geografía</w:t>
      </w:r>
      <w:r w:rsidRPr="00BA193A">
        <w:rPr>
          <w:rStyle w:val="ui-provider"/>
          <w:rFonts w:ascii="Century Gothic" w:hAnsi="Century Gothic"/>
        </w:rPr>
        <w:t xml:space="preserve">. Disponible en: </w:t>
      </w:r>
      <w:hyperlink r:id="rId2" w:tgtFrame="_blank" w:tooltip="https://www.inegi.org.mx/contenidos/productos/prod_serv/contenidos/espanol/bvinegi/productos/nueva_estruc/702825197537.pdf" w:history="1">
        <w:r w:rsidRPr="00BA193A">
          <w:rPr>
            <w:rStyle w:val="Hipervnculo"/>
            <w:rFonts w:ascii="Century Gothic" w:hAnsi="Century Gothic"/>
          </w:rPr>
          <w:t>https://www.inegi.org.mx/contenidos/productos/prod_serv/contenidos/espanol/bvinegi/productos/nueva_estruc/702825197537.pdf</w:t>
        </w:r>
      </w:hyperlink>
    </w:p>
  </w:footnote>
  <w:footnote w:id="5">
    <w:p w14:paraId="2861DAE1" w14:textId="77777777" w:rsidR="002B6012" w:rsidRPr="00E963EE" w:rsidRDefault="002B6012" w:rsidP="00E963EE">
      <w:pPr>
        <w:pStyle w:val="Textonotapie"/>
        <w:ind w:right="-518"/>
        <w:rPr>
          <w:rFonts w:ascii="Century Gothic" w:hAnsi="Century Gothic"/>
        </w:rPr>
      </w:pPr>
      <w:r w:rsidRPr="00E963EE">
        <w:rPr>
          <w:rStyle w:val="Refdenotaalpie"/>
          <w:rFonts w:ascii="Century Gothic" w:hAnsi="Century Gothic"/>
        </w:rPr>
        <w:footnoteRef/>
      </w:r>
      <w:r w:rsidRPr="00E963EE">
        <w:rPr>
          <w:rFonts w:ascii="Century Gothic" w:hAnsi="Century Gothic"/>
        </w:rPr>
        <w:t xml:space="preserve"> Que además ha sido proporcionada oficialmente por esa institución y obra en los archivos de este Instituto. </w:t>
      </w:r>
    </w:p>
  </w:footnote>
  <w:footnote w:id="6">
    <w:p w14:paraId="4D16AE39" w14:textId="77777777" w:rsidR="002B6012" w:rsidRPr="00E963EE" w:rsidRDefault="002B6012" w:rsidP="00E963EE">
      <w:pPr>
        <w:pStyle w:val="Textonotapie"/>
        <w:ind w:right="-518"/>
        <w:jc w:val="both"/>
        <w:rPr>
          <w:rFonts w:ascii="Century Gothic" w:hAnsi="Century Gothic"/>
        </w:rPr>
      </w:pPr>
      <w:r w:rsidRPr="00E963EE">
        <w:rPr>
          <w:rStyle w:val="Refdenotaalpie"/>
          <w:rFonts w:ascii="Century Gothic" w:hAnsi="Century Gothic"/>
        </w:rPr>
        <w:footnoteRef/>
      </w:r>
      <w:r w:rsidRPr="00E963EE">
        <w:rPr>
          <w:rFonts w:ascii="Century Gothic" w:hAnsi="Century Gothic"/>
        </w:rPr>
        <w:t xml:space="preserve"> </w:t>
      </w:r>
      <w:r w:rsidRPr="00E963EE">
        <w:rPr>
          <w:rFonts w:ascii="Century Gothic" w:hAnsi="Century Gothic" w:cs="Arial"/>
          <w:color w:val="000000"/>
          <w:sz w:val="18"/>
          <w:szCs w:val="18"/>
          <w:shd w:val="clear" w:color="auto" w:fill="FFFFFF"/>
        </w:rPr>
        <w:t>INEGI. 2021. Censo de Población y Vivienda 2020. Tabulados del Cuestionario Ampliado.</w:t>
      </w:r>
      <w:r w:rsidRPr="00E963EE">
        <w:rPr>
          <w:rFonts w:ascii="Century Gothic" w:hAnsi="Century Gothic"/>
        </w:rPr>
        <w:t xml:space="preserve"> Estimadores de la población de 3 años y más y su distribución porcentual según condición de adscripción indígena por municipio y sexo.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7E2AA2EB" w:rsidR="00E963EE" w:rsidRDefault="00E963EE" w:rsidP="00E963EE">
    <w:pPr>
      <w:pStyle w:val="Encabezado"/>
    </w:pPr>
    <w:r w:rsidRPr="00525490">
      <w:rPr>
        <w:rFonts w:ascii="Century Gothic" w:hAnsi="Century Gothic"/>
        <w:noProof/>
        <w:sz w:val="23"/>
        <w:szCs w:val="23"/>
        <w:lang w:eastAsia="es-MX"/>
      </w:rPr>
      <w:drawing>
        <wp:inline distT="0" distB="0" distL="0" distR="0" wp14:anchorId="46C3CB2F" wp14:editId="25EFD090">
          <wp:extent cx="1364230" cy="766119"/>
          <wp:effectExtent l="0" t="0" r="762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51" cy="769163"/>
                  </a:xfrm>
                  <a:prstGeom prst="rect">
                    <a:avLst/>
                  </a:prstGeom>
                  <a:noFill/>
                  <a:ln>
                    <a:noFill/>
                  </a:ln>
                </pic:spPr>
              </pic:pic>
            </a:graphicData>
          </a:graphic>
        </wp:inline>
      </w:drawing>
    </w: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727A"/>
    <w:rsid w:val="0003027A"/>
    <w:rsid w:val="00045BBB"/>
    <w:rsid w:val="00047C1E"/>
    <w:rsid w:val="000506DF"/>
    <w:rsid w:val="00054F43"/>
    <w:rsid w:val="00056C91"/>
    <w:rsid w:val="000725A1"/>
    <w:rsid w:val="00074D17"/>
    <w:rsid w:val="00084840"/>
    <w:rsid w:val="00085C9E"/>
    <w:rsid w:val="00094746"/>
    <w:rsid w:val="00094B74"/>
    <w:rsid w:val="000964AD"/>
    <w:rsid w:val="0009764E"/>
    <w:rsid w:val="00097F1E"/>
    <w:rsid w:val="000A2E93"/>
    <w:rsid w:val="000B4480"/>
    <w:rsid w:val="000C26B3"/>
    <w:rsid w:val="000C326D"/>
    <w:rsid w:val="000C43FE"/>
    <w:rsid w:val="000C5FC6"/>
    <w:rsid w:val="000C6202"/>
    <w:rsid w:val="000E480F"/>
    <w:rsid w:val="000F1AB4"/>
    <w:rsid w:val="000F1AE6"/>
    <w:rsid w:val="000F52B3"/>
    <w:rsid w:val="00104079"/>
    <w:rsid w:val="001044B3"/>
    <w:rsid w:val="00107BAF"/>
    <w:rsid w:val="00117085"/>
    <w:rsid w:val="00120374"/>
    <w:rsid w:val="00122C8C"/>
    <w:rsid w:val="001259F8"/>
    <w:rsid w:val="00136D88"/>
    <w:rsid w:val="00140A3E"/>
    <w:rsid w:val="00150DB6"/>
    <w:rsid w:val="00156ECD"/>
    <w:rsid w:val="001632B8"/>
    <w:rsid w:val="001633D8"/>
    <w:rsid w:val="0016358A"/>
    <w:rsid w:val="00170F9B"/>
    <w:rsid w:val="0017166A"/>
    <w:rsid w:val="00171FE3"/>
    <w:rsid w:val="001737BC"/>
    <w:rsid w:val="0017602B"/>
    <w:rsid w:val="00176A0B"/>
    <w:rsid w:val="001856C3"/>
    <w:rsid w:val="001918C7"/>
    <w:rsid w:val="001920DD"/>
    <w:rsid w:val="001A16D2"/>
    <w:rsid w:val="001A4768"/>
    <w:rsid w:val="001A5926"/>
    <w:rsid w:val="001B45E4"/>
    <w:rsid w:val="001C67B8"/>
    <w:rsid w:val="001D3070"/>
    <w:rsid w:val="001D5EF7"/>
    <w:rsid w:val="001D79E1"/>
    <w:rsid w:val="001E1D00"/>
    <w:rsid w:val="001E2FD9"/>
    <w:rsid w:val="001F5383"/>
    <w:rsid w:val="001F6F4E"/>
    <w:rsid w:val="00201A03"/>
    <w:rsid w:val="00214601"/>
    <w:rsid w:val="002151F6"/>
    <w:rsid w:val="0021787C"/>
    <w:rsid w:val="00226FC2"/>
    <w:rsid w:val="002315CA"/>
    <w:rsid w:val="00234264"/>
    <w:rsid w:val="00242F12"/>
    <w:rsid w:val="00244CF8"/>
    <w:rsid w:val="00252673"/>
    <w:rsid w:val="00256B9B"/>
    <w:rsid w:val="00264CB5"/>
    <w:rsid w:val="00265648"/>
    <w:rsid w:val="002723E6"/>
    <w:rsid w:val="00285437"/>
    <w:rsid w:val="00287DFC"/>
    <w:rsid w:val="00295CA0"/>
    <w:rsid w:val="002A63B5"/>
    <w:rsid w:val="002B2F1A"/>
    <w:rsid w:val="002B6012"/>
    <w:rsid w:val="002C094F"/>
    <w:rsid w:val="002C3C84"/>
    <w:rsid w:val="002D2974"/>
    <w:rsid w:val="002F50C6"/>
    <w:rsid w:val="00302049"/>
    <w:rsid w:val="0030470F"/>
    <w:rsid w:val="00312FC2"/>
    <w:rsid w:val="00321090"/>
    <w:rsid w:val="00323C13"/>
    <w:rsid w:val="00330353"/>
    <w:rsid w:val="00336CCB"/>
    <w:rsid w:val="00340FEC"/>
    <w:rsid w:val="00343DC9"/>
    <w:rsid w:val="00351929"/>
    <w:rsid w:val="003533DC"/>
    <w:rsid w:val="0035581A"/>
    <w:rsid w:val="00365364"/>
    <w:rsid w:val="0037139E"/>
    <w:rsid w:val="003735A6"/>
    <w:rsid w:val="00374EC1"/>
    <w:rsid w:val="003762E6"/>
    <w:rsid w:val="00382C45"/>
    <w:rsid w:val="00385023"/>
    <w:rsid w:val="00393B1F"/>
    <w:rsid w:val="003955D4"/>
    <w:rsid w:val="003965CA"/>
    <w:rsid w:val="00396B1D"/>
    <w:rsid w:val="003A5170"/>
    <w:rsid w:val="003B65F5"/>
    <w:rsid w:val="003E0F2F"/>
    <w:rsid w:val="003E16AD"/>
    <w:rsid w:val="003E43E3"/>
    <w:rsid w:val="003F36CF"/>
    <w:rsid w:val="003F37BC"/>
    <w:rsid w:val="00402B5D"/>
    <w:rsid w:val="00420A98"/>
    <w:rsid w:val="00423058"/>
    <w:rsid w:val="00433CBC"/>
    <w:rsid w:val="004346EE"/>
    <w:rsid w:val="00444809"/>
    <w:rsid w:val="004579A1"/>
    <w:rsid w:val="0046261A"/>
    <w:rsid w:val="004647C1"/>
    <w:rsid w:val="004677C7"/>
    <w:rsid w:val="00480665"/>
    <w:rsid w:val="00480B3F"/>
    <w:rsid w:val="00482624"/>
    <w:rsid w:val="00482990"/>
    <w:rsid w:val="00485E99"/>
    <w:rsid w:val="00496A2F"/>
    <w:rsid w:val="004A5960"/>
    <w:rsid w:val="004B69E4"/>
    <w:rsid w:val="004C1936"/>
    <w:rsid w:val="004C5E34"/>
    <w:rsid w:val="004E6084"/>
    <w:rsid w:val="004F02CD"/>
    <w:rsid w:val="0050713C"/>
    <w:rsid w:val="00514B78"/>
    <w:rsid w:val="00516529"/>
    <w:rsid w:val="0052104A"/>
    <w:rsid w:val="00522C0E"/>
    <w:rsid w:val="00530673"/>
    <w:rsid w:val="0053274D"/>
    <w:rsid w:val="00532CAC"/>
    <w:rsid w:val="0053542B"/>
    <w:rsid w:val="00544271"/>
    <w:rsid w:val="0054615D"/>
    <w:rsid w:val="00563037"/>
    <w:rsid w:val="00571649"/>
    <w:rsid w:val="00577702"/>
    <w:rsid w:val="00581067"/>
    <w:rsid w:val="00585EE7"/>
    <w:rsid w:val="00594EF5"/>
    <w:rsid w:val="005B006A"/>
    <w:rsid w:val="005B18E6"/>
    <w:rsid w:val="005C6E7F"/>
    <w:rsid w:val="005D069E"/>
    <w:rsid w:val="005F772F"/>
    <w:rsid w:val="00600993"/>
    <w:rsid w:val="00600A93"/>
    <w:rsid w:val="00623B28"/>
    <w:rsid w:val="0062667E"/>
    <w:rsid w:val="006360EA"/>
    <w:rsid w:val="0064105E"/>
    <w:rsid w:val="0064427E"/>
    <w:rsid w:val="0064493B"/>
    <w:rsid w:val="006449E6"/>
    <w:rsid w:val="006457CE"/>
    <w:rsid w:val="00647BCF"/>
    <w:rsid w:val="00662B26"/>
    <w:rsid w:val="00671C3F"/>
    <w:rsid w:val="00673C61"/>
    <w:rsid w:val="00677198"/>
    <w:rsid w:val="00680928"/>
    <w:rsid w:val="00681334"/>
    <w:rsid w:val="00681C8D"/>
    <w:rsid w:val="006A1BD5"/>
    <w:rsid w:val="006A283A"/>
    <w:rsid w:val="006D1CC1"/>
    <w:rsid w:val="006F31F2"/>
    <w:rsid w:val="007000E6"/>
    <w:rsid w:val="00701F2D"/>
    <w:rsid w:val="00703D7E"/>
    <w:rsid w:val="00706119"/>
    <w:rsid w:val="00714D0D"/>
    <w:rsid w:val="00716183"/>
    <w:rsid w:val="00716D81"/>
    <w:rsid w:val="0072197A"/>
    <w:rsid w:val="00721EE8"/>
    <w:rsid w:val="00725156"/>
    <w:rsid w:val="007263A9"/>
    <w:rsid w:val="00744CBC"/>
    <w:rsid w:val="00745111"/>
    <w:rsid w:val="0075189D"/>
    <w:rsid w:val="0075383F"/>
    <w:rsid w:val="00756D94"/>
    <w:rsid w:val="007950BE"/>
    <w:rsid w:val="0079767C"/>
    <w:rsid w:val="007A0B68"/>
    <w:rsid w:val="007A0BB0"/>
    <w:rsid w:val="007B22BE"/>
    <w:rsid w:val="007B2F2E"/>
    <w:rsid w:val="007C2CD6"/>
    <w:rsid w:val="007C370D"/>
    <w:rsid w:val="007C3D4C"/>
    <w:rsid w:val="007D1B5B"/>
    <w:rsid w:val="007D4808"/>
    <w:rsid w:val="007D6B4D"/>
    <w:rsid w:val="007D6EB3"/>
    <w:rsid w:val="007E045E"/>
    <w:rsid w:val="007E153F"/>
    <w:rsid w:val="007E6E77"/>
    <w:rsid w:val="007F7A2D"/>
    <w:rsid w:val="0080477F"/>
    <w:rsid w:val="00812348"/>
    <w:rsid w:val="0081280C"/>
    <w:rsid w:val="00814E13"/>
    <w:rsid w:val="00816C5D"/>
    <w:rsid w:val="008213E9"/>
    <w:rsid w:val="00821F2B"/>
    <w:rsid w:val="008276FF"/>
    <w:rsid w:val="00837888"/>
    <w:rsid w:val="0084265B"/>
    <w:rsid w:val="008501F5"/>
    <w:rsid w:val="008628A3"/>
    <w:rsid w:val="00865615"/>
    <w:rsid w:val="00865955"/>
    <w:rsid w:val="00870367"/>
    <w:rsid w:val="00872F93"/>
    <w:rsid w:val="008776BF"/>
    <w:rsid w:val="00883C8F"/>
    <w:rsid w:val="0089601F"/>
    <w:rsid w:val="008A5583"/>
    <w:rsid w:val="008B0E86"/>
    <w:rsid w:val="008B0F4A"/>
    <w:rsid w:val="008B1B26"/>
    <w:rsid w:val="008B581E"/>
    <w:rsid w:val="008C0C00"/>
    <w:rsid w:val="008D036C"/>
    <w:rsid w:val="008D2452"/>
    <w:rsid w:val="008D342B"/>
    <w:rsid w:val="008D7EB3"/>
    <w:rsid w:val="008E6B0D"/>
    <w:rsid w:val="008F3991"/>
    <w:rsid w:val="008F6A8C"/>
    <w:rsid w:val="009006B1"/>
    <w:rsid w:val="00907491"/>
    <w:rsid w:val="00907759"/>
    <w:rsid w:val="00910FC7"/>
    <w:rsid w:val="00911026"/>
    <w:rsid w:val="00927758"/>
    <w:rsid w:val="00941238"/>
    <w:rsid w:val="00952DFC"/>
    <w:rsid w:val="0095658A"/>
    <w:rsid w:val="00983997"/>
    <w:rsid w:val="009931C3"/>
    <w:rsid w:val="00993593"/>
    <w:rsid w:val="009B1349"/>
    <w:rsid w:val="009B2D22"/>
    <w:rsid w:val="009B2DBC"/>
    <w:rsid w:val="009C01F3"/>
    <w:rsid w:val="009C0A22"/>
    <w:rsid w:val="009C7F97"/>
    <w:rsid w:val="009F1955"/>
    <w:rsid w:val="009F3C12"/>
    <w:rsid w:val="00A00271"/>
    <w:rsid w:val="00A1249F"/>
    <w:rsid w:val="00A140A9"/>
    <w:rsid w:val="00A164D7"/>
    <w:rsid w:val="00A1665C"/>
    <w:rsid w:val="00A204CF"/>
    <w:rsid w:val="00A2183C"/>
    <w:rsid w:val="00A3316E"/>
    <w:rsid w:val="00A37E34"/>
    <w:rsid w:val="00A42553"/>
    <w:rsid w:val="00A44235"/>
    <w:rsid w:val="00A54518"/>
    <w:rsid w:val="00A54577"/>
    <w:rsid w:val="00A54673"/>
    <w:rsid w:val="00A54906"/>
    <w:rsid w:val="00A55855"/>
    <w:rsid w:val="00A563ED"/>
    <w:rsid w:val="00A56DC4"/>
    <w:rsid w:val="00A61FAA"/>
    <w:rsid w:val="00A63424"/>
    <w:rsid w:val="00A65A16"/>
    <w:rsid w:val="00A7642D"/>
    <w:rsid w:val="00A840D3"/>
    <w:rsid w:val="00A8557F"/>
    <w:rsid w:val="00A90CEC"/>
    <w:rsid w:val="00A91F10"/>
    <w:rsid w:val="00AA0F80"/>
    <w:rsid w:val="00AA3410"/>
    <w:rsid w:val="00AA3B38"/>
    <w:rsid w:val="00AB7799"/>
    <w:rsid w:val="00AC1961"/>
    <w:rsid w:val="00AD0576"/>
    <w:rsid w:val="00AE1BE8"/>
    <w:rsid w:val="00AF01B5"/>
    <w:rsid w:val="00AF4676"/>
    <w:rsid w:val="00B070C2"/>
    <w:rsid w:val="00B108D3"/>
    <w:rsid w:val="00B2357A"/>
    <w:rsid w:val="00B267F1"/>
    <w:rsid w:val="00B27140"/>
    <w:rsid w:val="00B37247"/>
    <w:rsid w:val="00B41FA7"/>
    <w:rsid w:val="00B42107"/>
    <w:rsid w:val="00B47A95"/>
    <w:rsid w:val="00B5180A"/>
    <w:rsid w:val="00B6792A"/>
    <w:rsid w:val="00B73F54"/>
    <w:rsid w:val="00B7738B"/>
    <w:rsid w:val="00B7773F"/>
    <w:rsid w:val="00B90030"/>
    <w:rsid w:val="00B96AC0"/>
    <w:rsid w:val="00BA193A"/>
    <w:rsid w:val="00BA5F3B"/>
    <w:rsid w:val="00BB22C3"/>
    <w:rsid w:val="00BC0864"/>
    <w:rsid w:val="00BC5F5C"/>
    <w:rsid w:val="00BD7CA4"/>
    <w:rsid w:val="00BE2A9E"/>
    <w:rsid w:val="00BE5FF6"/>
    <w:rsid w:val="00BE73FB"/>
    <w:rsid w:val="00BE7E27"/>
    <w:rsid w:val="00BF4AA6"/>
    <w:rsid w:val="00C034DB"/>
    <w:rsid w:val="00C05ECC"/>
    <w:rsid w:val="00C34B88"/>
    <w:rsid w:val="00C421C5"/>
    <w:rsid w:val="00C42CAD"/>
    <w:rsid w:val="00C516DF"/>
    <w:rsid w:val="00C532BE"/>
    <w:rsid w:val="00C554A4"/>
    <w:rsid w:val="00C611F1"/>
    <w:rsid w:val="00C64F88"/>
    <w:rsid w:val="00C6676B"/>
    <w:rsid w:val="00C66988"/>
    <w:rsid w:val="00C70090"/>
    <w:rsid w:val="00C7625B"/>
    <w:rsid w:val="00C83FE6"/>
    <w:rsid w:val="00C85FB9"/>
    <w:rsid w:val="00CA0E9E"/>
    <w:rsid w:val="00CA4AB1"/>
    <w:rsid w:val="00CB4047"/>
    <w:rsid w:val="00CC560B"/>
    <w:rsid w:val="00CD3EF9"/>
    <w:rsid w:val="00CD6A83"/>
    <w:rsid w:val="00CD76D9"/>
    <w:rsid w:val="00CD7770"/>
    <w:rsid w:val="00CE3127"/>
    <w:rsid w:val="00CE5E96"/>
    <w:rsid w:val="00CF07C2"/>
    <w:rsid w:val="00D00B84"/>
    <w:rsid w:val="00D01D63"/>
    <w:rsid w:val="00D164B1"/>
    <w:rsid w:val="00D254D1"/>
    <w:rsid w:val="00D3104F"/>
    <w:rsid w:val="00D35531"/>
    <w:rsid w:val="00D42157"/>
    <w:rsid w:val="00D516E3"/>
    <w:rsid w:val="00D5173B"/>
    <w:rsid w:val="00D5485F"/>
    <w:rsid w:val="00D576E4"/>
    <w:rsid w:val="00D60D28"/>
    <w:rsid w:val="00D640DD"/>
    <w:rsid w:val="00D76447"/>
    <w:rsid w:val="00D97F40"/>
    <w:rsid w:val="00DB12A2"/>
    <w:rsid w:val="00DB13B6"/>
    <w:rsid w:val="00DB4C1F"/>
    <w:rsid w:val="00DD353D"/>
    <w:rsid w:val="00DE36ED"/>
    <w:rsid w:val="00DE6972"/>
    <w:rsid w:val="00DF0313"/>
    <w:rsid w:val="00DF714D"/>
    <w:rsid w:val="00E0009F"/>
    <w:rsid w:val="00E07D4D"/>
    <w:rsid w:val="00E13BEA"/>
    <w:rsid w:val="00E15AA7"/>
    <w:rsid w:val="00E22246"/>
    <w:rsid w:val="00E25897"/>
    <w:rsid w:val="00E3050D"/>
    <w:rsid w:val="00E3204D"/>
    <w:rsid w:val="00E32F3C"/>
    <w:rsid w:val="00E37F04"/>
    <w:rsid w:val="00E40ACB"/>
    <w:rsid w:val="00E44784"/>
    <w:rsid w:val="00E5596C"/>
    <w:rsid w:val="00E56615"/>
    <w:rsid w:val="00E5774C"/>
    <w:rsid w:val="00E64D4C"/>
    <w:rsid w:val="00E72E88"/>
    <w:rsid w:val="00E74D25"/>
    <w:rsid w:val="00E7718B"/>
    <w:rsid w:val="00E810F5"/>
    <w:rsid w:val="00E8747A"/>
    <w:rsid w:val="00E963EE"/>
    <w:rsid w:val="00EA2C3E"/>
    <w:rsid w:val="00EA68FE"/>
    <w:rsid w:val="00EA6A14"/>
    <w:rsid w:val="00EB0563"/>
    <w:rsid w:val="00EB089C"/>
    <w:rsid w:val="00EB2461"/>
    <w:rsid w:val="00EB2F9A"/>
    <w:rsid w:val="00EC005B"/>
    <w:rsid w:val="00ED0042"/>
    <w:rsid w:val="00ED336C"/>
    <w:rsid w:val="00ED3F01"/>
    <w:rsid w:val="00EE6BDF"/>
    <w:rsid w:val="00EF08CA"/>
    <w:rsid w:val="00EF4458"/>
    <w:rsid w:val="00F1361B"/>
    <w:rsid w:val="00F20B4A"/>
    <w:rsid w:val="00F21E2E"/>
    <w:rsid w:val="00F2344D"/>
    <w:rsid w:val="00F24D49"/>
    <w:rsid w:val="00F3087C"/>
    <w:rsid w:val="00F37F98"/>
    <w:rsid w:val="00F468EA"/>
    <w:rsid w:val="00F4712B"/>
    <w:rsid w:val="00F553B4"/>
    <w:rsid w:val="00F55F9E"/>
    <w:rsid w:val="00F618DE"/>
    <w:rsid w:val="00F641FD"/>
    <w:rsid w:val="00F6783F"/>
    <w:rsid w:val="00F71FFB"/>
    <w:rsid w:val="00F772FC"/>
    <w:rsid w:val="00F8238B"/>
    <w:rsid w:val="00F864D7"/>
    <w:rsid w:val="00F878D0"/>
    <w:rsid w:val="00F921D5"/>
    <w:rsid w:val="00F931FD"/>
    <w:rsid w:val="00FC22D9"/>
    <w:rsid w:val="00FC26BA"/>
    <w:rsid w:val="00FC5573"/>
    <w:rsid w:val="00FD4C03"/>
    <w:rsid w:val="00FE28AE"/>
    <w:rsid w:val="00FE2AEE"/>
    <w:rsid w:val="00FE6BC2"/>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productos/prod_serv/contenidos/espanol/bvinegi/productos/nueva_estruc/702825197537.pdf" TargetMode="External"/><Relationship Id="rId1" Type="http://schemas.openxmlformats.org/officeDocument/2006/relationships/hyperlink" Target="https://www.te.gob.mx/IUSEapp/tesisjur.aspx?idtesis=12/2013&amp;tpoBusqueda=S&amp;sWord=COMUNIDADES,IND%c3%8dGENAS.,EL,CRITERIO,DE,AUTOADSCRIPCI%c3%93N,ES,SUFICIENTE,PARA,RECONOCER,A,SUS,INTEGRA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3.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23049</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4</cp:revision>
  <cp:lastPrinted>2023-05-26T22:02:00Z</cp:lastPrinted>
  <dcterms:created xsi:type="dcterms:W3CDTF">2023-05-26T23:00:00Z</dcterms:created>
  <dcterms:modified xsi:type="dcterms:W3CDTF">2023-05-30T18:09:00Z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