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E5576" w14:textId="25DC37DE" w:rsidR="00737C3A" w:rsidRPr="00A04585" w:rsidRDefault="00737C3A" w:rsidP="002E7CFF">
      <w:pPr>
        <w:jc w:val="both"/>
        <w:rPr>
          <w:rFonts w:ascii="Trebuchet MS" w:hAnsi="Trebuchet MS"/>
          <w:b/>
          <w:bCs/>
          <w:lang w:val="es-ES_tradnl"/>
        </w:rPr>
      </w:pPr>
      <w:r w:rsidRPr="00A04585">
        <w:rPr>
          <w:rFonts w:ascii="Trebuchet MS" w:hAnsi="Trebuchet MS"/>
          <w:b/>
          <w:bCs/>
          <w:lang w:val="es-ES_tradnl"/>
        </w:rPr>
        <w:t>ACUERDO DEL CONSEJO GENERAL DEL INSTITUTO ELECTORAL Y DE PARTICIPACIÓN CIUDADANA DEL ESTADO DE JALISCO POR EL QUE SE ESTABLECE</w:t>
      </w:r>
      <w:r w:rsidR="00574BE6" w:rsidRPr="00A04585">
        <w:rPr>
          <w:rFonts w:ascii="Trebuchet MS" w:hAnsi="Trebuchet MS"/>
          <w:b/>
          <w:bCs/>
          <w:lang w:val="es-ES_tradnl"/>
        </w:rPr>
        <w:t xml:space="preserve"> EL MONTO DE</w:t>
      </w:r>
      <w:r w:rsidR="00265337" w:rsidRPr="00A04585">
        <w:rPr>
          <w:rFonts w:ascii="Trebuchet MS" w:hAnsi="Trebuchet MS"/>
          <w:b/>
          <w:bCs/>
          <w:lang w:val="es-ES_tradnl"/>
        </w:rPr>
        <w:t>L</w:t>
      </w:r>
      <w:r w:rsidRPr="00A04585">
        <w:rPr>
          <w:rFonts w:ascii="Trebuchet MS" w:hAnsi="Trebuchet MS"/>
          <w:b/>
          <w:bCs/>
          <w:lang w:val="es-ES_tradnl"/>
        </w:rPr>
        <w:t xml:space="preserve"> FINANCIAMIENTO PÚBLICO LOCAL QUE CORRESPONDE A LOS PARTIDOS POLÍTICOS NACIONALES CON ACREDITACIÓN EN LA ENTIDAD FEDERATIVA, ASÍ COMO A LOS PARTIDOS POLÍTICOS ESTATALES </w:t>
      </w:r>
      <w:r w:rsidR="00265337" w:rsidRPr="00A04585">
        <w:rPr>
          <w:rFonts w:ascii="Trebuchet MS" w:hAnsi="Trebuchet MS"/>
          <w:b/>
          <w:bCs/>
          <w:lang w:val="es-ES_tradnl"/>
        </w:rPr>
        <w:t xml:space="preserve">CON DERECHO A RECIBIRLO, </w:t>
      </w:r>
      <w:r w:rsidRPr="00A04585">
        <w:rPr>
          <w:rFonts w:ascii="Trebuchet MS" w:hAnsi="Trebuchet MS"/>
          <w:b/>
          <w:bCs/>
          <w:lang w:val="es-ES_tradnl"/>
        </w:rPr>
        <w:t xml:space="preserve">PARA EL EJERCICIO FISCAL </w:t>
      </w:r>
      <w:r w:rsidR="00853EE2" w:rsidRPr="00A04585">
        <w:rPr>
          <w:rFonts w:ascii="Trebuchet MS" w:hAnsi="Trebuchet MS"/>
          <w:b/>
          <w:bCs/>
          <w:lang w:val="es-ES_tradnl"/>
        </w:rPr>
        <w:t xml:space="preserve">DOS MIL </w:t>
      </w:r>
      <w:r w:rsidR="002E7CFF" w:rsidRPr="00A04585">
        <w:rPr>
          <w:rFonts w:ascii="Trebuchet MS" w:hAnsi="Trebuchet MS"/>
          <w:b/>
          <w:bCs/>
          <w:lang w:val="es-ES_tradnl"/>
        </w:rPr>
        <w:t xml:space="preserve">VEINTITRÉS, Y </w:t>
      </w:r>
      <w:r w:rsidR="00265337" w:rsidRPr="00A04585">
        <w:rPr>
          <w:rFonts w:ascii="Trebuchet MS" w:hAnsi="Trebuchet MS"/>
          <w:b/>
          <w:bCs/>
          <w:lang w:val="es-ES_tradnl"/>
        </w:rPr>
        <w:t xml:space="preserve">APRUEBA EL CALENDARIO OFICIAL PARA SU OTORGAMIENTO. </w:t>
      </w:r>
    </w:p>
    <w:p w14:paraId="3F204422" w14:textId="77777777" w:rsidR="00F040EE" w:rsidRPr="00A04585" w:rsidRDefault="00F040EE" w:rsidP="002E7CFF">
      <w:pPr>
        <w:jc w:val="both"/>
        <w:rPr>
          <w:rFonts w:ascii="Trebuchet MS" w:hAnsi="Trebuchet MS"/>
          <w:b/>
          <w:bCs/>
          <w:lang w:val="es-ES_tradnl"/>
        </w:rPr>
      </w:pPr>
    </w:p>
    <w:p w14:paraId="7598C774" w14:textId="0128A6E7" w:rsidR="00737C3A" w:rsidRPr="00A04585" w:rsidRDefault="00737C3A" w:rsidP="002E7CFF">
      <w:pPr>
        <w:jc w:val="both"/>
        <w:rPr>
          <w:rFonts w:ascii="Trebuchet MS" w:hAnsi="Trebuchet MS"/>
          <w:b/>
          <w:bCs/>
          <w:lang w:val="es-ES_tradnl"/>
        </w:rPr>
      </w:pPr>
    </w:p>
    <w:p w14:paraId="0F97A5D7" w14:textId="376DC415" w:rsidR="00737C3A" w:rsidRPr="00A04585" w:rsidRDefault="008D7D9A" w:rsidP="002E7CFF">
      <w:pPr>
        <w:jc w:val="center"/>
        <w:rPr>
          <w:rFonts w:ascii="Trebuchet MS" w:hAnsi="Trebuchet MS"/>
          <w:b/>
          <w:bCs/>
          <w:lang w:val="es-ES_tradnl"/>
        </w:rPr>
      </w:pPr>
      <w:r w:rsidRPr="00A04585">
        <w:rPr>
          <w:rFonts w:ascii="Trebuchet MS" w:hAnsi="Trebuchet MS"/>
          <w:b/>
          <w:bCs/>
          <w:lang w:val="es-ES_tradnl"/>
        </w:rPr>
        <w:t>A</w:t>
      </w:r>
      <w:r w:rsidR="007C099E" w:rsidRPr="00A04585">
        <w:rPr>
          <w:rFonts w:ascii="Trebuchet MS" w:hAnsi="Trebuchet MS"/>
          <w:b/>
          <w:bCs/>
          <w:lang w:val="es-ES_tradnl"/>
        </w:rPr>
        <w:t xml:space="preserve"> </w:t>
      </w:r>
      <w:r w:rsidRPr="00A04585">
        <w:rPr>
          <w:rFonts w:ascii="Trebuchet MS" w:hAnsi="Trebuchet MS"/>
          <w:b/>
          <w:bCs/>
          <w:lang w:val="es-ES_tradnl"/>
        </w:rPr>
        <w:t>N</w:t>
      </w:r>
      <w:r w:rsidR="007C099E" w:rsidRPr="00A04585">
        <w:rPr>
          <w:rFonts w:ascii="Trebuchet MS" w:hAnsi="Trebuchet MS"/>
          <w:b/>
          <w:bCs/>
          <w:lang w:val="es-ES_tradnl"/>
        </w:rPr>
        <w:t xml:space="preserve"> </w:t>
      </w:r>
      <w:r w:rsidRPr="00A04585">
        <w:rPr>
          <w:rFonts w:ascii="Trebuchet MS" w:hAnsi="Trebuchet MS"/>
          <w:b/>
          <w:bCs/>
          <w:lang w:val="es-ES_tradnl"/>
        </w:rPr>
        <w:t>T</w:t>
      </w:r>
      <w:r w:rsidR="007C099E" w:rsidRPr="00A04585">
        <w:rPr>
          <w:rFonts w:ascii="Trebuchet MS" w:hAnsi="Trebuchet MS"/>
          <w:b/>
          <w:bCs/>
          <w:lang w:val="es-ES_tradnl"/>
        </w:rPr>
        <w:t xml:space="preserve"> </w:t>
      </w:r>
      <w:r w:rsidRPr="00A04585">
        <w:rPr>
          <w:rFonts w:ascii="Trebuchet MS" w:hAnsi="Trebuchet MS"/>
          <w:b/>
          <w:bCs/>
          <w:lang w:val="es-ES_tradnl"/>
        </w:rPr>
        <w:t>E</w:t>
      </w:r>
      <w:r w:rsidR="007C099E" w:rsidRPr="00A04585">
        <w:rPr>
          <w:rFonts w:ascii="Trebuchet MS" w:hAnsi="Trebuchet MS"/>
          <w:b/>
          <w:bCs/>
          <w:lang w:val="es-ES_tradnl"/>
        </w:rPr>
        <w:t xml:space="preserve"> </w:t>
      </w:r>
      <w:r w:rsidRPr="00A04585">
        <w:rPr>
          <w:rFonts w:ascii="Trebuchet MS" w:hAnsi="Trebuchet MS"/>
          <w:b/>
          <w:bCs/>
          <w:lang w:val="es-ES_tradnl"/>
        </w:rPr>
        <w:t>C</w:t>
      </w:r>
      <w:r w:rsidR="007C099E" w:rsidRPr="00A04585">
        <w:rPr>
          <w:rFonts w:ascii="Trebuchet MS" w:hAnsi="Trebuchet MS"/>
          <w:b/>
          <w:bCs/>
          <w:lang w:val="es-ES_tradnl"/>
        </w:rPr>
        <w:t xml:space="preserve"> </w:t>
      </w:r>
      <w:r w:rsidRPr="00A04585">
        <w:rPr>
          <w:rFonts w:ascii="Trebuchet MS" w:hAnsi="Trebuchet MS"/>
          <w:b/>
          <w:bCs/>
          <w:lang w:val="es-ES_tradnl"/>
        </w:rPr>
        <w:t>E</w:t>
      </w:r>
      <w:r w:rsidR="007C099E" w:rsidRPr="00A04585">
        <w:rPr>
          <w:rFonts w:ascii="Trebuchet MS" w:hAnsi="Trebuchet MS"/>
          <w:b/>
          <w:bCs/>
          <w:lang w:val="es-ES_tradnl"/>
        </w:rPr>
        <w:t xml:space="preserve"> </w:t>
      </w:r>
      <w:r w:rsidRPr="00A04585">
        <w:rPr>
          <w:rFonts w:ascii="Trebuchet MS" w:hAnsi="Trebuchet MS"/>
          <w:b/>
          <w:bCs/>
          <w:lang w:val="es-ES_tradnl"/>
        </w:rPr>
        <w:t>D</w:t>
      </w:r>
      <w:r w:rsidR="007C099E" w:rsidRPr="00A04585">
        <w:rPr>
          <w:rFonts w:ascii="Trebuchet MS" w:hAnsi="Trebuchet MS"/>
          <w:b/>
          <w:bCs/>
          <w:lang w:val="es-ES_tradnl"/>
        </w:rPr>
        <w:t xml:space="preserve"> </w:t>
      </w:r>
      <w:r w:rsidRPr="00A04585">
        <w:rPr>
          <w:rFonts w:ascii="Trebuchet MS" w:hAnsi="Trebuchet MS"/>
          <w:b/>
          <w:bCs/>
          <w:lang w:val="es-ES_tradnl"/>
        </w:rPr>
        <w:t>E</w:t>
      </w:r>
      <w:r w:rsidR="007C099E" w:rsidRPr="00A04585">
        <w:rPr>
          <w:rFonts w:ascii="Trebuchet MS" w:hAnsi="Trebuchet MS"/>
          <w:b/>
          <w:bCs/>
          <w:lang w:val="es-ES_tradnl"/>
        </w:rPr>
        <w:t xml:space="preserve"> </w:t>
      </w:r>
      <w:r w:rsidRPr="00A04585">
        <w:rPr>
          <w:rFonts w:ascii="Trebuchet MS" w:hAnsi="Trebuchet MS"/>
          <w:b/>
          <w:bCs/>
          <w:lang w:val="es-ES_tradnl"/>
        </w:rPr>
        <w:t>N</w:t>
      </w:r>
      <w:r w:rsidR="007C099E" w:rsidRPr="00A04585">
        <w:rPr>
          <w:rFonts w:ascii="Trebuchet MS" w:hAnsi="Trebuchet MS"/>
          <w:b/>
          <w:bCs/>
          <w:lang w:val="es-ES_tradnl"/>
        </w:rPr>
        <w:t xml:space="preserve"> </w:t>
      </w:r>
      <w:r w:rsidRPr="00A04585">
        <w:rPr>
          <w:rFonts w:ascii="Trebuchet MS" w:hAnsi="Trebuchet MS"/>
          <w:b/>
          <w:bCs/>
          <w:lang w:val="es-ES_tradnl"/>
        </w:rPr>
        <w:t>T</w:t>
      </w:r>
      <w:r w:rsidR="007C099E" w:rsidRPr="00A04585">
        <w:rPr>
          <w:rFonts w:ascii="Trebuchet MS" w:hAnsi="Trebuchet MS"/>
          <w:b/>
          <w:bCs/>
          <w:lang w:val="es-ES_tradnl"/>
        </w:rPr>
        <w:t xml:space="preserve"> </w:t>
      </w:r>
      <w:r w:rsidRPr="00A04585">
        <w:rPr>
          <w:rFonts w:ascii="Trebuchet MS" w:hAnsi="Trebuchet MS"/>
          <w:b/>
          <w:bCs/>
          <w:lang w:val="es-ES_tradnl"/>
        </w:rPr>
        <w:t>E</w:t>
      </w:r>
      <w:r w:rsidR="007C099E" w:rsidRPr="00A04585">
        <w:rPr>
          <w:rFonts w:ascii="Trebuchet MS" w:hAnsi="Trebuchet MS"/>
          <w:b/>
          <w:bCs/>
          <w:lang w:val="es-ES_tradnl"/>
        </w:rPr>
        <w:t xml:space="preserve"> </w:t>
      </w:r>
      <w:r w:rsidRPr="00A04585">
        <w:rPr>
          <w:rFonts w:ascii="Trebuchet MS" w:hAnsi="Trebuchet MS"/>
          <w:b/>
          <w:bCs/>
          <w:lang w:val="es-ES_tradnl"/>
        </w:rPr>
        <w:t>S</w:t>
      </w:r>
    </w:p>
    <w:p w14:paraId="53E29F72" w14:textId="77777777" w:rsidR="00F040EE" w:rsidRPr="00A04585" w:rsidRDefault="00F040EE" w:rsidP="002E7CFF">
      <w:pPr>
        <w:jc w:val="center"/>
        <w:rPr>
          <w:rFonts w:ascii="Trebuchet MS" w:hAnsi="Trebuchet MS"/>
          <w:b/>
          <w:bCs/>
          <w:lang w:val="es-ES_tradnl"/>
        </w:rPr>
      </w:pPr>
    </w:p>
    <w:p w14:paraId="638A4975" w14:textId="1D678586" w:rsidR="008D7D9A" w:rsidRPr="00A04585" w:rsidRDefault="008D7D9A" w:rsidP="002E7CFF">
      <w:pPr>
        <w:jc w:val="center"/>
        <w:rPr>
          <w:rFonts w:ascii="Trebuchet MS" w:hAnsi="Trebuchet MS"/>
          <w:lang w:val="es-ES_tradnl"/>
        </w:rPr>
      </w:pPr>
    </w:p>
    <w:p w14:paraId="13EFD084" w14:textId="2C7C112B" w:rsidR="002E7CFF" w:rsidRPr="00A04585" w:rsidRDefault="002E7CFF" w:rsidP="002E7CFF">
      <w:pPr>
        <w:jc w:val="both"/>
        <w:rPr>
          <w:rFonts w:ascii="Trebuchet MS" w:hAnsi="Trebuchet MS"/>
          <w:b/>
        </w:rPr>
      </w:pPr>
      <w:r w:rsidRPr="00A04585">
        <w:rPr>
          <w:rFonts w:ascii="Trebuchet MS" w:hAnsi="Trebuchet MS"/>
          <w:b/>
        </w:rPr>
        <w:t>CORRESPONDIENTES AL AÑO DOS MIL VEINTE.</w:t>
      </w:r>
    </w:p>
    <w:p w14:paraId="277A2525" w14:textId="77777777" w:rsidR="002E7CFF" w:rsidRPr="00A04585" w:rsidRDefault="002E7CFF" w:rsidP="002E7CFF">
      <w:pPr>
        <w:jc w:val="both"/>
        <w:rPr>
          <w:rFonts w:ascii="Trebuchet MS" w:hAnsi="Trebuchet MS"/>
          <w:lang w:val="es-ES_tradnl"/>
        </w:rPr>
      </w:pPr>
    </w:p>
    <w:p w14:paraId="760D9C4F" w14:textId="2EAB6CC6" w:rsidR="008D7D9A" w:rsidRPr="00A04585" w:rsidRDefault="009C02B1" w:rsidP="002E7CFF">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REFORMA LOCAL EN MATERIA DE FINANCIAMIENTO.</w:t>
      </w:r>
      <w:r w:rsidRPr="00A04585">
        <w:rPr>
          <w:rFonts w:ascii="Trebuchet MS" w:hAnsi="Trebuchet MS"/>
          <w:lang w:val="es-ES_tradnl"/>
        </w:rPr>
        <w:t xml:space="preserve"> </w:t>
      </w:r>
      <w:r w:rsidR="00EA4035" w:rsidRPr="00A04585">
        <w:rPr>
          <w:rFonts w:ascii="Trebuchet MS" w:hAnsi="Trebuchet MS"/>
          <w:lang w:val="es-ES_tradnl"/>
        </w:rPr>
        <w:t>El uno de julio, fue publicado en el Periódico Oficial “</w:t>
      </w:r>
      <w:r w:rsidR="00EA4035" w:rsidRPr="00A04585">
        <w:rPr>
          <w:rFonts w:ascii="Trebuchet MS" w:hAnsi="Trebuchet MS"/>
          <w:i/>
          <w:iCs/>
          <w:lang w:val="es-ES_tradnl"/>
        </w:rPr>
        <w:t>El Estado de Jalisc</w:t>
      </w:r>
      <w:r w:rsidR="004D254C" w:rsidRPr="00A04585">
        <w:rPr>
          <w:rFonts w:ascii="Trebuchet MS" w:hAnsi="Trebuchet MS"/>
          <w:i/>
          <w:iCs/>
          <w:lang w:val="es-ES_tradnl"/>
        </w:rPr>
        <w:t>o</w:t>
      </w:r>
      <w:r w:rsidR="004D254C" w:rsidRPr="00A04585">
        <w:rPr>
          <w:rFonts w:ascii="Trebuchet MS" w:hAnsi="Trebuchet MS"/>
          <w:lang w:val="es-ES_tradnl"/>
        </w:rPr>
        <w:t xml:space="preserve">”, </w:t>
      </w:r>
      <w:r w:rsidR="00EA4035" w:rsidRPr="00A04585">
        <w:rPr>
          <w:rFonts w:ascii="Trebuchet MS" w:hAnsi="Trebuchet MS"/>
          <w:lang w:val="es-ES_tradnl"/>
        </w:rPr>
        <w:t>el D</w:t>
      </w:r>
      <w:r w:rsidR="00474AE6" w:rsidRPr="00A04585">
        <w:rPr>
          <w:rFonts w:ascii="Trebuchet MS" w:hAnsi="Trebuchet MS"/>
          <w:lang w:val="es-ES_tradnl"/>
        </w:rPr>
        <w:t>ecreto</w:t>
      </w:r>
      <w:r w:rsidR="00EA4035" w:rsidRPr="00A04585">
        <w:rPr>
          <w:rFonts w:ascii="Trebuchet MS" w:hAnsi="Trebuchet MS"/>
          <w:lang w:val="es-ES_tradnl"/>
        </w:rPr>
        <w:t xml:space="preserve"> </w:t>
      </w:r>
      <w:r w:rsidR="00EA4035" w:rsidRPr="00A04585">
        <w:rPr>
          <w:rFonts w:ascii="Trebuchet MS" w:hAnsi="Trebuchet MS"/>
          <w:b/>
          <w:bCs/>
          <w:lang w:val="es-ES_tradnl"/>
        </w:rPr>
        <w:t>27917/LXII/20</w:t>
      </w:r>
      <w:r w:rsidR="00EA4035" w:rsidRPr="00A04585">
        <w:rPr>
          <w:rFonts w:ascii="Trebuchet MS" w:hAnsi="Trebuchet MS"/>
          <w:lang w:val="es-ES_tradnl"/>
        </w:rPr>
        <w:t xml:space="preserve"> que reformó diversos artículos de la Constitución Política del Estado de Jalisco en materia electoral, entre ellos, los relativos a las bases para el cálculo del financiamiento público local para partidos políticos nacionales y locales en la entidad federativa.</w:t>
      </w:r>
    </w:p>
    <w:p w14:paraId="59913B35" w14:textId="77777777" w:rsidR="00EA4035" w:rsidRPr="00A04585" w:rsidRDefault="00EA4035" w:rsidP="002E7CFF">
      <w:pPr>
        <w:pStyle w:val="Prrafodelista"/>
        <w:ind w:left="0"/>
        <w:jc w:val="both"/>
        <w:rPr>
          <w:rFonts w:ascii="Trebuchet MS" w:hAnsi="Trebuchet MS"/>
          <w:b/>
          <w:bCs/>
          <w:lang w:val="es-ES_tradnl"/>
        </w:rPr>
      </w:pPr>
    </w:p>
    <w:p w14:paraId="4D944CF1" w14:textId="20F31F38" w:rsidR="00EA4035" w:rsidRPr="00A04585" w:rsidRDefault="009C02B1" w:rsidP="002E7CFF">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ACCIÓN DE INCONSTITUCIONALIDAD.</w:t>
      </w:r>
      <w:r w:rsidRPr="00A04585">
        <w:rPr>
          <w:rFonts w:ascii="Trebuchet MS" w:hAnsi="Trebuchet MS"/>
          <w:lang w:val="es-ES_tradnl"/>
        </w:rPr>
        <w:t xml:space="preserve"> </w:t>
      </w:r>
      <w:r w:rsidR="00EA4035" w:rsidRPr="00A04585">
        <w:rPr>
          <w:rFonts w:ascii="Trebuchet MS" w:hAnsi="Trebuchet MS"/>
          <w:lang w:val="es-ES_tradnl"/>
        </w:rPr>
        <w:t>Dicha reforma fue controvertida mediante diversas acciones de inconstitucionalidad, de las cuales conoció la Suprema Corte de Justicia de la Nación y las identificó con la clave de expediente 165/2020 y acumuladas.</w:t>
      </w:r>
    </w:p>
    <w:p w14:paraId="06D9AB6A" w14:textId="77777777" w:rsidR="00EA4035" w:rsidRPr="00A04585" w:rsidRDefault="00EA4035" w:rsidP="002E7CFF">
      <w:pPr>
        <w:pStyle w:val="Prrafodelista"/>
        <w:rPr>
          <w:rFonts w:ascii="Trebuchet MS" w:hAnsi="Trebuchet MS"/>
          <w:b/>
          <w:bCs/>
          <w:lang w:val="es-ES_tradnl"/>
        </w:rPr>
      </w:pPr>
    </w:p>
    <w:p w14:paraId="72A697D1" w14:textId="0178ACB8" w:rsidR="00A82F57" w:rsidRPr="00A04585" w:rsidRDefault="009C02B1" w:rsidP="002E7CFF">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RESOLUTIVOS DE LAS ACCIONES DE INCONSTITUCIONALIDAD.</w:t>
      </w:r>
      <w:r w:rsidRPr="00A04585">
        <w:rPr>
          <w:rFonts w:ascii="Trebuchet MS" w:hAnsi="Trebuchet MS"/>
          <w:lang w:val="es-ES_tradnl"/>
        </w:rPr>
        <w:t xml:space="preserve"> </w:t>
      </w:r>
      <w:r w:rsidR="00A82F57" w:rsidRPr="00A04585">
        <w:rPr>
          <w:rFonts w:ascii="Trebuchet MS" w:hAnsi="Trebuchet MS"/>
          <w:lang w:val="es-ES_tradnl"/>
        </w:rPr>
        <w:t>E</w:t>
      </w:r>
      <w:r w:rsidR="00206039" w:rsidRPr="00A04585">
        <w:rPr>
          <w:rFonts w:ascii="Trebuchet MS" w:hAnsi="Trebuchet MS"/>
          <w:lang w:val="es-ES_tradnl"/>
        </w:rPr>
        <w:t xml:space="preserve">n sesión de veintinueve de septiembre, </w:t>
      </w:r>
      <w:r w:rsidR="00A82F57" w:rsidRPr="00A04585">
        <w:rPr>
          <w:rFonts w:ascii="Trebuchet MS" w:hAnsi="Trebuchet MS"/>
          <w:lang w:val="es-ES_tradnl"/>
        </w:rPr>
        <w:t xml:space="preserve">el Pleno de la Suprema Corte de Justicia de la Nación </w:t>
      </w:r>
      <w:r w:rsidR="00206039" w:rsidRPr="00A04585">
        <w:rPr>
          <w:rFonts w:ascii="Trebuchet MS" w:hAnsi="Trebuchet MS"/>
          <w:lang w:val="es-ES_tradnl"/>
        </w:rPr>
        <w:t>resolvió las referidas acciones de inconstitucionalidad por sentencia en cuyo</w:t>
      </w:r>
      <w:r w:rsidR="00A82F57" w:rsidRPr="00A04585">
        <w:rPr>
          <w:rFonts w:ascii="Trebuchet MS" w:hAnsi="Trebuchet MS"/>
          <w:lang w:val="es-ES_tradnl"/>
        </w:rPr>
        <w:t xml:space="preserve"> punto resolutivo tercero, declaró la invalidez del artículo 13, fracción IV, inciso a) en la porción normativa </w:t>
      </w:r>
      <w:r w:rsidR="001464E4" w:rsidRPr="00A04585">
        <w:rPr>
          <w:rFonts w:ascii="Trebuchet MS" w:hAnsi="Trebuchet MS"/>
          <w:lang w:val="es-ES_tradnl"/>
        </w:rPr>
        <w:t xml:space="preserve">que incluía a </w:t>
      </w:r>
      <w:r w:rsidR="00A82F57" w:rsidRPr="00A04585">
        <w:rPr>
          <w:rFonts w:ascii="Trebuchet MS" w:hAnsi="Trebuchet MS"/>
          <w:lang w:val="es-ES_tradnl"/>
        </w:rPr>
        <w:t>los partidos políticos estatales en la fórmula para calcular la base del financiamiento público estatal para los institutos políticos nac</w:t>
      </w:r>
      <w:r w:rsidR="0068359D" w:rsidRPr="00A04585">
        <w:rPr>
          <w:rFonts w:ascii="Trebuchet MS" w:hAnsi="Trebuchet MS"/>
          <w:lang w:val="es-ES_tradnl"/>
        </w:rPr>
        <w:t>ionales con acreditación en el e</w:t>
      </w:r>
      <w:r w:rsidR="00A82F57" w:rsidRPr="00A04585">
        <w:rPr>
          <w:rFonts w:ascii="Trebuchet MS" w:hAnsi="Trebuchet MS"/>
          <w:lang w:val="es-ES_tradnl"/>
        </w:rPr>
        <w:t>stado.</w:t>
      </w:r>
    </w:p>
    <w:p w14:paraId="79F3F01F" w14:textId="77777777" w:rsidR="00A82F57" w:rsidRPr="00A04585" w:rsidRDefault="00A82F57" w:rsidP="002E7CFF">
      <w:pPr>
        <w:pStyle w:val="Prrafodelista"/>
        <w:rPr>
          <w:rFonts w:ascii="Trebuchet MS" w:hAnsi="Trebuchet MS"/>
          <w:b/>
          <w:bCs/>
          <w:lang w:val="es-ES_tradnl"/>
        </w:rPr>
      </w:pPr>
    </w:p>
    <w:p w14:paraId="26432BCC" w14:textId="36201F76" w:rsidR="00A82F57" w:rsidRPr="00A04585" w:rsidRDefault="009C02B1" w:rsidP="002E7CFF">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INICIO DEL PROCESO ELECTORAL. </w:t>
      </w:r>
      <w:r w:rsidR="00206039" w:rsidRPr="00A04585">
        <w:rPr>
          <w:rFonts w:ascii="Trebuchet MS" w:hAnsi="Trebuchet MS"/>
          <w:lang w:val="es-ES_tradnl"/>
        </w:rPr>
        <w:t>El quince de octubre, fue publicada en el Periódico Oficial “</w:t>
      </w:r>
      <w:r w:rsidR="00206039" w:rsidRPr="00A04585">
        <w:rPr>
          <w:rFonts w:ascii="Trebuchet MS" w:hAnsi="Trebuchet MS"/>
          <w:i/>
          <w:iCs/>
          <w:lang w:val="es-ES_tradnl"/>
        </w:rPr>
        <w:t>El Estado de Jalisco</w:t>
      </w:r>
      <w:r w:rsidR="00206039" w:rsidRPr="00A04585">
        <w:rPr>
          <w:rFonts w:ascii="Trebuchet MS" w:hAnsi="Trebuchet MS"/>
          <w:lang w:val="es-ES_tradnl"/>
        </w:rPr>
        <w:t>”, la convocatoria para la celebración de las elecciones constitucionales en Jalisco, relativas al Proceso Electoral Concurrente 2020-2021.</w:t>
      </w:r>
    </w:p>
    <w:p w14:paraId="4575C571" w14:textId="0463E647" w:rsidR="00206039" w:rsidRPr="00A04585" w:rsidRDefault="00206039" w:rsidP="002E7CFF">
      <w:pPr>
        <w:pStyle w:val="Prrafodelista"/>
        <w:rPr>
          <w:rFonts w:ascii="Trebuchet MS" w:hAnsi="Trebuchet MS"/>
          <w:b/>
          <w:bCs/>
          <w:lang w:val="es-ES_tradnl"/>
        </w:rPr>
      </w:pPr>
    </w:p>
    <w:p w14:paraId="380BC31D" w14:textId="77777777" w:rsidR="00F040EE" w:rsidRPr="00A04585" w:rsidRDefault="00F040EE" w:rsidP="002E7CFF">
      <w:pPr>
        <w:jc w:val="both"/>
        <w:rPr>
          <w:rFonts w:ascii="Trebuchet MS" w:hAnsi="Trebuchet MS"/>
          <w:b/>
        </w:rPr>
      </w:pPr>
    </w:p>
    <w:p w14:paraId="382D98FE" w14:textId="6658D33A" w:rsidR="002E7CFF" w:rsidRPr="00A04585" w:rsidRDefault="002E7CFF" w:rsidP="002E7CFF">
      <w:pPr>
        <w:jc w:val="both"/>
        <w:rPr>
          <w:rFonts w:ascii="Trebuchet MS" w:hAnsi="Trebuchet MS"/>
          <w:b/>
        </w:rPr>
      </w:pPr>
      <w:r w:rsidRPr="00A04585">
        <w:rPr>
          <w:rFonts w:ascii="Trebuchet MS" w:hAnsi="Trebuchet MS"/>
          <w:b/>
        </w:rPr>
        <w:t>CORRESPONDIENTES AL AÑO DOS MIL VEINTIUNO.</w:t>
      </w:r>
    </w:p>
    <w:p w14:paraId="78AC5845" w14:textId="06C3471B" w:rsidR="00427F11" w:rsidRPr="00A04585" w:rsidRDefault="00427F11" w:rsidP="002E7CFF">
      <w:pPr>
        <w:jc w:val="both"/>
        <w:rPr>
          <w:rFonts w:ascii="Trebuchet MS" w:hAnsi="Trebuchet MS"/>
          <w:b/>
        </w:rPr>
      </w:pPr>
    </w:p>
    <w:p w14:paraId="603964B5" w14:textId="5D6BB8A0" w:rsidR="00427F11" w:rsidRPr="00A04585" w:rsidRDefault="00427F11"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lastRenderedPageBreak/>
        <w:t xml:space="preserve">JORNADA ELECTORAL DE LA ELECCIÓN DE DIPUTACIONES LOCALES. </w:t>
      </w:r>
      <w:r w:rsidRPr="00A04585">
        <w:rPr>
          <w:rFonts w:ascii="Trebuchet MS" w:hAnsi="Trebuchet MS"/>
          <w:lang w:val="es-ES_tradnl"/>
        </w:rPr>
        <w:t xml:space="preserve">El seis de junio, se llevó a cabo la jornada electoral para elegir las diputaciones que integrarían la actual legislatura del Congreso del Estado, así como de las personas que conformarían los ayuntamientos de los ciento veinticinco municipios de la entidad federativa. </w:t>
      </w:r>
    </w:p>
    <w:p w14:paraId="14D95DA1" w14:textId="77777777" w:rsidR="00427F11" w:rsidRPr="00A04585" w:rsidRDefault="00427F11" w:rsidP="00427F11">
      <w:pPr>
        <w:pStyle w:val="Prrafodelista"/>
        <w:rPr>
          <w:rFonts w:ascii="Trebuchet MS" w:hAnsi="Trebuchet MS"/>
          <w:b/>
          <w:bCs/>
          <w:lang w:val="es-ES_tradnl"/>
        </w:rPr>
      </w:pPr>
    </w:p>
    <w:p w14:paraId="71E9B636" w14:textId="0BC424F5" w:rsidR="00427F11" w:rsidRPr="00A04585" w:rsidRDefault="00427F11"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ACUERDO DE ASIGNACIÓN DE DIPUTACIONES DE REPRESENTACIÓN PROPORCIONAL.</w:t>
      </w:r>
      <w:r w:rsidRPr="00A04585">
        <w:rPr>
          <w:rFonts w:ascii="Trebuchet MS" w:hAnsi="Trebuchet MS"/>
          <w:lang w:val="es-ES_tradnl"/>
        </w:rPr>
        <w:t xml:space="preserve"> El trece de junio, mediante acuerdo IEPC-ACG-296/2021 el Consejo General del Instituto Electoral y de Participación Ciudadana del Estado de Jalisco, aprobó el acuerdo en que llevó a cabo el cómputo estatal de diputaciones por mayoría relativa y de representación proporcional, con base en la votación que obtuvieron los partidos políticos</w:t>
      </w:r>
      <w:r w:rsidR="006761CB" w:rsidRPr="00A04585">
        <w:rPr>
          <w:rFonts w:ascii="Trebuchet MS" w:hAnsi="Trebuchet MS"/>
          <w:lang w:val="es-ES_tradnl"/>
        </w:rPr>
        <w:t>, además de que desarrolló</w:t>
      </w:r>
      <w:r w:rsidRPr="00A04585">
        <w:rPr>
          <w:rFonts w:ascii="Trebuchet MS" w:hAnsi="Trebuchet MS"/>
          <w:lang w:val="es-ES_tradnl"/>
        </w:rPr>
        <w:t xml:space="preserve"> la fórmula correspondiente,</w:t>
      </w:r>
      <w:r w:rsidR="006761CB" w:rsidRPr="00A04585">
        <w:rPr>
          <w:rFonts w:ascii="Trebuchet MS" w:hAnsi="Trebuchet MS"/>
          <w:lang w:val="es-ES_tradnl"/>
        </w:rPr>
        <w:t xml:space="preserve"> para realizar</w:t>
      </w:r>
      <w:r w:rsidRPr="00A04585">
        <w:rPr>
          <w:rFonts w:ascii="Trebuchet MS" w:hAnsi="Trebuchet MS"/>
          <w:lang w:val="es-ES_tradnl"/>
        </w:rPr>
        <w:t xml:space="preserve"> la asignación de diputaciones de representación proporcional.</w:t>
      </w:r>
    </w:p>
    <w:p w14:paraId="2E0035D2" w14:textId="77777777" w:rsidR="00427F11" w:rsidRPr="00A04585" w:rsidRDefault="00427F11" w:rsidP="00427F11">
      <w:pPr>
        <w:pStyle w:val="Prrafodelista"/>
        <w:rPr>
          <w:rFonts w:ascii="Trebuchet MS" w:hAnsi="Trebuchet MS"/>
          <w:b/>
          <w:bCs/>
          <w:lang w:val="es-ES_tradnl"/>
        </w:rPr>
      </w:pPr>
    </w:p>
    <w:p w14:paraId="591D8B09" w14:textId="77777777" w:rsidR="00427F11" w:rsidRPr="00A04585" w:rsidRDefault="00427F11"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CADENA IMPUGNATIVA DE LA ASIGNACIÓN DE REPRESENTACIÓN PROPORCIONAL.</w:t>
      </w:r>
      <w:r w:rsidRPr="00A04585">
        <w:rPr>
          <w:rFonts w:ascii="Trebuchet MS" w:hAnsi="Trebuchet MS"/>
          <w:lang w:val="es-ES_tradnl"/>
        </w:rPr>
        <w:t xml:space="preserve"> El acuerdo antes referido fue controvertido ante el tribunal local que, al momento de resolver, ordenó modificar la asignación de diputaciones de representación proporcional. Luego, la sentencia de dicha autoridad judicial se cuestionó ante la Sala Regional Guadalajara que a su vez ordenó su revocación para el efecto de que la asignación permaneciera conforme a lo que había determinado este Instituto y, finalmente, la Sala Superior del Tribunal Electoral del Poder Judicial de la Federación resolvió desechar la impugnación en que se cuestionó el fallo del órgano de justicia federal de la primera circunscripción plurinominal de la república. En consecuencia, prevaleció el acuerdo primigenio emitido por el organismo público electoral local de esta entidad para la asignación de diputaciones plurinominales.</w:t>
      </w:r>
    </w:p>
    <w:p w14:paraId="0785EEFA" w14:textId="77777777" w:rsidR="002E7CFF" w:rsidRPr="00A04585" w:rsidRDefault="002E7CFF" w:rsidP="002E7CFF">
      <w:pPr>
        <w:pStyle w:val="Prrafodelista"/>
        <w:rPr>
          <w:rFonts w:ascii="Trebuchet MS" w:hAnsi="Trebuchet MS"/>
          <w:b/>
          <w:bCs/>
          <w:lang w:val="es-ES_tradnl"/>
        </w:rPr>
      </w:pPr>
    </w:p>
    <w:p w14:paraId="5001D166" w14:textId="2DD20A0E" w:rsidR="00206039" w:rsidRPr="00A04585" w:rsidRDefault="009C02B1" w:rsidP="00CA0924">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DISTRIBUCIÓN DE FINANCIAMIENTO PÚBLICO PARA EL AÑO DOS MIL </w:t>
      </w:r>
      <w:r w:rsidR="00A23A62" w:rsidRPr="00A04585">
        <w:rPr>
          <w:rFonts w:ascii="Trebuchet MS" w:hAnsi="Trebuchet MS"/>
          <w:b/>
          <w:bCs/>
          <w:lang w:val="es-ES_tradnl"/>
        </w:rPr>
        <w:t>VEINTI</w:t>
      </w:r>
      <w:r w:rsidR="00F6722D" w:rsidRPr="00A04585">
        <w:rPr>
          <w:rFonts w:ascii="Trebuchet MS" w:hAnsi="Trebuchet MS"/>
          <w:b/>
          <w:bCs/>
          <w:lang w:val="es-ES_tradnl"/>
        </w:rPr>
        <w:t>D</w:t>
      </w:r>
      <w:r w:rsidR="00A23A62" w:rsidRPr="00A04585">
        <w:rPr>
          <w:rFonts w:ascii="Trebuchet MS" w:hAnsi="Trebuchet MS"/>
          <w:b/>
          <w:bCs/>
          <w:lang w:val="es-ES_tradnl"/>
        </w:rPr>
        <w:t>Ó</w:t>
      </w:r>
      <w:r w:rsidR="00F6722D" w:rsidRPr="00A04585">
        <w:rPr>
          <w:rFonts w:ascii="Trebuchet MS" w:hAnsi="Trebuchet MS"/>
          <w:b/>
          <w:bCs/>
          <w:lang w:val="es-ES_tradnl"/>
        </w:rPr>
        <w:t>S</w:t>
      </w:r>
      <w:r w:rsidRPr="00A04585">
        <w:rPr>
          <w:rFonts w:ascii="Trebuchet MS" w:hAnsi="Trebuchet MS"/>
          <w:b/>
          <w:bCs/>
          <w:lang w:val="es-ES_tradnl"/>
        </w:rPr>
        <w:t>.</w:t>
      </w:r>
      <w:r w:rsidRPr="00A04585">
        <w:rPr>
          <w:rFonts w:ascii="Trebuchet MS" w:hAnsi="Trebuchet MS"/>
          <w:lang w:val="es-ES_tradnl"/>
        </w:rPr>
        <w:t xml:space="preserve"> </w:t>
      </w:r>
      <w:r w:rsidR="00F6722D" w:rsidRPr="00A04585">
        <w:rPr>
          <w:rFonts w:ascii="Trebuchet MS" w:hAnsi="Trebuchet MS"/>
          <w:lang w:val="es-ES_tradnl"/>
        </w:rPr>
        <w:t xml:space="preserve">El veinte de diciembre, </w:t>
      </w:r>
      <w:r w:rsidR="00206039" w:rsidRPr="00A04585">
        <w:rPr>
          <w:rFonts w:ascii="Trebuchet MS" w:hAnsi="Trebuchet MS"/>
          <w:lang w:val="es-ES_tradnl"/>
        </w:rPr>
        <w:t>mediante acuerdo IEPC-ACG-</w:t>
      </w:r>
      <w:r w:rsidR="00635068" w:rsidRPr="00A04585">
        <w:rPr>
          <w:rFonts w:ascii="Trebuchet MS" w:hAnsi="Trebuchet MS"/>
          <w:lang w:val="es-ES_tradnl"/>
        </w:rPr>
        <w:t>398</w:t>
      </w:r>
      <w:r w:rsidR="00206039" w:rsidRPr="00A04585">
        <w:rPr>
          <w:rFonts w:ascii="Trebuchet MS" w:hAnsi="Trebuchet MS"/>
          <w:lang w:val="es-ES_tradnl"/>
        </w:rPr>
        <w:t>/202</w:t>
      </w:r>
      <w:r w:rsidR="00635068" w:rsidRPr="00A04585">
        <w:rPr>
          <w:rFonts w:ascii="Trebuchet MS" w:hAnsi="Trebuchet MS"/>
          <w:lang w:val="es-ES_tradnl"/>
        </w:rPr>
        <w:t>1</w:t>
      </w:r>
      <w:r w:rsidR="00206039" w:rsidRPr="00A04585">
        <w:rPr>
          <w:rFonts w:ascii="Trebuchet MS" w:hAnsi="Trebuchet MS"/>
          <w:lang w:val="es-ES_tradnl"/>
        </w:rPr>
        <w:t xml:space="preserve"> </w:t>
      </w:r>
      <w:r w:rsidR="00A64C12" w:rsidRPr="00A04585">
        <w:rPr>
          <w:rFonts w:ascii="Trebuchet MS" w:hAnsi="Trebuchet MS"/>
          <w:lang w:val="es-ES_tradnl"/>
        </w:rPr>
        <w:t xml:space="preserve">el Consejo General de </w:t>
      </w:r>
      <w:r w:rsidR="00206039" w:rsidRPr="00A04585">
        <w:rPr>
          <w:rFonts w:ascii="Trebuchet MS" w:hAnsi="Trebuchet MS"/>
          <w:lang w:val="es-ES_tradnl"/>
        </w:rPr>
        <w:t xml:space="preserve">este </w:t>
      </w:r>
      <w:r w:rsidR="00635068" w:rsidRPr="00A04585">
        <w:rPr>
          <w:rFonts w:ascii="Trebuchet MS" w:hAnsi="Trebuchet MS"/>
          <w:lang w:val="es-ES_tradnl"/>
        </w:rPr>
        <w:t>I</w:t>
      </w:r>
      <w:r w:rsidR="00206039" w:rsidRPr="00A04585">
        <w:rPr>
          <w:rFonts w:ascii="Trebuchet MS" w:hAnsi="Trebuchet MS"/>
          <w:lang w:val="es-ES_tradnl"/>
        </w:rPr>
        <w:t xml:space="preserve">nstituto </w:t>
      </w:r>
      <w:r w:rsidR="00635068" w:rsidRPr="00A04585">
        <w:rPr>
          <w:rFonts w:ascii="Trebuchet MS" w:hAnsi="Trebuchet MS"/>
          <w:lang w:val="es-ES_tradnl"/>
        </w:rPr>
        <w:t>E</w:t>
      </w:r>
      <w:r w:rsidR="004A7F8B" w:rsidRPr="00A04585">
        <w:rPr>
          <w:rFonts w:ascii="Trebuchet MS" w:hAnsi="Trebuchet MS"/>
          <w:lang w:val="es-ES_tradnl"/>
        </w:rPr>
        <w:t>lectoral</w:t>
      </w:r>
      <w:r w:rsidR="00206039" w:rsidRPr="00A04585">
        <w:rPr>
          <w:rFonts w:ascii="Trebuchet MS" w:hAnsi="Trebuchet MS"/>
          <w:lang w:val="es-ES_tradnl"/>
        </w:rPr>
        <w:t xml:space="preserve"> aprobó</w:t>
      </w:r>
      <w:r w:rsidR="004A7F8B" w:rsidRPr="00A04585">
        <w:rPr>
          <w:rFonts w:ascii="Trebuchet MS" w:hAnsi="Trebuchet MS"/>
          <w:lang w:val="es-ES_tradnl"/>
        </w:rPr>
        <w:t>,</w:t>
      </w:r>
      <w:r w:rsidR="00206039" w:rsidRPr="00A04585">
        <w:rPr>
          <w:rFonts w:ascii="Trebuchet MS" w:hAnsi="Trebuchet MS"/>
          <w:lang w:val="es-ES_tradnl"/>
        </w:rPr>
        <w:t xml:space="preserve"> </w:t>
      </w:r>
      <w:r w:rsidR="004A7F8B" w:rsidRPr="00A04585">
        <w:rPr>
          <w:rFonts w:ascii="Trebuchet MS" w:hAnsi="Trebuchet MS"/>
          <w:lang w:val="es-ES_tradnl"/>
        </w:rPr>
        <w:t xml:space="preserve">por mayoría, </w:t>
      </w:r>
      <w:r w:rsidR="00206039" w:rsidRPr="00A04585">
        <w:rPr>
          <w:rFonts w:ascii="Trebuchet MS" w:hAnsi="Trebuchet MS"/>
          <w:lang w:val="es-ES_tradnl"/>
        </w:rPr>
        <w:t xml:space="preserve">la distribución del financiamiento público estatal </w:t>
      </w:r>
      <w:r w:rsidR="00635068" w:rsidRPr="00A04585">
        <w:rPr>
          <w:rFonts w:ascii="Trebuchet MS" w:hAnsi="Trebuchet MS"/>
          <w:lang w:val="es-ES_tradnl"/>
        </w:rPr>
        <w:t>para</w:t>
      </w:r>
      <w:r w:rsidR="00206039" w:rsidRPr="00A04585">
        <w:rPr>
          <w:rFonts w:ascii="Trebuchet MS" w:hAnsi="Trebuchet MS"/>
          <w:lang w:val="es-ES_tradnl"/>
        </w:rPr>
        <w:t xml:space="preserve"> partidos nacionales </w:t>
      </w:r>
      <w:r w:rsidR="00635068" w:rsidRPr="00A04585">
        <w:rPr>
          <w:rFonts w:ascii="Trebuchet MS" w:hAnsi="Trebuchet MS"/>
          <w:lang w:val="es-ES_tradnl"/>
        </w:rPr>
        <w:t xml:space="preserve">con acreditación en la entidad federativa, así como </w:t>
      </w:r>
      <w:r w:rsidR="004D4BD0" w:rsidRPr="00A04585">
        <w:rPr>
          <w:rFonts w:ascii="Trebuchet MS" w:hAnsi="Trebuchet MS"/>
          <w:lang w:val="es-ES_tradnl"/>
        </w:rPr>
        <w:t>para</w:t>
      </w:r>
      <w:r w:rsidR="00635068" w:rsidRPr="00A04585">
        <w:rPr>
          <w:rFonts w:ascii="Trebuchet MS" w:hAnsi="Trebuchet MS"/>
          <w:lang w:val="es-ES_tradnl"/>
        </w:rPr>
        <w:t xml:space="preserve"> los partidos políticos estatales, con derecho a recibirlo, para el ejercicio correspondiente al año dos mil veintidós.</w:t>
      </w:r>
    </w:p>
    <w:p w14:paraId="1B97F2EF" w14:textId="77777777" w:rsidR="00635068" w:rsidRPr="00A04585" w:rsidRDefault="00635068" w:rsidP="00635068">
      <w:pPr>
        <w:pStyle w:val="Prrafodelista"/>
        <w:ind w:left="0"/>
        <w:jc w:val="both"/>
        <w:rPr>
          <w:rFonts w:ascii="Trebuchet MS" w:hAnsi="Trebuchet MS"/>
          <w:b/>
          <w:bCs/>
          <w:lang w:val="es-ES_tradnl"/>
        </w:rPr>
      </w:pPr>
    </w:p>
    <w:p w14:paraId="72EDA52E" w14:textId="10F9CCB2" w:rsidR="00635068" w:rsidRPr="00A04585" w:rsidRDefault="00976313" w:rsidP="002E7CFF">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RECURSOS DE APELACIÓN PROMOVIDOS EN CONTRA DEL ACUERDO IEPC-ACG-398/2021. </w:t>
      </w:r>
      <w:r w:rsidRPr="00A04585">
        <w:rPr>
          <w:rFonts w:ascii="Trebuchet MS" w:hAnsi="Trebuchet MS"/>
          <w:lang w:val="es-ES_tradnl"/>
        </w:rPr>
        <w:t>Con fechas veintitrés, veintiocho y veintinueve de diciembre, las representaciones de los partidos políticos Revolucionario Institucional, Acción Nacional, Morena y Movimi</w:t>
      </w:r>
      <w:r w:rsidR="008E67B4" w:rsidRPr="00A04585">
        <w:rPr>
          <w:rFonts w:ascii="Trebuchet MS" w:hAnsi="Trebuchet MS"/>
          <w:lang w:val="es-ES_tradnl"/>
        </w:rPr>
        <w:t xml:space="preserve">ento Ciudadano, respectivamente, </w:t>
      </w:r>
      <w:r w:rsidRPr="00A04585">
        <w:rPr>
          <w:rFonts w:ascii="Trebuchet MS" w:hAnsi="Trebuchet MS"/>
          <w:lang w:val="es-ES_tradnl"/>
        </w:rPr>
        <w:t xml:space="preserve">presentaron sendos recursos de apelación en contra del acuerdo del Consejo General IEPC-ACG-398/2021, mismos que fueron remitidos al Tribunal Electoral del Estado de </w:t>
      </w:r>
      <w:r w:rsidRPr="00A04585">
        <w:rPr>
          <w:rFonts w:ascii="Trebuchet MS" w:hAnsi="Trebuchet MS"/>
          <w:lang w:val="es-ES_tradnl"/>
        </w:rPr>
        <w:lastRenderedPageBreak/>
        <w:t xml:space="preserve">Jalisco, donde se registraron con los números de expediente RAP-056/2021, RAP-001/2022, RAP-002/2022 </w:t>
      </w:r>
      <w:r w:rsidR="006761CB" w:rsidRPr="00A04585">
        <w:rPr>
          <w:rFonts w:ascii="Trebuchet MS" w:hAnsi="Trebuchet MS"/>
          <w:lang w:val="es-ES_tradnl"/>
        </w:rPr>
        <w:t>y</w:t>
      </w:r>
      <w:r w:rsidRPr="00A04585">
        <w:rPr>
          <w:rFonts w:ascii="Trebuchet MS" w:hAnsi="Trebuchet MS"/>
          <w:lang w:val="es-ES_tradnl"/>
        </w:rPr>
        <w:t xml:space="preserve"> RAP/005/2022</w:t>
      </w:r>
      <w:r w:rsidR="009C02B1" w:rsidRPr="00A04585">
        <w:rPr>
          <w:rFonts w:ascii="Trebuchet MS" w:hAnsi="Trebuchet MS"/>
          <w:b/>
          <w:bCs/>
          <w:lang w:val="es-ES_tradnl"/>
        </w:rPr>
        <w:t>.</w:t>
      </w:r>
      <w:r w:rsidR="009C02B1" w:rsidRPr="00A04585">
        <w:rPr>
          <w:rFonts w:ascii="Trebuchet MS" w:hAnsi="Trebuchet MS"/>
          <w:lang w:val="es-ES_tradnl"/>
        </w:rPr>
        <w:t xml:space="preserve"> </w:t>
      </w:r>
    </w:p>
    <w:p w14:paraId="21E6BFA9" w14:textId="77777777" w:rsidR="00635068" w:rsidRPr="00A04585" w:rsidRDefault="00635068" w:rsidP="00635068">
      <w:pPr>
        <w:pStyle w:val="Prrafodelista"/>
        <w:rPr>
          <w:rFonts w:ascii="Trebuchet MS" w:hAnsi="Trebuchet MS"/>
          <w:lang w:val="es-ES_tradnl"/>
        </w:rPr>
      </w:pPr>
    </w:p>
    <w:p w14:paraId="514175A5" w14:textId="77777777" w:rsidR="0024489A" w:rsidRPr="00A04585" w:rsidRDefault="0024489A" w:rsidP="00635068">
      <w:pPr>
        <w:pStyle w:val="Prrafodelista"/>
        <w:rPr>
          <w:rFonts w:ascii="Trebuchet MS" w:hAnsi="Trebuchet MS"/>
          <w:lang w:val="es-ES_tradnl"/>
        </w:rPr>
      </w:pPr>
    </w:p>
    <w:p w14:paraId="6583CFC9" w14:textId="6EEB304C" w:rsidR="00AD06AC" w:rsidRPr="00A04585" w:rsidRDefault="00AD06AC" w:rsidP="00AD06AC">
      <w:pPr>
        <w:jc w:val="both"/>
        <w:rPr>
          <w:rFonts w:ascii="Trebuchet MS" w:hAnsi="Trebuchet MS"/>
          <w:b/>
        </w:rPr>
      </w:pPr>
      <w:r w:rsidRPr="00A04585">
        <w:rPr>
          <w:rFonts w:ascii="Trebuchet MS" w:hAnsi="Trebuchet MS"/>
          <w:b/>
        </w:rPr>
        <w:t>CORRESPONDIENTES AL AÑO DOS MIL VEINTIDÓS.</w:t>
      </w:r>
    </w:p>
    <w:p w14:paraId="0B677C7C" w14:textId="77777777" w:rsidR="00635068" w:rsidRPr="00A04585" w:rsidRDefault="00635068" w:rsidP="00635068">
      <w:pPr>
        <w:pStyle w:val="Prrafodelista"/>
        <w:rPr>
          <w:rFonts w:ascii="Trebuchet MS" w:hAnsi="Trebuchet MS"/>
          <w:lang w:val="es-ES_tradnl"/>
        </w:rPr>
      </w:pPr>
    </w:p>
    <w:p w14:paraId="21E45C36" w14:textId="30E8B723" w:rsidR="00787CD7" w:rsidRPr="00A04585" w:rsidRDefault="00787CD7"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UNIDAD DE MEDIDA Y ACTUALIZACIÓN. </w:t>
      </w:r>
      <w:r w:rsidRPr="00A04585">
        <w:rPr>
          <w:rFonts w:ascii="Trebuchet MS" w:hAnsi="Trebuchet MS"/>
          <w:bCs/>
          <w:lang w:val="es-ES_tradnl"/>
        </w:rPr>
        <w:t xml:space="preserve">El diez de enero, el Instituto Nacional de Estadística y Geografía, publicó en el Diario Oficial de la Federación </w:t>
      </w:r>
      <w:r w:rsidR="00DB4129" w:rsidRPr="00A04585">
        <w:rPr>
          <w:rFonts w:ascii="Trebuchet MS" w:hAnsi="Trebuchet MS"/>
          <w:bCs/>
          <w:lang w:val="es-ES_tradnl"/>
        </w:rPr>
        <w:t>la actualización d</w:t>
      </w:r>
      <w:r w:rsidRPr="00A04585">
        <w:rPr>
          <w:rFonts w:ascii="Trebuchet MS" w:hAnsi="Trebuchet MS"/>
          <w:bCs/>
          <w:lang w:val="es-ES_tradnl"/>
        </w:rPr>
        <w:t>el valor de la Unidad de Medida y Actualización (UMA) para el año dos mil veintidós, y determinó que su valor diario corresponde a la cantidad de $96.22 (noventa y seis pesos 22/100 M.N.).</w:t>
      </w:r>
    </w:p>
    <w:p w14:paraId="6B47691C" w14:textId="77777777" w:rsidR="00787CD7" w:rsidRPr="00A04585" w:rsidRDefault="00787CD7" w:rsidP="00787CD7">
      <w:pPr>
        <w:pStyle w:val="Prrafodelista"/>
        <w:ind w:left="0"/>
        <w:jc w:val="both"/>
        <w:rPr>
          <w:rFonts w:ascii="Trebuchet MS" w:hAnsi="Trebuchet MS"/>
          <w:b/>
          <w:bCs/>
          <w:lang w:val="es-ES_tradnl"/>
        </w:rPr>
      </w:pPr>
    </w:p>
    <w:p w14:paraId="1BE390C1" w14:textId="41B458E5" w:rsidR="00AD06AC" w:rsidRPr="00A04585" w:rsidRDefault="00AD06AC"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ACUMULACIÓN DE RECURSOS DE APELACIÓN. </w:t>
      </w:r>
      <w:r w:rsidRPr="00A04585">
        <w:rPr>
          <w:rFonts w:ascii="Trebuchet MS" w:hAnsi="Trebuchet MS"/>
          <w:lang w:val="es-ES_tradnl"/>
        </w:rPr>
        <w:t>Mediante acuerdo de veintitrés de marzo, emitido en el recurso de apelación RAP-056/2021 se decretó la acumulación de los expedientes RAP-001/2022, RAP-002/2022 y RAP-005/2022.</w:t>
      </w:r>
    </w:p>
    <w:p w14:paraId="1809C463" w14:textId="4C816A9B" w:rsidR="00AD06AC" w:rsidRPr="00A04585" w:rsidRDefault="00AD06AC" w:rsidP="00427F11">
      <w:pPr>
        <w:pStyle w:val="Prrafodelista"/>
        <w:ind w:left="0"/>
        <w:jc w:val="both"/>
        <w:rPr>
          <w:rFonts w:ascii="Trebuchet MS" w:hAnsi="Trebuchet MS"/>
          <w:b/>
          <w:bCs/>
          <w:lang w:val="es-ES_tradnl"/>
        </w:rPr>
      </w:pPr>
      <w:r w:rsidRPr="00A04585">
        <w:rPr>
          <w:rFonts w:ascii="Trebuchet MS" w:hAnsi="Trebuchet MS"/>
          <w:lang w:val="es-ES_tradnl"/>
        </w:rPr>
        <w:t xml:space="preserve"> </w:t>
      </w:r>
    </w:p>
    <w:p w14:paraId="6BED9E90" w14:textId="3F03A69D" w:rsidR="00A23A62" w:rsidRPr="00A04585" w:rsidRDefault="00AD06AC"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RESOLUCIÓN DEL RECURSO DE APELACIÓN RAP-056/2021 Y ACUMULADOS. </w:t>
      </w:r>
      <w:r w:rsidRPr="00A04585">
        <w:rPr>
          <w:rFonts w:ascii="Trebuchet MS" w:hAnsi="Trebuchet MS"/>
          <w:lang w:val="es-ES_tradnl"/>
        </w:rPr>
        <w:t xml:space="preserve">El </w:t>
      </w:r>
      <w:r w:rsidR="00A23A62" w:rsidRPr="00A04585">
        <w:rPr>
          <w:rFonts w:ascii="Trebuchet MS" w:hAnsi="Trebuchet MS"/>
          <w:lang w:val="es-ES_tradnl"/>
        </w:rPr>
        <w:t>veinticuatro</w:t>
      </w:r>
      <w:r w:rsidRPr="00A04585">
        <w:rPr>
          <w:rFonts w:ascii="Trebuchet MS" w:hAnsi="Trebuchet MS"/>
          <w:lang w:val="es-ES_tradnl"/>
        </w:rPr>
        <w:t xml:space="preserve"> de marzo</w:t>
      </w:r>
      <w:r w:rsidR="00A23A62" w:rsidRPr="00A04585">
        <w:rPr>
          <w:rFonts w:ascii="Trebuchet MS" w:hAnsi="Trebuchet MS"/>
          <w:lang w:val="es-ES_tradnl"/>
        </w:rPr>
        <w:t xml:space="preserve">, </w:t>
      </w:r>
      <w:r w:rsidR="008923C5" w:rsidRPr="00A04585">
        <w:rPr>
          <w:rFonts w:ascii="Trebuchet MS" w:hAnsi="Trebuchet MS"/>
          <w:lang w:val="es-ES_tradnl"/>
        </w:rPr>
        <w:t>el Tribunal Electoral del Estado de Jalisco resolvió en los recursos de apelación RAP-056/2021 y acumulados, promovidos en contra de la distribución del financiamiento,</w:t>
      </w:r>
      <w:r w:rsidR="00A64C12" w:rsidRPr="00A04585">
        <w:rPr>
          <w:rFonts w:ascii="Trebuchet MS" w:hAnsi="Trebuchet MS"/>
          <w:lang w:val="es-ES_tradnl"/>
        </w:rPr>
        <w:t xml:space="preserve"> </w:t>
      </w:r>
      <w:r w:rsidR="008923C5" w:rsidRPr="00A04585">
        <w:rPr>
          <w:rFonts w:ascii="Trebuchet MS" w:hAnsi="Trebuchet MS"/>
          <w:lang w:val="es-ES_tradnl"/>
        </w:rPr>
        <w:t>revoca</w:t>
      </w:r>
      <w:r w:rsidR="006761CB" w:rsidRPr="00A04585">
        <w:rPr>
          <w:rFonts w:ascii="Trebuchet MS" w:hAnsi="Trebuchet MS"/>
          <w:lang w:val="es-ES_tradnl"/>
        </w:rPr>
        <w:t>r</w:t>
      </w:r>
      <w:r w:rsidR="008923C5" w:rsidRPr="00A04585">
        <w:rPr>
          <w:rFonts w:ascii="Trebuchet MS" w:hAnsi="Trebuchet MS"/>
          <w:lang w:val="es-ES_tradnl"/>
        </w:rPr>
        <w:t xml:space="preserve"> el acuerdo IEPC-ACG-398/2021</w:t>
      </w:r>
      <w:r w:rsidR="00127B47" w:rsidRPr="00A04585">
        <w:rPr>
          <w:rFonts w:ascii="Trebuchet MS" w:hAnsi="Trebuchet MS"/>
          <w:lang w:val="es-ES_tradnl"/>
        </w:rPr>
        <w:t xml:space="preserve"> y orden</w:t>
      </w:r>
      <w:r w:rsidR="006761CB" w:rsidRPr="00A04585">
        <w:rPr>
          <w:rFonts w:ascii="Trebuchet MS" w:hAnsi="Trebuchet MS"/>
          <w:lang w:val="es-ES_tradnl"/>
        </w:rPr>
        <w:t>ar</w:t>
      </w:r>
      <w:r w:rsidR="00127B47" w:rsidRPr="00A04585">
        <w:rPr>
          <w:rFonts w:ascii="Trebuchet MS" w:hAnsi="Trebuchet MS"/>
          <w:lang w:val="es-ES_tradnl"/>
        </w:rPr>
        <w:t xml:space="preserve"> a este Consejo General emitir uno nuevo en los términos de la sentencia. </w:t>
      </w:r>
    </w:p>
    <w:p w14:paraId="15E8FE30" w14:textId="77777777" w:rsidR="00A23A62" w:rsidRPr="00A04585" w:rsidRDefault="00A23A62" w:rsidP="00427F11">
      <w:pPr>
        <w:pStyle w:val="Prrafodelista"/>
        <w:ind w:left="0"/>
        <w:rPr>
          <w:rFonts w:ascii="Trebuchet MS" w:hAnsi="Trebuchet MS"/>
          <w:lang w:val="es-ES_tradnl"/>
        </w:rPr>
      </w:pPr>
    </w:p>
    <w:p w14:paraId="2CCC8047" w14:textId="02013781" w:rsidR="00AD06AC" w:rsidRPr="00A04585" w:rsidRDefault="00AD06AC"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lang w:val="es-ES_tradnl"/>
        </w:rPr>
        <w:t xml:space="preserve"> </w:t>
      </w:r>
      <w:r w:rsidRPr="00A04585">
        <w:rPr>
          <w:rFonts w:ascii="Trebuchet MS" w:hAnsi="Trebuchet MS"/>
          <w:b/>
          <w:bCs/>
          <w:lang w:val="es-ES_tradnl"/>
        </w:rPr>
        <w:t>CUMPLIMIENTO DE LA RESOLUCIÓN DEL RECURSO DE APELACIÓN RAP-056</w:t>
      </w:r>
      <w:r w:rsidR="00CC5669" w:rsidRPr="00A04585">
        <w:rPr>
          <w:rFonts w:ascii="Trebuchet MS" w:hAnsi="Trebuchet MS"/>
          <w:b/>
          <w:bCs/>
          <w:lang w:val="es-ES_tradnl"/>
        </w:rPr>
        <w:t xml:space="preserve">/2021 Y ACUMULADOS. </w:t>
      </w:r>
      <w:r w:rsidR="00CC5669" w:rsidRPr="00A04585">
        <w:rPr>
          <w:rFonts w:ascii="Trebuchet MS" w:hAnsi="Trebuchet MS"/>
          <w:lang w:val="es-ES_tradnl"/>
        </w:rPr>
        <w:t xml:space="preserve">El treinta de marzo, mediante acuerdo identificado con la clave alfanumérica IEPC-ACG-022/2022, se dio cumplimiento a lo ordenado en la resolución del recurso de apelación con número de expediente RAP-056/2021 y </w:t>
      </w:r>
      <w:proofErr w:type="gramStart"/>
      <w:r w:rsidR="00F051C7" w:rsidRPr="00A04585">
        <w:rPr>
          <w:rFonts w:ascii="Trebuchet MS" w:hAnsi="Trebuchet MS"/>
          <w:lang w:val="es-ES_tradnl"/>
        </w:rPr>
        <w:t>sus acumulados RAP-001/2022, RAP-002/2022 y RAP-005/2022, emitida</w:t>
      </w:r>
      <w:proofErr w:type="gramEnd"/>
      <w:r w:rsidR="00CC5669" w:rsidRPr="00A04585">
        <w:rPr>
          <w:rFonts w:ascii="Trebuchet MS" w:hAnsi="Trebuchet MS"/>
          <w:lang w:val="es-ES_tradnl"/>
        </w:rPr>
        <w:t xml:space="preserve"> por el Tribunal Electoral del Estado de Jalisco. </w:t>
      </w:r>
    </w:p>
    <w:p w14:paraId="4BD0E6F8" w14:textId="77777777" w:rsidR="00CC5669" w:rsidRPr="00A04585" w:rsidRDefault="00CC5669" w:rsidP="00427F11">
      <w:pPr>
        <w:pStyle w:val="Prrafodelista"/>
        <w:ind w:left="0"/>
        <w:rPr>
          <w:rFonts w:ascii="Trebuchet MS" w:hAnsi="Trebuchet MS"/>
          <w:b/>
          <w:bCs/>
          <w:lang w:val="es-ES_tradnl"/>
        </w:rPr>
      </w:pPr>
    </w:p>
    <w:p w14:paraId="67D575A3" w14:textId="77EA7382" w:rsidR="00E9576E" w:rsidRPr="00A04585" w:rsidRDefault="000A144E"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JUICIO DE REVISIÓN CONSTITUCIONAL ELECTORAL</w:t>
      </w:r>
      <w:r w:rsidR="00127B47" w:rsidRPr="00A04585">
        <w:rPr>
          <w:rFonts w:ascii="Trebuchet MS" w:hAnsi="Trebuchet MS"/>
          <w:lang w:val="es-ES_tradnl"/>
        </w:rPr>
        <w:t xml:space="preserve">. Inconformes con la resolución del Tribunal </w:t>
      </w:r>
      <w:r w:rsidR="00A64C12" w:rsidRPr="00A04585">
        <w:rPr>
          <w:rFonts w:ascii="Trebuchet MS" w:hAnsi="Trebuchet MS"/>
          <w:lang w:val="es-ES_tradnl"/>
        </w:rPr>
        <w:t>Electoral del Estado de Jalisco</w:t>
      </w:r>
      <w:r w:rsidR="00127B47" w:rsidRPr="00A04585">
        <w:rPr>
          <w:rFonts w:ascii="Trebuchet MS" w:hAnsi="Trebuchet MS"/>
          <w:lang w:val="es-ES_tradnl"/>
        </w:rPr>
        <w:t>, el treinta y uno de marzo, los partidos políticos Futuro, Hagamos y Acción Nacional, respectivamente</w:t>
      </w:r>
      <w:r w:rsidR="00D85E58" w:rsidRPr="00A04585">
        <w:rPr>
          <w:rFonts w:ascii="Trebuchet MS" w:hAnsi="Trebuchet MS"/>
          <w:lang w:val="es-ES_tradnl"/>
        </w:rPr>
        <w:t>,</w:t>
      </w:r>
      <w:r w:rsidR="00127B47" w:rsidRPr="00A04585">
        <w:rPr>
          <w:rFonts w:ascii="Trebuchet MS" w:hAnsi="Trebuchet MS"/>
          <w:lang w:val="es-ES_tradnl"/>
        </w:rPr>
        <w:t xml:space="preserve"> promovieron sendos juicios de revisión constitucional electoral</w:t>
      </w:r>
      <w:r w:rsidR="00A64C12" w:rsidRPr="00A04585">
        <w:rPr>
          <w:rFonts w:ascii="Trebuchet MS" w:hAnsi="Trebuchet MS"/>
          <w:lang w:val="es-ES_tradnl"/>
        </w:rPr>
        <w:t>.</w:t>
      </w:r>
      <w:r w:rsidR="00D85E58" w:rsidRPr="00A04585">
        <w:rPr>
          <w:rFonts w:ascii="Trebuchet MS" w:hAnsi="Trebuchet MS"/>
          <w:lang w:val="es-ES_tradnl"/>
        </w:rPr>
        <w:t xml:space="preserve"> </w:t>
      </w:r>
      <w:r w:rsidR="005D3132" w:rsidRPr="00A04585">
        <w:rPr>
          <w:rFonts w:ascii="Trebuchet MS" w:hAnsi="Trebuchet MS"/>
          <w:lang w:val="es-ES_tradnl"/>
        </w:rPr>
        <w:t>Por considerar que existía conexidad en la causa, l</w:t>
      </w:r>
      <w:r w:rsidR="00D85E58" w:rsidRPr="00A04585">
        <w:rPr>
          <w:rFonts w:ascii="Trebuchet MS" w:hAnsi="Trebuchet MS"/>
          <w:lang w:val="es-ES_tradnl"/>
        </w:rPr>
        <w:t xml:space="preserve">a Sala Regional Guadalajara del Tribunal Electoral del Poder Judicial de la Federación, </w:t>
      </w:r>
      <w:r w:rsidR="00A64C12" w:rsidRPr="00A04585">
        <w:rPr>
          <w:rFonts w:ascii="Trebuchet MS" w:hAnsi="Trebuchet MS"/>
          <w:lang w:val="es-ES_tradnl"/>
        </w:rPr>
        <w:t xml:space="preserve">acumuló </w:t>
      </w:r>
      <w:r w:rsidR="00D85E58" w:rsidRPr="00A04585">
        <w:rPr>
          <w:rFonts w:ascii="Trebuchet MS" w:hAnsi="Trebuchet MS"/>
          <w:lang w:val="es-ES_tradnl"/>
        </w:rPr>
        <w:t xml:space="preserve">los juicios SG-JRC-11/2022 y SG-JRC-12/2022 al </w:t>
      </w:r>
      <w:bookmarkStart w:id="0" w:name="_Hlk108716419"/>
      <w:r w:rsidR="00D85E58" w:rsidRPr="00A04585">
        <w:rPr>
          <w:rFonts w:ascii="Trebuchet MS" w:hAnsi="Trebuchet MS"/>
          <w:lang w:val="es-ES_tradnl"/>
        </w:rPr>
        <w:t>SG-JRC-10/2022</w:t>
      </w:r>
      <w:bookmarkEnd w:id="0"/>
      <w:r w:rsidR="00F051C7" w:rsidRPr="00A04585">
        <w:rPr>
          <w:rFonts w:ascii="Trebuchet MS" w:hAnsi="Trebuchet MS"/>
          <w:lang w:val="es-ES_tradnl"/>
        </w:rPr>
        <w:t xml:space="preserve">, por ser este último el </w:t>
      </w:r>
      <w:r w:rsidR="006761CB" w:rsidRPr="00A04585">
        <w:rPr>
          <w:rFonts w:ascii="Trebuchet MS" w:hAnsi="Trebuchet MS"/>
          <w:lang w:val="es-ES_tradnl"/>
        </w:rPr>
        <w:t>más antiguo.</w:t>
      </w:r>
    </w:p>
    <w:p w14:paraId="030ECE94" w14:textId="77777777" w:rsidR="00E9576E" w:rsidRPr="00A04585" w:rsidRDefault="00E9576E" w:rsidP="00427F11">
      <w:pPr>
        <w:pStyle w:val="Prrafodelista"/>
        <w:ind w:left="0"/>
        <w:rPr>
          <w:rFonts w:ascii="Trebuchet MS" w:hAnsi="Trebuchet MS"/>
          <w:b/>
          <w:bCs/>
          <w:lang w:val="es-ES_tradnl"/>
        </w:rPr>
      </w:pPr>
    </w:p>
    <w:p w14:paraId="0F2562BF" w14:textId="589AB857" w:rsidR="00D85E58" w:rsidRPr="00A04585" w:rsidRDefault="00D85E58" w:rsidP="00427F11">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RESOLUCIÓN DEL JUICIO DE REVISIÓN CONSTITUCIONAL ELECTORAL SG-JRC-10/2022 Y ACUMULADOS. </w:t>
      </w:r>
      <w:r w:rsidRPr="00A04585">
        <w:rPr>
          <w:rFonts w:ascii="Trebuchet MS" w:hAnsi="Trebuchet MS"/>
          <w:lang w:val="es-ES_tradnl"/>
        </w:rPr>
        <w:t xml:space="preserve">El veintiocho de abril, la Sala Regional Guadalajara del Tribunal Electoral del Poder Judicial de la Federación resolvió en el Juicio de Revisión Constitucional Electoral </w:t>
      </w:r>
      <w:r w:rsidR="00E9576E" w:rsidRPr="00A04585">
        <w:rPr>
          <w:rFonts w:ascii="Trebuchet MS" w:hAnsi="Trebuchet MS"/>
          <w:lang w:val="es-ES_tradnl"/>
        </w:rPr>
        <w:t xml:space="preserve">SG-JRC-10/2022 y acumulados, revocar la sentencia emitida por el Tribunal Electoral del Estado de Jalisco en el recurso de apelación RAP-056/2021 y sus acumulados, </w:t>
      </w:r>
      <w:r w:rsidR="00801A43" w:rsidRPr="00A04585">
        <w:rPr>
          <w:rFonts w:ascii="Trebuchet MS" w:hAnsi="Trebuchet MS"/>
          <w:lang w:val="es-ES_tradnl"/>
        </w:rPr>
        <w:t>así como</w:t>
      </w:r>
      <w:r w:rsidR="00E9576E" w:rsidRPr="00A04585">
        <w:rPr>
          <w:rFonts w:ascii="Trebuchet MS" w:hAnsi="Trebuchet MS"/>
          <w:lang w:val="es-ES_tradnl"/>
        </w:rPr>
        <w:t xml:space="preserve"> deja</w:t>
      </w:r>
      <w:r w:rsidR="00801A43" w:rsidRPr="00A04585">
        <w:rPr>
          <w:rFonts w:ascii="Trebuchet MS" w:hAnsi="Trebuchet MS"/>
          <w:lang w:val="es-ES_tradnl"/>
        </w:rPr>
        <w:t>r</w:t>
      </w:r>
      <w:r w:rsidR="00E9576E" w:rsidRPr="00A04585">
        <w:rPr>
          <w:rFonts w:ascii="Trebuchet MS" w:hAnsi="Trebuchet MS"/>
          <w:lang w:val="es-ES_tradnl"/>
        </w:rPr>
        <w:t xml:space="preserve"> subsistente el acuerdo IEPC-ACG-398/2021 del Consejo General de este Instituto Electoral, por el que se establec</w:t>
      </w:r>
      <w:r w:rsidR="00801A43" w:rsidRPr="00A04585">
        <w:rPr>
          <w:rFonts w:ascii="Trebuchet MS" w:hAnsi="Trebuchet MS"/>
          <w:lang w:val="es-ES_tradnl"/>
        </w:rPr>
        <w:t>ieron</w:t>
      </w:r>
      <w:r w:rsidR="00E9576E" w:rsidRPr="00A04585">
        <w:rPr>
          <w:rFonts w:ascii="Trebuchet MS" w:hAnsi="Trebuchet MS"/>
          <w:lang w:val="es-ES_tradnl"/>
        </w:rPr>
        <w:t xml:space="preserve"> los montos de financiamiento público local que correspond</w:t>
      </w:r>
      <w:r w:rsidR="00801A43" w:rsidRPr="00A04585">
        <w:rPr>
          <w:rFonts w:ascii="Trebuchet MS" w:hAnsi="Trebuchet MS"/>
          <w:lang w:val="es-ES_tradnl"/>
        </w:rPr>
        <w:t>ieron</w:t>
      </w:r>
      <w:r w:rsidR="00E9576E" w:rsidRPr="00A04585">
        <w:rPr>
          <w:rFonts w:ascii="Trebuchet MS" w:hAnsi="Trebuchet MS"/>
          <w:lang w:val="es-ES_tradnl"/>
        </w:rPr>
        <w:t xml:space="preserve"> a los partidos políticos nacionales con acreditación en la entidad federativa, así como a los partidos políticos estatales para el ejercicio fiscal dos mil veintidós, emitido el veinte de diciembre de dos mil veintiuno y</w:t>
      </w:r>
      <w:r w:rsidR="00801A43" w:rsidRPr="00A04585">
        <w:rPr>
          <w:rFonts w:ascii="Trebuchet MS" w:hAnsi="Trebuchet MS"/>
          <w:lang w:val="es-ES_tradnl"/>
        </w:rPr>
        <w:t>, en consecuencia,</w:t>
      </w:r>
      <w:r w:rsidR="00E9576E" w:rsidRPr="00A04585">
        <w:rPr>
          <w:rFonts w:ascii="Trebuchet MS" w:hAnsi="Trebuchet MS"/>
          <w:lang w:val="es-ES_tradnl"/>
        </w:rPr>
        <w:t xml:space="preserve"> deja</w:t>
      </w:r>
      <w:r w:rsidR="00801A43" w:rsidRPr="00A04585">
        <w:rPr>
          <w:rFonts w:ascii="Trebuchet MS" w:hAnsi="Trebuchet MS"/>
          <w:lang w:val="es-ES_tradnl"/>
        </w:rPr>
        <w:t>r</w:t>
      </w:r>
      <w:r w:rsidR="00E9576E" w:rsidRPr="00A04585">
        <w:rPr>
          <w:rFonts w:ascii="Trebuchet MS" w:hAnsi="Trebuchet MS"/>
          <w:lang w:val="es-ES_tradnl"/>
        </w:rPr>
        <w:t xml:space="preserve"> sin efectos jurídicos, cualquier acuerdo que hubiere emitido el Consejo General de este organismo electoral, realizado en cumplimiento a la resolución</w:t>
      </w:r>
      <w:r w:rsidR="00801A43" w:rsidRPr="00A04585">
        <w:rPr>
          <w:rFonts w:ascii="Trebuchet MS" w:hAnsi="Trebuchet MS"/>
          <w:lang w:val="es-ES_tradnl"/>
        </w:rPr>
        <w:t xml:space="preserve"> de</w:t>
      </w:r>
      <w:r w:rsidR="00F051C7" w:rsidRPr="00A04585">
        <w:rPr>
          <w:rFonts w:ascii="Trebuchet MS" w:hAnsi="Trebuchet MS"/>
          <w:lang w:val="es-ES_tradnl"/>
        </w:rPr>
        <w:t xml:space="preserve"> veinticuatro</w:t>
      </w:r>
      <w:r w:rsidR="00E9576E" w:rsidRPr="00A04585">
        <w:rPr>
          <w:rFonts w:ascii="Trebuchet MS" w:hAnsi="Trebuchet MS"/>
          <w:lang w:val="es-ES_tradnl"/>
        </w:rPr>
        <w:t xml:space="preserve"> de marzo</w:t>
      </w:r>
      <w:r w:rsidR="00801A43" w:rsidRPr="00A04585">
        <w:rPr>
          <w:rFonts w:ascii="Trebuchet MS" w:hAnsi="Trebuchet MS"/>
          <w:lang w:val="es-ES_tradnl"/>
        </w:rPr>
        <w:t xml:space="preserve"> que fue revocada</w:t>
      </w:r>
      <w:r w:rsidR="00E9576E" w:rsidRPr="00A04585">
        <w:rPr>
          <w:rFonts w:ascii="Trebuchet MS" w:hAnsi="Trebuchet MS"/>
          <w:lang w:val="es-ES_tradnl"/>
        </w:rPr>
        <w:t>.</w:t>
      </w:r>
    </w:p>
    <w:p w14:paraId="780BF8B1" w14:textId="77777777" w:rsidR="00AD06AC" w:rsidRPr="00A04585" w:rsidRDefault="00AD06AC" w:rsidP="00AD06AC">
      <w:pPr>
        <w:pStyle w:val="Prrafodelista"/>
        <w:ind w:left="0"/>
        <w:jc w:val="both"/>
        <w:rPr>
          <w:rFonts w:ascii="Trebuchet MS" w:hAnsi="Trebuchet MS"/>
          <w:b/>
          <w:bCs/>
          <w:lang w:val="es-ES_tradnl"/>
        </w:rPr>
      </w:pPr>
    </w:p>
    <w:p w14:paraId="164F0CBF" w14:textId="594DAE7F" w:rsidR="007C099E" w:rsidRPr="00A04585" w:rsidRDefault="00103A07" w:rsidP="00CA0924">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RECURSO DE RECONSIDERACIÓN. </w:t>
      </w:r>
      <w:r w:rsidRPr="00A04585">
        <w:rPr>
          <w:rFonts w:ascii="Trebuchet MS" w:hAnsi="Trebuchet MS"/>
          <w:lang w:val="es-ES_tradnl"/>
        </w:rPr>
        <w:t xml:space="preserve">Inconformes con la resolución de la Sala Regional Guadalajara del Tribunal Electoral del Poder Judicial de la Federación, los partidos políticos Revolucionario Institucional, Movimiento Ciudadano, Acción Nacional y Morena, interpusieron </w:t>
      </w:r>
      <w:r w:rsidR="000E6758" w:rsidRPr="00A04585">
        <w:rPr>
          <w:rFonts w:ascii="Trebuchet MS" w:hAnsi="Trebuchet MS"/>
          <w:lang w:val="es-ES_tradnl"/>
        </w:rPr>
        <w:t xml:space="preserve">ante la Sala Superior del Tribunal Electoral del Poder Judicial de la Federación </w:t>
      </w:r>
      <w:r w:rsidRPr="00A04585">
        <w:rPr>
          <w:rFonts w:ascii="Trebuchet MS" w:hAnsi="Trebuchet MS"/>
          <w:lang w:val="es-ES_tradnl"/>
        </w:rPr>
        <w:t>sendos recursos de reconsideració</w:t>
      </w:r>
      <w:r w:rsidR="00FF1276" w:rsidRPr="00A04585">
        <w:rPr>
          <w:rFonts w:ascii="Trebuchet MS" w:hAnsi="Trebuchet MS"/>
          <w:lang w:val="es-ES_tradnl"/>
        </w:rPr>
        <w:t>n y se ordenó la acumulación de los asuntos</w:t>
      </w:r>
      <w:r w:rsidR="000E6758" w:rsidRPr="00A04585">
        <w:rPr>
          <w:rFonts w:ascii="Trebuchet MS" w:hAnsi="Trebuchet MS"/>
          <w:lang w:val="es-ES_tradnl"/>
        </w:rPr>
        <w:t>,</w:t>
      </w:r>
      <w:r w:rsidR="00FF1276" w:rsidRPr="00A04585">
        <w:rPr>
          <w:rFonts w:ascii="Trebuchet MS" w:hAnsi="Trebuchet MS"/>
          <w:lang w:val="es-ES_tradnl"/>
        </w:rPr>
        <w:t xml:space="preserve"> quedando registrados con la clave alfanumérica SUP-REC-210/2022 y acumulados. </w:t>
      </w:r>
    </w:p>
    <w:p w14:paraId="3CAECBED" w14:textId="77777777" w:rsidR="00FF1276" w:rsidRPr="00A04585" w:rsidRDefault="00FF1276" w:rsidP="00FF1276">
      <w:pPr>
        <w:pStyle w:val="Prrafodelista"/>
        <w:ind w:left="0"/>
        <w:jc w:val="both"/>
        <w:rPr>
          <w:rFonts w:ascii="Trebuchet MS" w:hAnsi="Trebuchet MS"/>
          <w:b/>
          <w:bCs/>
          <w:lang w:val="es-ES_tradnl"/>
        </w:rPr>
      </w:pPr>
    </w:p>
    <w:p w14:paraId="53EFB6F9" w14:textId="209A7FD2" w:rsidR="00FF1276" w:rsidRPr="00A04585" w:rsidRDefault="00FF1276" w:rsidP="00FF1276">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RESOLUCIÓN DEL RECURSO DE RECONSIDERACIÓN SUP-REC-210/2022 Y ACUMULADOS. </w:t>
      </w:r>
      <w:r w:rsidRPr="00A04585">
        <w:rPr>
          <w:rFonts w:ascii="Trebuchet MS" w:hAnsi="Trebuchet MS"/>
          <w:lang w:val="es-ES_tradnl"/>
        </w:rPr>
        <w:t xml:space="preserve">El once de mayo, la Sala Superior del Tribunal Electoral del Poder Judicial de la Federación resolvió desechar de plano las demandas, al no actualizarse alguna de las hipótesis de procedencia del recurso de reconsideración previstas en la Ley General del Sistema de Medios de Impugnación en Materia Electoral, así como aquellas derivadas de la interpretación de </w:t>
      </w:r>
      <w:r w:rsidR="002711B8" w:rsidRPr="00A04585">
        <w:rPr>
          <w:rFonts w:ascii="Trebuchet MS" w:hAnsi="Trebuchet MS"/>
          <w:lang w:val="es-ES_tradnl"/>
        </w:rPr>
        <w:t xml:space="preserve">dicho órgano jurisdiccional. </w:t>
      </w:r>
    </w:p>
    <w:p w14:paraId="7EDF45F9" w14:textId="77777777" w:rsidR="000575DF" w:rsidRPr="00A04585" w:rsidRDefault="000575DF" w:rsidP="000575DF">
      <w:pPr>
        <w:pStyle w:val="Prrafodelista"/>
        <w:rPr>
          <w:rFonts w:ascii="Trebuchet MS" w:hAnsi="Trebuchet MS"/>
          <w:b/>
          <w:bCs/>
          <w:lang w:val="es-ES_tradnl"/>
        </w:rPr>
      </w:pPr>
    </w:p>
    <w:p w14:paraId="7F83D069" w14:textId="26479BCA" w:rsidR="000575DF" w:rsidRPr="00A04585" w:rsidRDefault="000575DF" w:rsidP="00FF1276">
      <w:pPr>
        <w:pStyle w:val="Prrafodelista"/>
        <w:numPr>
          <w:ilvl w:val="0"/>
          <w:numId w:val="1"/>
        </w:numPr>
        <w:ind w:left="0" w:firstLine="0"/>
        <w:jc w:val="both"/>
        <w:rPr>
          <w:rFonts w:ascii="Trebuchet MS" w:hAnsi="Trebuchet MS"/>
          <w:b/>
          <w:bCs/>
          <w:lang w:val="es-ES_tradnl"/>
        </w:rPr>
      </w:pPr>
      <w:r w:rsidRPr="00A04585">
        <w:rPr>
          <w:rFonts w:ascii="Trebuchet MS" w:hAnsi="Trebuchet MS"/>
          <w:b/>
          <w:bCs/>
          <w:lang w:val="es-ES_tradnl"/>
        </w:rPr>
        <w:t xml:space="preserve">RECEPCIÓN DEL DATO ESTADÍSTICO DE PERSONAS INSCRITAS EN EL PADRÓN ELECTORAL EN JALISCO. </w:t>
      </w:r>
      <w:r w:rsidR="00735F4A" w:rsidRPr="00A04585">
        <w:rPr>
          <w:rFonts w:ascii="Trebuchet MS" w:hAnsi="Trebuchet MS"/>
          <w:bCs/>
          <w:lang w:val="es-ES_tradnl"/>
        </w:rPr>
        <w:t>El diecinueve de julio, mediante oficio INE/DERFE/STN/SPMR/119/2022, registrado con el número de folio 00942 de Oficialía de Partes de este organismo electoral, el Instituto Nacional Electoral a través de la Secretaría Técnica Normativa de la Dirección Ejecutiva del Registro Federal de Electores informó que mediante correo electrónico dirigido al Vocal del Registro Federal de Electores de la Junta Local Ejecutiva en Jalisco, remitió el archivo que contiene el dato estadístico de personas inscritas en el padrón electoral en Jalisco, con fecha de corte al quince de julio de dos mil veintidós, mismo que fue notificado a este Instituto</w:t>
      </w:r>
      <w:r w:rsidR="00787CD7" w:rsidRPr="00A04585">
        <w:rPr>
          <w:rFonts w:ascii="Trebuchet MS" w:hAnsi="Trebuchet MS"/>
          <w:bCs/>
          <w:lang w:val="es-ES_tradnl"/>
        </w:rPr>
        <w:t>,</w:t>
      </w:r>
      <w:r w:rsidR="00735F4A" w:rsidRPr="00A04585">
        <w:rPr>
          <w:rFonts w:ascii="Trebuchet MS" w:hAnsi="Trebuchet MS"/>
          <w:bCs/>
          <w:lang w:val="es-ES_tradnl"/>
        </w:rPr>
        <w:t xml:space="preserve"> vía correo electrónico, mediante oficio INE-JAL-JLE-VE-1303-2022. </w:t>
      </w:r>
    </w:p>
    <w:p w14:paraId="16BFD7F9" w14:textId="77777777" w:rsidR="00FF1276" w:rsidRPr="00A04585" w:rsidRDefault="00FF1276" w:rsidP="00FF1276">
      <w:pPr>
        <w:jc w:val="both"/>
        <w:rPr>
          <w:rFonts w:ascii="Trebuchet MS" w:hAnsi="Trebuchet MS"/>
          <w:b/>
          <w:bCs/>
          <w:lang w:val="es-ES_tradnl"/>
        </w:rPr>
      </w:pPr>
    </w:p>
    <w:p w14:paraId="3648FC30" w14:textId="77777777" w:rsidR="00F040EE" w:rsidRPr="00A04585" w:rsidRDefault="00F040EE" w:rsidP="002E7CFF">
      <w:pPr>
        <w:pStyle w:val="Prrafodelista"/>
        <w:ind w:left="0"/>
        <w:jc w:val="center"/>
        <w:rPr>
          <w:rFonts w:ascii="Trebuchet MS" w:hAnsi="Trebuchet MS"/>
          <w:b/>
          <w:bCs/>
          <w:lang w:val="es-ES_tradnl"/>
        </w:rPr>
      </w:pPr>
    </w:p>
    <w:p w14:paraId="28FF904F" w14:textId="77777777" w:rsidR="00F040EE" w:rsidRPr="00A04585" w:rsidRDefault="00F040EE" w:rsidP="002E7CFF">
      <w:pPr>
        <w:pStyle w:val="Prrafodelista"/>
        <w:ind w:left="0"/>
        <w:jc w:val="center"/>
        <w:rPr>
          <w:rFonts w:ascii="Trebuchet MS" w:hAnsi="Trebuchet MS"/>
          <w:b/>
          <w:bCs/>
          <w:lang w:val="es-ES_tradnl"/>
        </w:rPr>
      </w:pPr>
    </w:p>
    <w:p w14:paraId="53C6986C" w14:textId="321FB840" w:rsidR="007C099E" w:rsidRPr="00A04585" w:rsidRDefault="007C099E" w:rsidP="002E7CFF">
      <w:pPr>
        <w:pStyle w:val="Prrafodelista"/>
        <w:ind w:left="0"/>
        <w:jc w:val="center"/>
        <w:rPr>
          <w:rFonts w:ascii="Trebuchet MS" w:hAnsi="Trebuchet MS"/>
          <w:b/>
          <w:bCs/>
          <w:lang w:val="es-ES_tradnl"/>
        </w:rPr>
      </w:pPr>
      <w:r w:rsidRPr="00A04585">
        <w:rPr>
          <w:rFonts w:ascii="Trebuchet MS" w:hAnsi="Trebuchet MS"/>
          <w:b/>
          <w:bCs/>
          <w:lang w:val="es-ES_tradnl"/>
        </w:rPr>
        <w:t>C O N S I D E R A N D O</w:t>
      </w:r>
    </w:p>
    <w:p w14:paraId="05EC4B6A" w14:textId="77777777" w:rsidR="007C099E" w:rsidRPr="00A04585" w:rsidRDefault="007C099E" w:rsidP="002E7CFF">
      <w:pPr>
        <w:pStyle w:val="Prrafodelista"/>
        <w:ind w:left="0"/>
        <w:jc w:val="center"/>
        <w:rPr>
          <w:rFonts w:ascii="Trebuchet MS" w:hAnsi="Trebuchet MS"/>
          <w:b/>
          <w:bCs/>
          <w:lang w:val="es-ES_tradnl"/>
        </w:rPr>
      </w:pPr>
    </w:p>
    <w:p w14:paraId="473712BA" w14:textId="4506D9D4" w:rsidR="007C099E" w:rsidRPr="00A04585" w:rsidRDefault="00F6623C" w:rsidP="002E7CFF">
      <w:pPr>
        <w:pStyle w:val="Sinespaciado"/>
        <w:jc w:val="both"/>
        <w:rPr>
          <w:rFonts w:ascii="Trebuchet MS" w:hAnsi="Trebuchet MS"/>
          <w:sz w:val="24"/>
          <w:szCs w:val="24"/>
          <w:lang w:val="es-ES_tradnl"/>
        </w:rPr>
      </w:pPr>
      <w:r w:rsidRPr="00A04585">
        <w:rPr>
          <w:rFonts w:ascii="Trebuchet MS" w:hAnsi="Trebuchet MS"/>
          <w:b/>
          <w:sz w:val="24"/>
          <w:szCs w:val="24"/>
          <w:lang w:val="es-ES_tradnl"/>
        </w:rPr>
        <w:t>I. INSTITUTO ELECTORAL Y DE PARTICIPACIÓN CIUDADANA DEL ESTADO DE JALISCO.</w:t>
      </w:r>
      <w:r w:rsidRPr="00A04585">
        <w:rPr>
          <w:rFonts w:ascii="Trebuchet MS" w:hAnsi="Trebuchet MS"/>
          <w:sz w:val="24"/>
          <w:szCs w:val="24"/>
          <w:lang w:val="es-ES_tradnl"/>
        </w:rPr>
        <w:t xml:space="preserve"> </w:t>
      </w:r>
      <w:r w:rsidR="007C099E" w:rsidRPr="00A04585">
        <w:rPr>
          <w:rFonts w:ascii="Trebuchet MS" w:hAnsi="Trebuchet MS"/>
          <w:sz w:val="24"/>
          <w:szCs w:val="24"/>
          <w:lang w:val="es-ES_tradnl"/>
        </w:rPr>
        <w:t>Es</w:t>
      </w:r>
      <w:r w:rsidR="00E1752C" w:rsidRPr="00A04585">
        <w:rPr>
          <w:rFonts w:ascii="Trebuchet MS" w:hAnsi="Trebuchet MS"/>
          <w:sz w:val="24"/>
          <w:szCs w:val="24"/>
          <w:lang w:val="es-ES_tradnl"/>
        </w:rPr>
        <w:t>ta institución administrativa electoral es</w:t>
      </w:r>
      <w:r w:rsidR="007C099E" w:rsidRPr="00A04585">
        <w:rPr>
          <w:rFonts w:ascii="Trebuchet MS" w:hAnsi="Trebuchet MS"/>
          <w:sz w:val="24"/>
          <w:szCs w:val="24"/>
          <w:lang w:val="es-ES_tradnl"/>
        </w:rPr>
        <w:t xml:space="preserve"> un organismo público local electoral, de carácter permanente, autónomo en su funcionamiento, independiente en sus decisiones, profesional en su desempeño, autoridad en la materia y dotado de personalidad jurídica y patrimonio propios</w:t>
      </w:r>
      <w:r w:rsidR="00E1752C" w:rsidRPr="00A04585">
        <w:rPr>
          <w:rFonts w:ascii="Trebuchet MS" w:hAnsi="Trebuchet MS"/>
          <w:sz w:val="24"/>
          <w:szCs w:val="24"/>
          <w:lang w:val="es-ES_tradnl"/>
        </w:rPr>
        <w:t>,</w:t>
      </w:r>
      <w:r w:rsidR="007C099E" w:rsidRPr="00A04585">
        <w:rPr>
          <w:rFonts w:ascii="Trebuchet MS" w:hAnsi="Trebuchet MS"/>
          <w:sz w:val="24"/>
          <w:szCs w:val="24"/>
          <w:lang w:val="es-ES_tradnl"/>
        </w:rPr>
        <w:t xml:space="preserve"> que tiene como objetivos, entre otros, vigilar en el ámbito electoral el cumplimiento de la Constitución General de la República, la Constitución local y las leyes que se derivan de ambas, de conformidad con los artículos 41, </w:t>
      </w:r>
      <w:r w:rsidR="00B60523" w:rsidRPr="00A04585">
        <w:rPr>
          <w:rFonts w:ascii="Trebuchet MS" w:hAnsi="Trebuchet MS"/>
          <w:sz w:val="24"/>
          <w:szCs w:val="24"/>
          <w:lang w:val="es-ES_tradnl"/>
        </w:rPr>
        <w:t>b</w:t>
      </w:r>
      <w:r w:rsidR="007C099E" w:rsidRPr="00A04585">
        <w:rPr>
          <w:rFonts w:ascii="Trebuchet MS" w:hAnsi="Trebuchet MS"/>
          <w:sz w:val="24"/>
          <w:szCs w:val="24"/>
          <w:lang w:val="es-ES_tradnl"/>
        </w:rPr>
        <w:t xml:space="preserve">ase V, apartado C; y 116, </w:t>
      </w:r>
      <w:r w:rsidR="00B60523" w:rsidRPr="00A04585">
        <w:rPr>
          <w:rFonts w:ascii="Trebuchet MS" w:hAnsi="Trebuchet MS"/>
          <w:sz w:val="24"/>
          <w:szCs w:val="24"/>
          <w:lang w:val="es-ES_tradnl"/>
        </w:rPr>
        <w:t>b</w:t>
      </w:r>
      <w:r w:rsidR="007C099E" w:rsidRPr="00A04585">
        <w:rPr>
          <w:rFonts w:ascii="Trebuchet MS" w:hAnsi="Trebuchet MS"/>
          <w:sz w:val="24"/>
          <w:szCs w:val="24"/>
          <w:lang w:val="es-ES_tradnl"/>
        </w:rPr>
        <w:t>ase IV, inciso</w:t>
      </w:r>
      <w:r w:rsidR="00B60523" w:rsidRPr="00A04585">
        <w:rPr>
          <w:rFonts w:ascii="Trebuchet MS" w:hAnsi="Trebuchet MS"/>
          <w:sz w:val="24"/>
          <w:szCs w:val="24"/>
          <w:lang w:val="es-ES_tradnl"/>
        </w:rPr>
        <w:t>s</w:t>
      </w:r>
      <w:r w:rsidR="007C099E" w:rsidRPr="00A04585">
        <w:rPr>
          <w:rFonts w:ascii="Trebuchet MS" w:hAnsi="Trebuchet MS"/>
          <w:sz w:val="24"/>
          <w:szCs w:val="24"/>
          <w:lang w:val="es-ES_tradnl"/>
        </w:rPr>
        <w:t xml:space="preserve"> c)</w:t>
      </w:r>
      <w:r w:rsidR="00B60523" w:rsidRPr="00A04585">
        <w:rPr>
          <w:rFonts w:ascii="Trebuchet MS" w:hAnsi="Trebuchet MS"/>
          <w:sz w:val="24"/>
          <w:szCs w:val="24"/>
          <w:lang w:val="es-ES_tradnl"/>
        </w:rPr>
        <w:t xml:space="preserve"> y g)</w:t>
      </w:r>
      <w:r w:rsidR="007C099E" w:rsidRPr="00A04585">
        <w:rPr>
          <w:rFonts w:ascii="Trebuchet MS" w:hAnsi="Trebuchet MS"/>
          <w:sz w:val="24"/>
          <w:szCs w:val="24"/>
          <w:lang w:val="es-ES_tradnl"/>
        </w:rPr>
        <w:t xml:space="preserve"> de la Constitución Política de los Estados Unidos Mexicanos; 12, Base IV de la Constitución Política del Estado de Jalisco; 115 y 116, párrafo 1 del Código Electoral del Estado de Jalisco.</w:t>
      </w:r>
    </w:p>
    <w:p w14:paraId="26D64390" w14:textId="77777777" w:rsidR="007C099E" w:rsidRPr="00A04585" w:rsidRDefault="007C099E" w:rsidP="002E7CFF">
      <w:pPr>
        <w:pStyle w:val="Sinespaciado"/>
        <w:jc w:val="both"/>
        <w:rPr>
          <w:rFonts w:ascii="Trebuchet MS" w:hAnsi="Trebuchet MS"/>
          <w:sz w:val="24"/>
          <w:szCs w:val="24"/>
          <w:lang w:val="es-ES_tradnl"/>
        </w:rPr>
      </w:pPr>
    </w:p>
    <w:p w14:paraId="04EAA490" w14:textId="2568BB25" w:rsidR="007C099E" w:rsidRPr="00A04585" w:rsidRDefault="00F6623C" w:rsidP="002E7CFF">
      <w:pPr>
        <w:pStyle w:val="Sinespaciado"/>
        <w:jc w:val="both"/>
        <w:rPr>
          <w:rFonts w:ascii="Trebuchet MS" w:hAnsi="Trebuchet MS"/>
          <w:color w:val="000000"/>
          <w:sz w:val="24"/>
          <w:szCs w:val="24"/>
          <w:lang w:val="es-ES_tradnl" w:eastAsia="es-MX"/>
        </w:rPr>
      </w:pPr>
      <w:r w:rsidRPr="00A04585">
        <w:rPr>
          <w:rFonts w:ascii="Trebuchet MS" w:hAnsi="Trebuchet MS" w:cs="Arial"/>
          <w:b/>
          <w:sz w:val="24"/>
          <w:szCs w:val="24"/>
          <w:lang w:val="es-ES_tradnl"/>
        </w:rPr>
        <w:t xml:space="preserve">II. </w:t>
      </w:r>
      <w:r w:rsidRPr="00A04585">
        <w:rPr>
          <w:rFonts w:ascii="Trebuchet MS" w:hAnsi="Trebuchet MS"/>
          <w:b/>
          <w:sz w:val="24"/>
          <w:szCs w:val="24"/>
          <w:lang w:val="es-ES_tradnl"/>
        </w:rPr>
        <w:t>CONSEJO GENERAL.</w:t>
      </w:r>
      <w:r w:rsidRPr="00A04585">
        <w:rPr>
          <w:rFonts w:ascii="Trebuchet MS" w:hAnsi="Trebuchet MS"/>
          <w:sz w:val="24"/>
          <w:szCs w:val="24"/>
          <w:lang w:val="es-ES_tradnl"/>
        </w:rPr>
        <w:t xml:space="preserve"> </w:t>
      </w:r>
      <w:r w:rsidR="00E1752C" w:rsidRPr="00A04585">
        <w:rPr>
          <w:rFonts w:ascii="Trebuchet MS" w:hAnsi="Trebuchet MS"/>
          <w:sz w:val="24"/>
          <w:szCs w:val="24"/>
          <w:lang w:val="es-ES_tradnl"/>
        </w:rPr>
        <w:t>E</w:t>
      </w:r>
      <w:r w:rsidR="007C099E" w:rsidRPr="00A04585">
        <w:rPr>
          <w:rFonts w:ascii="Trebuchet MS" w:hAnsi="Trebuchet MS"/>
          <w:sz w:val="24"/>
          <w:szCs w:val="24"/>
          <w:lang w:val="es-ES_tradnl"/>
        </w:rPr>
        <w:t>l órgano superior de dirección del Instituto</w:t>
      </w:r>
      <w:r w:rsidR="00E1752C" w:rsidRPr="00A04585">
        <w:rPr>
          <w:rFonts w:ascii="Trebuchet MS" w:hAnsi="Trebuchet MS"/>
          <w:sz w:val="24"/>
          <w:szCs w:val="24"/>
          <w:lang w:val="es-ES_tradnl"/>
        </w:rPr>
        <w:t xml:space="preserve"> es el Consejo General</w:t>
      </w:r>
      <w:r w:rsidR="007C099E" w:rsidRPr="00A04585">
        <w:rPr>
          <w:rFonts w:ascii="Trebuchet MS" w:hAnsi="Trebuchet MS"/>
          <w:sz w:val="24"/>
          <w:szCs w:val="24"/>
          <w:lang w:val="es-ES_tradnl"/>
        </w:rPr>
        <w:t>,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E1752C" w:rsidRPr="00A04585">
        <w:rPr>
          <w:rFonts w:ascii="Trebuchet MS" w:hAnsi="Trebuchet MS"/>
          <w:sz w:val="24"/>
          <w:szCs w:val="24"/>
          <w:lang w:val="es-ES_tradnl"/>
        </w:rPr>
        <w:t xml:space="preserve"> y</w:t>
      </w:r>
      <w:r w:rsidR="007C099E" w:rsidRPr="00A04585">
        <w:rPr>
          <w:rFonts w:ascii="Trebuchet MS" w:hAnsi="Trebuchet MS"/>
          <w:sz w:val="24"/>
          <w:szCs w:val="24"/>
          <w:lang w:val="es-ES_tradnl"/>
        </w:rPr>
        <w:t xml:space="preserve"> dentro de sus </w:t>
      </w:r>
      <w:r w:rsidR="007C099E" w:rsidRPr="00A04585">
        <w:rPr>
          <w:rFonts w:ascii="Trebuchet MS" w:hAnsi="Trebuchet MS" w:cs="Tahoma"/>
          <w:sz w:val="24"/>
          <w:szCs w:val="24"/>
          <w:lang w:val="es-ES_tradnl"/>
        </w:rPr>
        <w:t xml:space="preserve">atribuciones se encuentran </w:t>
      </w:r>
      <w:r w:rsidR="007C099E" w:rsidRPr="00A04585">
        <w:rPr>
          <w:rFonts w:ascii="Trebuchet MS" w:hAnsi="Trebuchet MS"/>
          <w:color w:val="000000"/>
          <w:sz w:val="24"/>
          <w:szCs w:val="24"/>
          <w:lang w:val="es-ES_tradnl" w:eastAsia="es-MX"/>
        </w:rPr>
        <w:t>dictar los acuerdos necesarios para hacer efectivas sus atribuciones</w:t>
      </w:r>
      <w:r w:rsidR="00E1752C" w:rsidRPr="00A04585">
        <w:rPr>
          <w:rFonts w:ascii="Trebuchet MS" w:hAnsi="Trebuchet MS"/>
          <w:color w:val="000000"/>
          <w:sz w:val="24"/>
          <w:szCs w:val="24"/>
          <w:lang w:val="es-ES_tradnl" w:eastAsia="es-MX"/>
        </w:rPr>
        <w:t xml:space="preserve"> y</w:t>
      </w:r>
      <w:r w:rsidR="007C099E" w:rsidRPr="00A04585">
        <w:rPr>
          <w:rFonts w:ascii="Trebuchet MS" w:hAnsi="Trebuchet MS"/>
          <w:color w:val="000000"/>
          <w:sz w:val="24"/>
          <w:szCs w:val="24"/>
          <w:lang w:val="es-ES_tradnl" w:eastAsia="es-MX"/>
        </w:rPr>
        <w:t xml:space="preserve"> vigilar el cumplimiento de la legislación electoral y las disposiciones que con base en ella se dicten</w:t>
      </w:r>
      <w:r w:rsidR="00E1752C" w:rsidRPr="00A04585">
        <w:rPr>
          <w:rFonts w:ascii="Trebuchet MS" w:hAnsi="Trebuchet MS"/>
          <w:color w:val="000000"/>
          <w:sz w:val="24"/>
          <w:szCs w:val="24"/>
          <w:lang w:val="es-ES_tradnl" w:eastAsia="es-MX"/>
        </w:rPr>
        <w:t xml:space="preserve">, </w:t>
      </w:r>
      <w:r w:rsidR="00324E13" w:rsidRPr="00A04585">
        <w:rPr>
          <w:rFonts w:ascii="Trebuchet MS" w:hAnsi="Trebuchet MS"/>
          <w:color w:val="000000"/>
          <w:sz w:val="24"/>
          <w:szCs w:val="24"/>
          <w:lang w:val="es-ES_tradnl" w:eastAsia="es-MX"/>
        </w:rPr>
        <w:t>así como determinar con base en la Constitución Política del Estado, las leyes a</w:t>
      </w:r>
      <w:r w:rsidR="00FD2181" w:rsidRPr="00A04585">
        <w:rPr>
          <w:rFonts w:ascii="Trebuchet MS" w:hAnsi="Trebuchet MS"/>
          <w:color w:val="000000"/>
          <w:sz w:val="24"/>
          <w:szCs w:val="24"/>
          <w:lang w:val="es-ES_tradnl" w:eastAsia="es-MX"/>
        </w:rPr>
        <w:t xml:space="preserve">plicables y el Código Electoral </w:t>
      </w:r>
      <w:r w:rsidR="00324E13" w:rsidRPr="00A04585">
        <w:rPr>
          <w:rFonts w:ascii="Trebuchet MS" w:hAnsi="Trebuchet MS"/>
          <w:color w:val="000000"/>
          <w:sz w:val="24"/>
          <w:szCs w:val="24"/>
          <w:lang w:val="es-ES_tradnl" w:eastAsia="es-MX"/>
        </w:rPr>
        <w:t>el monto de financiamiento público que corresponda a los partidos políticos</w:t>
      </w:r>
      <w:r w:rsidR="007C099E" w:rsidRPr="00A04585">
        <w:rPr>
          <w:rFonts w:ascii="Trebuchet MS" w:hAnsi="Trebuchet MS"/>
          <w:color w:val="000000"/>
          <w:sz w:val="24"/>
          <w:szCs w:val="24"/>
          <w:lang w:val="es-ES_tradnl" w:eastAsia="es-MX"/>
        </w:rPr>
        <w:t xml:space="preserve">, de conformidad con lo dispuesto por los artículos 12, </w:t>
      </w:r>
      <w:r w:rsidR="00B60523" w:rsidRPr="00A04585">
        <w:rPr>
          <w:rFonts w:ascii="Trebuchet MS" w:hAnsi="Trebuchet MS"/>
          <w:color w:val="000000"/>
          <w:sz w:val="24"/>
          <w:szCs w:val="24"/>
          <w:lang w:val="es-ES_tradnl" w:eastAsia="es-MX"/>
        </w:rPr>
        <w:t>b</w:t>
      </w:r>
      <w:r w:rsidR="007C099E" w:rsidRPr="00A04585">
        <w:rPr>
          <w:rFonts w:ascii="Trebuchet MS" w:hAnsi="Trebuchet MS"/>
          <w:color w:val="000000"/>
          <w:sz w:val="24"/>
          <w:szCs w:val="24"/>
          <w:lang w:val="es-ES_tradnl" w:eastAsia="es-MX"/>
        </w:rPr>
        <w:t>ases I y IV</w:t>
      </w:r>
      <w:r w:rsidR="001C5C93" w:rsidRPr="00A04585">
        <w:rPr>
          <w:rFonts w:ascii="Trebuchet MS" w:hAnsi="Trebuchet MS"/>
          <w:color w:val="000000"/>
          <w:sz w:val="24"/>
          <w:szCs w:val="24"/>
          <w:lang w:val="es-ES_tradnl" w:eastAsia="es-MX"/>
        </w:rPr>
        <w:t>, así como 13 base IV</w:t>
      </w:r>
      <w:r w:rsidR="007C099E" w:rsidRPr="00A04585">
        <w:rPr>
          <w:rFonts w:ascii="Trebuchet MS" w:hAnsi="Trebuchet MS"/>
          <w:color w:val="000000"/>
          <w:sz w:val="24"/>
          <w:szCs w:val="24"/>
          <w:lang w:val="es-ES_tradnl" w:eastAsia="es-MX"/>
        </w:rPr>
        <w:t xml:space="preserve"> de la Constitución Política del Estado de Jalisco; </w:t>
      </w:r>
      <w:r w:rsidR="001C5C93" w:rsidRPr="00A04585">
        <w:rPr>
          <w:rFonts w:ascii="Trebuchet MS" w:hAnsi="Trebuchet MS"/>
          <w:color w:val="000000"/>
          <w:sz w:val="24"/>
          <w:szCs w:val="24"/>
          <w:lang w:val="es-ES_tradnl" w:eastAsia="es-MX"/>
        </w:rPr>
        <w:t>51</w:t>
      </w:r>
      <w:r w:rsidR="003117DB" w:rsidRPr="00A04585">
        <w:rPr>
          <w:rFonts w:ascii="Trebuchet MS" w:hAnsi="Trebuchet MS"/>
          <w:color w:val="000000"/>
          <w:sz w:val="24"/>
          <w:szCs w:val="24"/>
          <w:lang w:val="es-ES_tradnl" w:eastAsia="es-MX"/>
        </w:rPr>
        <w:t>, párrafo 1, incisos a) y c)</w:t>
      </w:r>
      <w:r w:rsidR="001C5C93" w:rsidRPr="00A04585">
        <w:rPr>
          <w:rFonts w:ascii="Trebuchet MS" w:hAnsi="Trebuchet MS"/>
          <w:color w:val="000000"/>
          <w:sz w:val="24"/>
          <w:szCs w:val="24"/>
          <w:lang w:val="es-ES_tradnl" w:eastAsia="es-MX"/>
        </w:rPr>
        <w:t xml:space="preserve"> de la Ley General de Partidos Políticos, </w:t>
      </w:r>
      <w:r w:rsidR="004F7D76" w:rsidRPr="00A04585">
        <w:rPr>
          <w:rFonts w:ascii="Trebuchet MS" w:hAnsi="Trebuchet MS"/>
          <w:color w:val="000000"/>
          <w:sz w:val="24"/>
          <w:szCs w:val="24"/>
          <w:lang w:val="es-ES_tradnl" w:eastAsia="es-MX"/>
        </w:rPr>
        <w:t>120,</w:t>
      </w:r>
      <w:r w:rsidR="007C099E" w:rsidRPr="00A04585">
        <w:rPr>
          <w:rFonts w:ascii="Trebuchet MS" w:hAnsi="Trebuchet MS"/>
          <w:color w:val="000000"/>
          <w:sz w:val="24"/>
          <w:szCs w:val="24"/>
          <w:lang w:val="es-ES_tradnl" w:eastAsia="es-MX"/>
        </w:rPr>
        <w:t xml:space="preserve"> 134, párrafo 1, fracciones </w:t>
      </w:r>
      <w:r w:rsidR="00324E13" w:rsidRPr="00A04585">
        <w:rPr>
          <w:rFonts w:ascii="Trebuchet MS" w:hAnsi="Trebuchet MS"/>
          <w:color w:val="000000"/>
          <w:sz w:val="24"/>
          <w:szCs w:val="24"/>
          <w:lang w:val="es-ES_tradnl" w:eastAsia="es-MX"/>
        </w:rPr>
        <w:t>VIII, IX</w:t>
      </w:r>
      <w:r w:rsidR="003117DB" w:rsidRPr="00A04585">
        <w:rPr>
          <w:rFonts w:ascii="Trebuchet MS" w:hAnsi="Trebuchet MS"/>
          <w:color w:val="000000"/>
          <w:sz w:val="24"/>
          <w:szCs w:val="24"/>
          <w:lang w:val="es-ES_tradnl" w:eastAsia="es-MX"/>
        </w:rPr>
        <w:t>,</w:t>
      </w:r>
      <w:r w:rsidR="00324E13" w:rsidRPr="00A04585">
        <w:rPr>
          <w:rFonts w:ascii="Trebuchet MS" w:hAnsi="Trebuchet MS"/>
          <w:color w:val="000000"/>
          <w:sz w:val="24"/>
          <w:szCs w:val="24"/>
          <w:lang w:val="es-ES_tradnl" w:eastAsia="es-MX"/>
        </w:rPr>
        <w:t xml:space="preserve"> XXXVI</w:t>
      </w:r>
      <w:r w:rsidR="003936A2" w:rsidRPr="00A04585">
        <w:rPr>
          <w:rFonts w:ascii="Trebuchet MS" w:hAnsi="Trebuchet MS"/>
          <w:color w:val="000000"/>
          <w:sz w:val="24"/>
          <w:szCs w:val="24"/>
          <w:lang w:val="es-ES_tradnl" w:eastAsia="es-MX"/>
        </w:rPr>
        <w:t>,</w:t>
      </w:r>
      <w:r w:rsidR="004F7D76" w:rsidRPr="00A04585">
        <w:rPr>
          <w:rFonts w:ascii="Trebuchet MS" w:hAnsi="Trebuchet MS"/>
          <w:color w:val="000000"/>
          <w:sz w:val="24"/>
          <w:szCs w:val="24"/>
          <w:lang w:val="es-ES_tradnl" w:eastAsia="es-MX"/>
        </w:rPr>
        <w:t xml:space="preserve"> XXXVII</w:t>
      </w:r>
      <w:r w:rsidR="00324E13" w:rsidRPr="00A04585">
        <w:rPr>
          <w:rFonts w:ascii="Trebuchet MS" w:hAnsi="Trebuchet MS"/>
          <w:color w:val="000000"/>
          <w:sz w:val="24"/>
          <w:szCs w:val="24"/>
          <w:lang w:val="es-ES_tradnl" w:eastAsia="es-MX"/>
        </w:rPr>
        <w:t xml:space="preserve"> </w:t>
      </w:r>
      <w:r w:rsidR="007C099E" w:rsidRPr="00A04585">
        <w:rPr>
          <w:rFonts w:ascii="Trebuchet MS" w:hAnsi="Trebuchet MS"/>
          <w:color w:val="000000"/>
          <w:sz w:val="24"/>
          <w:szCs w:val="24"/>
          <w:lang w:val="es-ES_tradnl" w:eastAsia="es-MX"/>
        </w:rPr>
        <w:t>LI y LII</w:t>
      </w:r>
      <w:r w:rsidR="004B1296" w:rsidRPr="00A04585">
        <w:rPr>
          <w:rFonts w:ascii="Trebuchet MS" w:hAnsi="Trebuchet MS"/>
          <w:color w:val="000000"/>
          <w:sz w:val="24"/>
          <w:szCs w:val="24"/>
          <w:lang w:val="es-ES_tradnl" w:eastAsia="es-MX"/>
        </w:rPr>
        <w:t>,</w:t>
      </w:r>
      <w:r w:rsidR="003117DB" w:rsidRPr="00A04585">
        <w:rPr>
          <w:rFonts w:ascii="Trebuchet MS" w:hAnsi="Trebuchet MS"/>
          <w:color w:val="000000"/>
          <w:sz w:val="24"/>
          <w:szCs w:val="24"/>
          <w:lang w:val="es-ES_tradnl" w:eastAsia="es-MX"/>
        </w:rPr>
        <w:t xml:space="preserve"> del</w:t>
      </w:r>
      <w:r w:rsidR="007C099E" w:rsidRPr="00A04585">
        <w:rPr>
          <w:rFonts w:ascii="Trebuchet MS" w:hAnsi="Trebuchet MS"/>
          <w:color w:val="000000"/>
          <w:sz w:val="24"/>
          <w:szCs w:val="24"/>
          <w:lang w:val="es-ES_tradnl" w:eastAsia="es-MX"/>
        </w:rPr>
        <w:t xml:space="preserve"> Código Electoral </w:t>
      </w:r>
      <w:r w:rsidR="00E55AEF" w:rsidRPr="00A04585">
        <w:rPr>
          <w:rFonts w:ascii="Trebuchet MS" w:hAnsi="Trebuchet MS"/>
          <w:color w:val="000000"/>
          <w:sz w:val="24"/>
          <w:szCs w:val="24"/>
          <w:lang w:val="es-ES_tradnl" w:eastAsia="es-MX"/>
        </w:rPr>
        <w:t>local.</w:t>
      </w:r>
    </w:p>
    <w:p w14:paraId="47222291" w14:textId="03950226" w:rsidR="00975B6A" w:rsidRPr="00A04585" w:rsidRDefault="00975B6A" w:rsidP="002E7CFF">
      <w:pPr>
        <w:pStyle w:val="Sinespaciado"/>
        <w:jc w:val="both"/>
        <w:rPr>
          <w:rFonts w:ascii="Trebuchet MS" w:hAnsi="Trebuchet MS"/>
          <w:color w:val="000000"/>
          <w:sz w:val="24"/>
          <w:szCs w:val="24"/>
          <w:lang w:val="es-ES_tradnl" w:eastAsia="es-MX"/>
        </w:rPr>
      </w:pPr>
    </w:p>
    <w:p w14:paraId="3F7ECAC2" w14:textId="4AEAA091" w:rsidR="004B1296" w:rsidRPr="00A04585" w:rsidRDefault="004B1296" w:rsidP="004B1296">
      <w:pPr>
        <w:pStyle w:val="Sinespaciado"/>
        <w:jc w:val="both"/>
        <w:rPr>
          <w:rFonts w:ascii="Trebuchet MS" w:hAnsi="Trebuchet MS"/>
          <w:color w:val="000000"/>
          <w:sz w:val="24"/>
          <w:szCs w:val="24"/>
          <w:lang w:val="es-ES_tradnl" w:eastAsia="es-MX"/>
        </w:rPr>
      </w:pPr>
      <w:r w:rsidRPr="00A04585">
        <w:rPr>
          <w:rFonts w:ascii="Trebuchet MS" w:hAnsi="Trebuchet MS"/>
          <w:b/>
          <w:color w:val="000000"/>
          <w:sz w:val="24"/>
          <w:szCs w:val="24"/>
          <w:lang w:val="es-ES_tradnl" w:eastAsia="es-MX"/>
        </w:rPr>
        <w:t>III. DE LA CONSEJERA PRESIDENTA.</w:t>
      </w:r>
      <w:r w:rsidRPr="00A04585">
        <w:rPr>
          <w:rFonts w:ascii="Trebuchet MS" w:hAnsi="Trebuchet MS"/>
          <w:color w:val="000000"/>
          <w:sz w:val="24"/>
          <w:szCs w:val="24"/>
          <w:lang w:val="es-ES_tradnl" w:eastAsia="es-MX"/>
        </w:rPr>
        <w:t xml:space="preserve"> Que la consejera presidenta de este Instituto tiene, entre otras atribuciones, hacer la entrega del financiamiento público a los partidos políticos, de conformidad con los establecido en el artículo 137, párrafo 1, fracción XXII; asimismo, debe remitir para los efectos legales correspondientes, el proyecto de presupuesto aprobado al titular del Poder Ejecutivo del Estado, de conformidad con el artículo 137, párrafo 1, fracciones XII, XIII y XV del Código </w:t>
      </w:r>
      <w:r w:rsidR="00D32CB8" w:rsidRPr="00A04585">
        <w:rPr>
          <w:rFonts w:ascii="Trebuchet MS" w:hAnsi="Trebuchet MS"/>
          <w:color w:val="000000"/>
          <w:sz w:val="24"/>
          <w:szCs w:val="24"/>
          <w:lang w:val="es-ES_tradnl" w:eastAsia="es-MX"/>
        </w:rPr>
        <w:t>Electoral del Estado de Jalisco, el cual deberá contener invariablemente el monto del financiamiento público a partidos políticos.</w:t>
      </w:r>
    </w:p>
    <w:p w14:paraId="114C8FA2" w14:textId="77777777" w:rsidR="004B1296" w:rsidRPr="00A04585" w:rsidRDefault="004B1296" w:rsidP="002E7CFF">
      <w:pPr>
        <w:pStyle w:val="Sinespaciado"/>
        <w:jc w:val="both"/>
        <w:rPr>
          <w:rFonts w:ascii="Trebuchet MS" w:hAnsi="Trebuchet MS"/>
          <w:color w:val="000000"/>
          <w:sz w:val="24"/>
          <w:szCs w:val="24"/>
          <w:lang w:val="es-ES_tradnl" w:eastAsia="es-MX"/>
        </w:rPr>
      </w:pPr>
    </w:p>
    <w:p w14:paraId="412EE7C8" w14:textId="77777777" w:rsidR="004B1296" w:rsidRPr="00A04585" w:rsidRDefault="004B1296" w:rsidP="002E7CFF">
      <w:pPr>
        <w:pStyle w:val="Sinespaciado"/>
        <w:jc w:val="both"/>
        <w:rPr>
          <w:rFonts w:ascii="Trebuchet MS" w:hAnsi="Trebuchet MS"/>
          <w:color w:val="000000"/>
          <w:sz w:val="24"/>
          <w:szCs w:val="24"/>
          <w:lang w:val="es-ES_tradnl" w:eastAsia="es-MX"/>
        </w:rPr>
      </w:pPr>
    </w:p>
    <w:p w14:paraId="06802DBF" w14:textId="50EE697D" w:rsidR="00975B6A" w:rsidRPr="00A04585" w:rsidRDefault="00F6623C"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 xml:space="preserve">III. MATERIA DEL PRESENTE ACUERDO. </w:t>
      </w:r>
      <w:r w:rsidR="001A37CD" w:rsidRPr="00A04585">
        <w:rPr>
          <w:rFonts w:ascii="Trebuchet MS" w:hAnsi="Trebuchet MS"/>
          <w:bCs/>
          <w:color w:val="000000"/>
          <w:sz w:val="24"/>
          <w:szCs w:val="24"/>
          <w:lang w:val="es-ES_tradnl" w:eastAsia="es-MX"/>
        </w:rPr>
        <w:t>E</w:t>
      </w:r>
      <w:r w:rsidR="00975B6A" w:rsidRPr="00A04585">
        <w:rPr>
          <w:rFonts w:ascii="Trebuchet MS" w:hAnsi="Trebuchet MS"/>
          <w:color w:val="000000"/>
          <w:sz w:val="24"/>
          <w:szCs w:val="24"/>
          <w:lang w:val="es-ES_tradnl" w:eastAsia="es-MX"/>
        </w:rPr>
        <w:t>l objeto de</w:t>
      </w:r>
      <w:r w:rsidR="00093B39" w:rsidRPr="00A04585">
        <w:rPr>
          <w:rFonts w:ascii="Trebuchet MS" w:hAnsi="Trebuchet MS"/>
          <w:color w:val="000000"/>
          <w:sz w:val="24"/>
          <w:szCs w:val="24"/>
          <w:lang w:val="es-ES_tradnl" w:eastAsia="es-MX"/>
        </w:rPr>
        <w:t>l</w:t>
      </w:r>
      <w:r w:rsidR="00975B6A" w:rsidRPr="00A04585">
        <w:rPr>
          <w:rFonts w:ascii="Trebuchet MS" w:hAnsi="Trebuchet MS"/>
          <w:color w:val="000000"/>
          <w:sz w:val="24"/>
          <w:szCs w:val="24"/>
          <w:lang w:val="es-ES_tradnl" w:eastAsia="es-MX"/>
        </w:rPr>
        <w:t xml:space="preserve"> presente acuerdo es calcular el monto de financiamiento público que será otorgado a cada partido durante </w:t>
      </w:r>
      <w:r w:rsidR="00914A01" w:rsidRPr="00A04585">
        <w:rPr>
          <w:rFonts w:ascii="Trebuchet MS" w:hAnsi="Trebuchet MS"/>
          <w:color w:val="000000"/>
          <w:sz w:val="24"/>
          <w:szCs w:val="24"/>
          <w:lang w:val="es-ES_tradnl" w:eastAsia="es-MX"/>
        </w:rPr>
        <w:t>el año dos mil veinti</w:t>
      </w:r>
      <w:r w:rsidR="00506A6B" w:rsidRPr="00A04585">
        <w:rPr>
          <w:rFonts w:ascii="Trebuchet MS" w:hAnsi="Trebuchet MS"/>
          <w:color w:val="000000"/>
          <w:sz w:val="24"/>
          <w:szCs w:val="24"/>
          <w:lang w:val="es-ES_tradnl" w:eastAsia="es-MX"/>
        </w:rPr>
        <w:t>trés</w:t>
      </w:r>
      <w:r w:rsidR="00914A01" w:rsidRPr="00A04585">
        <w:rPr>
          <w:rFonts w:ascii="Trebuchet MS" w:hAnsi="Trebuchet MS"/>
          <w:color w:val="000000"/>
          <w:sz w:val="24"/>
          <w:szCs w:val="24"/>
          <w:lang w:val="es-ES_tradnl" w:eastAsia="es-MX"/>
        </w:rPr>
        <w:t xml:space="preserve"> en el e</w:t>
      </w:r>
      <w:r w:rsidR="00975B6A" w:rsidRPr="00A04585">
        <w:rPr>
          <w:rFonts w:ascii="Trebuchet MS" w:hAnsi="Trebuchet MS"/>
          <w:color w:val="000000"/>
          <w:sz w:val="24"/>
          <w:szCs w:val="24"/>
          <w:lang w:val="es-ES_tradnl" w:eastAsia="es-MX"/>
        </w:rPr>
        <w:t>stado de Jalisco y</w:t>
      </w:r>
      <w:r w:rsidR="000E6758" w:rsidRPr="00A04585">
        <w:rPr>
          <w:rFonts w:ascii="Trebuchet MS" w:hAnsi="Trebuchet MS"/>
          <w:color w:val="000000"/>
          <w:sz w:val="24"/>
          <w:szCs w:val="24"/>
          <w:lang w:val="es-ES_tradnl" w:eastAsia="es-MX"/>
        </w:rPr>
        <w:t>,</w:t>
      </w:r>
      <w:r w:rsidR="00975B6A" w:rsidRPr="00A04585">
        <w:rPr>
          <w:rFonts w:ascii="Trebuchet MS" w:hAnsi="Trebuchet MS"/>
          <w:color w:val="000000"/>
          <w:sz w:val="24"/>
          <w:szCs w:val="24"/>
          <w:lang w:val="es-ES_tradnl" w:eastAsia="es-MX"/>
        </w:rPr>
        <w:t xml:space="preserve"> en atención a que es un hecho notorio que durante la mencionada anualidad no será celebrado proceso electoral ordinario alguno, en el presente documento no se hará mención a las bases y métodos para calcular el financiamiento para la obtención del voto, ya que no será necesario, en el entendido que si el Congreso del Estado ordenar</w:t>
      </w:r>
      <w:r w:rsidR="00CC41BA" w:rsidRPr="00A04585">
        <w:rPr>
          <w:rFonts w:ascii="Trebuchet MS" w:hAnsi="Trebuchet MS"/>
          <w:color w:val="000000"/>
          <w:sz w:val="24"/>
          <w:szCs w:val="24"/>
          <w:lang w:val="es-ES_tradnl" w:eastAsia="es-MX"/>
        </w:rPr>
        <w:t>a</w:t>
      </w:r>
      <w:r w:rsidR="00975B6A" w:rsidRPr="00A04585">
        <w:rPr>
          <w:rFonts w:ascii="Trebuchet MS" w:hAnsi="Trebuchet MS"/>
          <w:color w:val="000000"/>
          <w:sz w:val="24"/>
          <w:szCs w:val="24"/>
          <w:lang w:val="es-ES_tradnl" w:eastAsia="es-MX"/>
        </w:rPr>
        <w:t xml:space="preserve"> la celebración de alguna elección extraordinaria durante el ejercicio referido, se hará el cálculo </w:t>
      </w:r>
      <w:r w:rsidR="00AD59F8" w:rsidRPr="00A04585">
        <w:rPr>
          <w:rFonts w:ascii="Trebuchet MS" w:hAnsi="Trebuchet MS"/>
          <w:color w:val="000000"/>
          <w:sz w:val="24"/>
          <w:szCs w:val="24"/>
          <w:lang w:val="es-ES_tradnl" w:eastAsia="es-MX"/>
        </w:rPr>
        <w:t>sobre e</w:t>
      </w:r>
      <w:r w:rsidR="00975B6A" w:rsidRPr="00A04585">
        <w:rPr>
          <w:rFonts w:ascii="Trebuchet MS" w:hAnsi="Trebuchet MS"/>
          <w:color w:val="000000"/>
          <w:sz w:val="24"/>
          <w:szCs w:val="24"/>
          <w:lang w:val="es-ES_tradnl" w:eastAsia="es-MX"/>
        </w:rPr>
        <w:t>l financiamiento de campaña que corresponda en el momento oportuno.</w:t>
      </w:r>
    </w:p>
    <w:p w14:paraId="760F164D" w14:textId="370BE3D1" w:rsidR="007C099E" w:rsidRPr="00A04585" w:rsidRDefault="007C099E" w:rsidP="002E7CFF">
      <w:pPr>
        <w:pStyle w:val="Sinespaciado"/>
        <w:jc w:val="both"/>
        <w:rPr>
          <w:rFonts w:ascii="Trebuchet MS" w:hAnsi="Trebuchet MS"/>
          <w:color w:val="000000"/>
          <w:sz w:val="24"/>
          <w:szCs w:val="24"/>
          <w:lang w:val="es-ES_tradnl" w:eastAsia="es-MX"/>
        </w:rPr>
      </w:pPr>
    </w:p>
    <w:p w14:paraId="6ECF5756" w14:textId="01C86CAE" w:rsidR="00984E8F" w:rsidRPr="00A04585" w:rsidRDefault="00506A6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el presente acuerdo se realizará la determinación de la</w:t>
      </w:r>
      <w:r w:rsidR="00314402" w:rsidRPr="00A04585">
        <w:rPr>
          <w:rFonts w:ascii="Trebuchet MS" w:hAnsi="Trebuchet MS"/>
          <w:color w:val="000000"/>
          <w:sz w:val="24"/>
          <w:szCs w:val="24"/>
          <w:lang w:val="es-ES_tradnl" w:eastAsia="es-MX"/>
        </w:rPr>
        <w:t>s</w:t>
      </w:r>
      <w:r w:rsidRPr="00A04585">
        <w:rPr>
          <w:rFonts w:ascii="Trebuchet MS" w:hAnsi="Trebuchet MS"/>
          <w:color w:val="000000"/>
          <w:sz w:val="24"/>
          <w:szCs w:val="24"/>
          <w:lang w:val="es-ES_tradnl" w:eastAsia="es-MX"/>
        </w:rPr>
        <w:t xml:space="preserve"> bolsa</w:t>
      </w:r>
      <w:r w:rsidR="00314402" w:rsidRPr="00A04585">
        <w:rPr>
          <w:rFonts w:ascii="Trebuchet MS" w:hAnsi="Trebuchet MS"/>
          <w:color w:val="000000"/>
          <w:sz w:val="24"/>
          <w:szCs w:val="24"/>
          <w:lang w:val="es-ES_tradnl" w:eastAsia="es-MX"/>
        </w:rPr>
        <w:t>s</w:t>
      </w:r>
      <w:r w:rsidRPr="00A04585">
        <w:rPr>
          <w:rFonts w:ascii="Trebuchet MS" w:hAnsi="Trebuchet MS"/>
          <w:color w:val="000000"/>
          <w:sz w:val="24"/>
          <w:szCs w:val="24"/>
          <w:lang w:val="es-ES_tradnl" w:eastAsia="es-MX"/>
        </w:rPr>
        <w:t xml:space="preserve"> del financiamiento público</w:t>
      </w:r>
      <w:r w:rsidR="00984E8F" w:rsidRPr="00A04585">
        <w:rPr>
          <w:rFonts w:ascii="Trebuchet MS" w:hAnsi="Trebuchet MS"/>
          <w:color w:val="000000"/>
          <w:sz w:val="24"/>
          <w:szCs w:val="24"/>
          <w:lang w:val="es-ES_tradnl" w:eastAsia="es-MX"/>
        </w:rPr>
        <w:t xml:space="preserve"> que debe distribuirse entre partidos nacionales </w:t>
      </w:r>
      <w:r w:rsidRPr="00A04585">
        <w:rPr>
          <w:rFonts w:ascii="Trebuchet MS" w:hAnsi="Trebuchet MS"/>
          <w:color w:val="000000"/>
          <w:sz w:val="24"/>
          <w:szCs w:val="24"/>
          <w:lang w:val="es-ES_tradnl" w:eastAsia="es-MX"/>
        </w:rPr>
        <w:t xml:space="preserve">acreditados </w:t>
      </w:r>
      <w:r w:rsidR="00984E8F" w:rsidRPr="00A04585">
        <w:rPr>
          <w:rFonts w:ascii="Trebuchet MS" w:hAnsi="Trebuchet MS"/>
          <w:color w:val="000000"/>
          <w:sz w:val="24"/>
          <w:szCs w:val="24"/>
          <w:lang w:val="es-ES_tradnl" w:eastAsia="es-MX"/>
        </w:rPr>
        <w:t>y locales</w:t>
      </w:r>
      <w:r w:rsidR="00CC41BA" w:rsidRPr="00A04585">
        <w:rPr>
          <w:rFonts w:ascii="Trebuchet MS" w:hAnsi="Trebuchet MS"/>
          <w:color w:val="000000"/>
          <w:sz w:val="24"/>
          <w:szCs w:val="24"/>
          <w:lang w:val="es-ES_tradnl" w:eastAsia="es-MX"/>
        </w:rPr>
        <w:t xml:space="preserve"> con registro</w:t>
      </w:r>
      <w:r w:rsidRPr="00A04585">
        <w:rPr>
          <w:rFonts w:ascii="Trebuchet MS" w:hAnsi="Trebuchet MS"/>
          <w:color w:val="000000"/>
          <w:sz w:val="24"/>
          <w:szCs w:val="24"/>
          <w:lang w:val="es-ES_tradnl" w:eastAsia="es-MX"/>
        </w:rPr>
        <w:t xml:space="preserve">, </w:t>
      </w:r>
      <w:r w:rsidR="00984E8F" w:rsidRPr="00A04585">
        <w:rPr>
          <w:rFonts w:ascii="Trebuchet MS" w:hAnsi="Trebuchet MS"/>
          <w:color w:val="000000"/>
          <w:sz w:val="24"/>
          <w:szCs w:val="24"/>
          <w:lang w:val="es-ES_tradnl" w:eastAsia="es-MX"/>
        </w:rPr>
        <w:t>para el año dos mil veinti</w:t>
      </w:r>
      <w:r w:rsidRPr="00A04585">
        <w:rPr>
          <w:rFonts w:ascii="Trebuchet MS" w:hAnsi="Trebuchet MS"/>
          <w:color w:val="000000"/>
          <w:sz w:val="24"/>
          <w:szCs w:val="24"/>
          <w:lang w:val="es-ES_tradnl" w:eastAsia="es-MX"/>
        </w:rPr>
        <w:t>trés</w:t>
      </w:r>
      <w:r w:rsidR="00984E8F" w:rsidRPr="00A04585">
        <w:rPr>
          <w:rFonts w:ascii="Trebuchet MS" w:hAnsi="Trebuchet MS"/>
          <w:color w:val="000000"/>
          <w:sz w:val="24"/>
          <w:szCs w:val="24"/>
          <w:lang w:val="es-ES_tradnl" w:eastAsia="es-MX"/>
        </w:rPr>
        <w:t>.</w:t>
      </w:r>
    </w:p>
    <w:p w14:paraId="439D6271" w14:textId="77777777" w:rsidR="00984E8F" w:rsidRPr="00A04585" w:rsidRDefault="00984E8F" w:rsidP="002E7CFF">
      <w:pPr>
        <w:pStyle w:val="Sinespaciado"/>
        <w:jc w:val="both"/>
        <w:rPr>
          <w:rFonts w:ascii="Trebuchet MS" w:hAnsi="Trebuchet MS"/>
          <w:color w:val="000000"/>
          <w:sz w:val="24"/>
          <w:szCs w:val="24"/>
          <w:lang w:val="es-ES_tradnl" w:eastAsia="es-MX"/>
        </w:rPr>
      </w:pPr>
    </w:p>
    <w:p w14:paraId="7F193F4B" w14:textId="39134833" w:rsidR="007A3936" w:rsidRPr="00A04585" w:rsidRDefault="00984E8F"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Al respecto, cabe destacar </w:t>
      </w:r>
      <w:r w:rsidR="00E55AEF" w:rsidRPr="00A04585">
        <w:rPr>
          <w:rFonts w:ascii="Trebuchet MS" w:hAnsi="Trebuchet MS"/>
          <w:color w:val="000000"/>
          <w:sz w:val="24"/>
          <w:szCs w:val="24"/>
          <w:lang w:val="es-ES_tradnl" w:eastAsia="es-MX"/>
        </w:rPr>
        <w:t xml:space="preserve">que </w:t>
      </w:r>
      <w:r w:rsidRPr="00A04585">
        <w:rPr>
          <w:rFonts w:ascii="Trebuchet MS" w:hAnsi="Trebuchet MS"/>
          <w:color w:val="000000"/>
          <w:sz w:val="24"/>
          <w:szCs w:val="24"/>
          <w:lang w:val="es-ES_tradnl" w:eastAsia="es-MX"/>
        </w:rPr>
        <w:t xml:space="preserve">para los </w:t>
      </w:r>
      <w:r w:rsidR="00AD59F8" w:rsidRPr="00A04585">
        <w:rPr>
          <w:rFonts w:ascii="Trebuchet MS" w:hAnsi="Trebuchet MS"/>
          <w:color w:val="000000"/>
          <w:sz w:val="24"/>
          <w:szCs w:val="24"/>
          <w:lang w:val="es-ES_tradnl" w:eastAsia="es-MX"/>
        </w:rPr>
        <w:t xml:space="preserve">partidos nacionales acreditados </w:t>
      </w:r>
      <w:r w:rsidR="00506A6B" w:rsidRPr="00A04585">
        <w:rPr>
          <w:rFonts w:ascii="Trebuchet MS" w:hAnsi="Trebuchet MS"/>
          <w:color w:val="000000"/>
          <w:sz w:val="24"/>
          <w:szCs w:val="24"/>
          <w:lang w:val="es-ES_tradnl" w:eastAsia="es-MX"/>
        </w:rPr>
        <w:t>deberá</w:t>
      </w:r>
      <w:r w:rsidRPr="00A04585">
        <w:rPr>
          <w:rFonts w:ascii="Trebuchet MS" w:hAnsi="Trebuchet MS"/>
          <w:color w:val="000000"/>
          <w:sz w:val="24"/>
          <w:szCs w:val="24"/>
          <w:lang w:val="es-ES_tradnl" w:eastAsia="es-MX"/>
        </w:rPr>
        <w:t xml:space="preserve"> calcula</w:t>
      </w:r>
      <w:r w:rsidR="00506A6B" w:rsidRPr="00A04585">
        <w:rPr>
          <w:rFonts w:ascii="Trebuchet MS" w:hAnsi="Trebuchet MS"/>
          <w:color w:val="000000"/>
          <w:sz w:val="24"/>
          <w:szCs w:val="24"/>
          <w:lang w:val="es-ES_tradnl" w:eastAsia="es-MX"/>
        </w:rPr>
        <w:t>rse</w:t>
      </w:r>
      <w:r w:rsidRPr="00A04585">
        <w:rPr>
          <w:rFonts w:ascii="Trebuchet MS" w:hAnsi="Trebuchet MS"/>
          <w:color w:val="000000"/>
          <w:sz w:val="24"/>
          <w:szCs w:val="24"/>
          <w:lang w:val="es-ES_tradnl" w:eastAsia="es-MX"/>
        </w:rPr>
        <w:t xml:space="preserve"> una bolsa con base en las disposiciones contenidas en el artículo 13, base IV</w:t>
      </w:r>
      <w:r w:rsidR="00E55AEF" w:rsidRPr="00A04585">
        <w:rPr>
          <w:rFonts w:ascii="Trebuchet MS" w:hAnsi="Trebuchet MS"/>
          <w:color w:val="000000"/>
          <w:sz w:val="24"/>
          <w:szCs w:val="24"/>
          <w:lang w:val="es-ES_tradnl" w:eastAsia="es-MX"/>
        </w:rPr>
        <w:t>, incisos a) y c)</w:t>
      </w:r>
      <w:r w:rsidRPr="00A04585">
        <w:rPr>
          <w:rFonts w:ascii="Trebuchet MS" w:hAnsi="Trebuchet MS"/>
          <w:color w:val="000000"/>
          <w:sz w:val="24"/>
          <w:szCs w:val="24"/>
          <w:lang w:val="es-ES_tradnl" w:eastAsia="es-MX"/>
        </w:rPr>
        <w:t xml:space="preserve"> de la Constitución Política del Estado de Jalisco y,</w:t>
      </w:r>
      <w:r w:rsidR="00505D7E" w:rsidRPr="00A04585">
        <w:rPr>
          <w:rFonts w:ascii="Trebuchet MS" w:hAnsi="Trebuchet MS"/>
          <w:color w:val="000000"/>
          <w:sz w:val="24"/>
          <w:szCs w:val="24"/>
          <w:lang w:val="es-ES_tradnl" w:eastAsia="es-MX"/>
        </w:rPr>
        <w:t xml:space="preserve"> para los </w:t>
      </w:r>
      <w:r w:rsidR="00AD59F8" w:rsidRPr="00A04585">
        <w:rPr>
          <w:rFonts w:ascii="Trebuchet MS" w:hAnsi="Trebuchet MS"/>
          <w:color w:val="000000"/>
          <w:sz w:val="24"/>
          <w:szCs w:val="24"/>
          <w:lang w:val="es-ES_tradnl" w:eastAsia="es-MX"/>
        </w:rPr>
        <w:t>partidos locales con registro</w:t>
      </w:r>
      <w:r w:rsidR="00505D7E" w:rsidRPr="00A04585">
        <w:rPr>
          <w:rFonts w:ascii="Trebuchet MS" w:hAnsi="Trebuchet MS"/>
          <w:color w:val="000000"/>
          <w:sz w:val="24"/>
          <w:szCs w:val="24"/>
          <w:lang w:val="es-ES_tradnl" w:eastAsia="es-MX"/>
        </w:rPr>
        <w:t>, la bolsa correspondiente se determin</w:t>
      </w:r>
      <w:r w:rsidR="00506A6B" w:rsidRPr="00A04585">
        <w:rPr>
          <w:rFonts w:ascii="Trebuchet MS" w:hAnsi="Trebuchet MS"/>
          <w:color w:val="000000"/>
          <w:sz w:val="24"/>
          <w:szCs w:val="24"/>
          <w:lang w:val="es-ES_tradnl" w:eastAsia="es-MX"/>
        </w:rPr>
        <w:t>ará</w:t>
      </w:r>
      <w:r w:rsidR="00505D7E" w:rsidRPr="00A04585">
        <w:rPr>
          <w:rFonts w:ascii="Trebuchet MS" w:hAnsi="Trebuchet MS"/>
          <w:color w:val="000000"/>
          <w:sz w:val="24"/>
          <w:szCs w:val="24"/>
          <w:lang w:val="es-ES_tradnl" w:eastAsia="es-MX"/>
        </w:rPr>
        <w:t xml:space="preserve"> con fundamento en el artículo 51, párrafo 1, incisos </w:t>
      </w:r>
      <w:r w:rsidR="007A3936" w:rsidRPr="00A04585">
        <w:rPr>
          <w:rFonts w:ascii="Trebuchet MS" w:hAnsi="Trebuchet MS"/>
          <w:color w:val="000000"/>
          <w:sz w:val="24"/>
          <w:szCs w:val="24"/>
          <w:lang w:val="es-ES_tradnl" w:eastAsia="es-MX"/>
        </w:rPr>
        <w:t>a) y c) de la Ley General de Partidos Políticos</w:t>
      </w:r>
      <w:r w:rsidR="00CC41BA" w:rsidRPr="00A04585">
        <w:rPr>
          <w:rFonts w:ascii="Trebuchet MS" w:hAnsi="Trebuchet MS"/>
          <w:color w:val="000000"/>
          <w:sz w:val="24"/>
          <w:szCs w:val="24"/>
          <w:lang w:val="es-ES_tradnl" w:eastAsia="es-MX"/>
        </w:rPr>
        <w:t xml:space="preserve">, lo cual </w:t>
      </w:r>
      <w:r w:rsidR="00AD59F8" w:rsidRPr="00A04585">
        <w:rPr>
          <w:rFonts w:ascii="Trebuchet MS" w:hAnsi="Trebuchet MS"/>
          <w:color w:val="000000"/>
          <w:sz w:val="24"/>
          <w:szCs w:val="24"/>
          <w:lang w:val="es-ES_tradnl" w:eastAsia="es-MX"/>
        </w:rPr>
        <w:t>se sustenta</w:t>
      </w:r>
      <w:r w:rsidR="00BF555C" w:rsidRPr="00A04585">
        <w:rPr>
          <w:rFonts w:ascii="Trebuchet MS" w:hAnsi="Trebuchet MS"/>
          <w:color w:val="000000"/>
          <w:sz w:val="24"/>
          <w:szCs w:val="24"/>
          <w:lang w:val="es-ES_tradnl" w:eastAsia="es-MX"/>
        </w:rPr>
        <w:t xml:space="preserve"> en lo resuelto</w:t>
      </w:r>
      <w:r w:rsidR="00CC41BA" w:rsidRPr="00A04585">
        <w:rPr>
          <w:rFonts w:ascii="Trebuchet MS" w:hAnsi="Trebuchet MS"/>
          <w:color w:val="000000"/>
          <w:sz w:val="24"/>
          <w:szCs w:val="24"/>
          <w:lang w:val="es-ES_tradnl" w:eastAsia="es-MX"/>
        </w:rPr>
        <w:t xml:space="preserve"> por la Suprema Corte de Justicia de la Nación </w:t>
      </w:r>
      <w:r w:rsidR="00BF555C" w:rsidRPr="00A04585">
        <w:rPr>
          <w:rFonts w:ascii="Trebuchet MS" w:hAnsi="Trebuchet MS"/>
          <w:color w:val="000000"/>
          <w:sz w:val="24"/>
          <w:szCs w:val="24"/>
          <w:lang w:val="es-ES_tradnl" w:eastAsia="es-MX"/>
        </w:rPr>
        <w:t xml:space="preserve">en </w:t>
      </w:r>
      <w:r w:rsidR="00CC41BA" w:rsidRPr="00A04585">
        <w:rPr>
          <w:rFonts w:ascii="Trebuchet MS" w:hAnsi="Trebuchet MS"/>
          <w:color w:val="000000"/>
          <w:sz w:val="24"/>
          <w:szCs w:val="24"/>
          <w:lang w:val="es-ES_tradnl" w:eastAsia="es-MX"/>
        </w:rPr>
        <w:t>la acción de inconstitucionalidad 165/2020 y acumuladas.</w:t>
      </w:r>
    </w:p>
    <w:p w14:paraId="15F7B145" w14:textId="77777777" w:rsidR="007A3936" w:rsidRPr="00A04585" w:rsidRDefault="007A3936" w:rsidP="002E7CFF">
      <w:pPr>
        <w:pStyle w:val="Sinespaciado"/>
        <w:jc w:val="both"/>
        <w:rPr>
          <w:rFonts w:ascii="Trebuchet MS" w:hAnsi="Trebuchet MS"/>
          <w:color w:val="000000"/>
          <w:sz w:val="24"/>
          <w:szCs w:val="24"/>
          <w:lang w:val="es-ES_tradnl" w:eastAsia="es-MX"/>
        </w:rPr>
      </w:pPr>
    </w:p>
    <w:p w14:paraId="3F5BC139" w14:textId="2FFD6BD2" w:rsidR="00A151DF" w:rsidRPr="00A04585" w:rsidRDefault="00506A6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Hecho lo anterior, se realizará</w:t>
      </w:r>
      <w:r w:rsidR="00314402" w:rsidRPr="00A04585">
        <w:rPr>
          <w:rFonts w:ascii="Trebuchet MS" w:hAnsi="Trebuchet MS"/>
          <w:color w:val="000000"/>
          <w:sz w:val="24"/>
          <w:szCs w:val="24"/>
          <w:lang w:val="es-ES_tradnl" w:eastAsia="es-MX"/>
        </w:rPr>
        <w:t xml:space="preserve"> la distribución de</w:t>
      </w:r>
      <w:r w:rsidR="00A151DF" w:rsidRPr="00A04585">
        <w:rPr>
          <w:rFonts w:ascii="Trebuchet MS" w:hAnsi="Trebuchet MS"/>
          <w:color w:val="000000"/>
          <w:sz w:val="24"/>
          <w:szCs w:val="24"/>
          <w:lang w:val="es-ES_tradnl" w:eastAsia="es-MX"/>
        </w:rPr>
        <w:t xml:space="preserve"> las mencionadas bolsas entre los partidos políticos con derecho </w:t>
      </w:r>
      <w:r w:rsidR="00314402" w:rsidRPr="00A04585">
        <w:rPr>
          <w:rFonts w:ascii="Trebuchet MS" w:hAnsi="Trebuchet MS"/>
          <w:color w:val="000000"/>
          <w:sz w:val="24"/>
          <w:szCs w:val="24"/>
          <w:lang w:val="es-ES_tradnl" w:eastAsia="es-MX"/>
        </w:rPr>
        <w:t>a recibirlo</w:t>
      </w:r>
      <w:r w:rsidR="00A151DF" w:rsidRPr="00A04585">
        <w:rPr>
          <w:rFonts w:ascii="Trebuchet MS" w:hAnsi="Trebuchet MS"/>
          <w:color w:val="000000"/>
          <w:sz w:val="24"/>
          <w:szCs w:val="24"/>
          <w:lang w:val="es-ES_tradnl" w:eastAsia="es-MX"/>
        </w:rPr>
        <w:t xml:space="preserve">, de acuerdo </w:t>
      </w:r>
      <w:r w:rsidR="00AD59F8" w:rsidRPr="00A04585">
        <w:rPr>
          <w:rFonts w:ascii="Trebuchet MS" w:hAnsi="Trebuchet MS"/>
          <w:color w:val="000000"/>
          <w:sz w:val="24"/>
          <w:szCs w:val="24"/>
          <w:lang w:val="es-ES_tradnl" w:eastAsia="es-MX"/>
        </w:rPr>
        <w:t xml:space="preserve">con </w:t>
      </w:r>
      <w:r w:rsidR="00A151DF" w:rsidRPr="00A04585">
        <w:rPr>
          <w:rFonts w:ascii="Trebuchet MS" w:hAnsi="Trebuchet MS"/>
          <w:color w:val="000000"/>
          <w:sz w:val="24"/>
          <w:szCs w:val="24"/>
          <w:lang w:val="es-ES_tradnl" w:eastAsia="es-MX"/>
        </w:rPr>
        <w:t>las bases legales que determinan la fórmula aplicable.</w:t>
      </w:r>
    </w:p>
    <w:p w14:paraId="6C2E6BEA" w14:textId="5F02C369" w:rsidR="00A151DF" w:rsidRPr="00A04585" w:rsidRDefault="00A151DF" w:rsidP="002E7CFF">
      <w:pPr>
        <w:pStyle w:val="Sinespaciado"/>
        <w:jc w:val="both"/>
        <w:rPr>
          <w:rFonts w:ascii="Trebuchet MS" w:hAnsi="Trebuchet MS"/>
          <w:color w:val="000000"/>
          <w:sz w:val="24"/>
          <w:szCs w:val="24"/>
          <w:lang w:val="es-ES_tradnl" w:eastAsia="es-MX"/>
        </w:rPr>
      </w:pPr>
    </w:p>
    <w:p w14:paraId="5567139A" w14:textId="4A937065" w:rsidR="005C61AC" w:rsidRPr="00A04585" w:rsidRDefault="005C61AC" w:rsidP="005C61AC">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Es importante señalar</w:t>
      </w:r>
      <w:r w:rsidR="00010951" w:rsidRPr="00A04585">
        <w:rPr>
          <w:rFonts w:ascii="Trebuchet MS" w:hAnsi="Trebuchet MS"/>
          <w:color w:val="000000"/>
          <w:sz w:val="24"/>
          <w:szCs w:val="24"/>
          <w:lang w:val="es-ES_tradnl" w:eastAsia="es-MX"/>
        </w:rPr>
        <w:t xml:space="preserve"> que </w:t>
      </w:r>
      <w:r w:rsidRPr="00A04585">
        <w:rPr>
          <w:rFonts w:ascii="Trebuchet MS" w:hAnsi="Trebuchet MS"/>
          <w:color w:val="000000"/>
          <w:sz w:val="24"/>
          <w:szCs w:val="24"/>
          <w:lang w:val="es-ES_tradnl" w:eastAsia="es-MX"/>
        </w:rPr>
        <w:t xml:space="preserve">la metodología para la distribución del financiamiento público estatal </w:t>
      </w:r>
      <w:r w:rsidR="00010951" w:rsidRPr="00A04585">
        <w:rPr>
          <w:rFonts w:ascii="Trebuchet MS" w:hAnsi="Trebuchet MS"/>
          <w:color w:val="000000"/>
          <w:sz w:val="24"/>
          <w:szCs w:val="24"/>
          <w:lang w:val="es-ES_tradnl" w:eastAsia="es-MX"/>
        </w:rPr>
        <w:t>para el ejercicio dos mil veintitrés, será la misma que determinó</w:t>
      </w:r>
      <w:r w:rsidR="004A7F8B" w:rsidRPr="00A04585">
        <w:rPr>
          <w:rFonts w:ascii="Trebuchet MS" w:hAnsi="Trebuchet MS"/>
          <w:color w:val="000000"/>
          <w:sz w:val="24"/>
          <w:szCs w:val="24"/>
          <w:lang w:val="es-ES_tradnl" w:eastAsia="es-MX"/>
        </w:rPr>
        <w:t>,</w:t>
      </w:r>
      <w:r w:rsidR="00010951" w:rsidRPr="00A04585">
        <w:rPr>
          <w:rFonts w:ascii="Trebuchet MS" w:hAnsi="Trebuchet MS"/>
          <w:color w:val="000000"/>
          <w:sz w:val="24"/>
          <w:szCs w:val="24"/>
          <w:lang w:val="es-ES_tradnl" w:eastAsia="es-MX"/>
        </w:rPr>
        <w:t xml:space="preserve"> </w:t>
      </w:r>
      <w:r w:rsidR="004A7F8B" w:rsidRPr="00242547">
        <w:rPr>
          <w:rFonts w:ascii="Trebuchet MS" w:hAnsi="Trebuchet MS"/>
          <w:color w:val="000000"/>
          <w:sz w:val="24"/>
          <w:szCs w:val="24"/>
          <w:lang w:val="es-ES_tradnl" w:eastAsia="es-MX"/>
        </w:rPr>
        <w:t>por mayoría,</w:t>
      </w:r>
      <w:r w:rsidR="004A7F8B" w:rsidRPr="00A04585">
        <w:rPr>
          <w:rFonts w:ascii="Trebuchet MS" w:hAnsi="Trebuchet MS"/>
          <w:color w:val="000000"/>
          <w:sz w:val="24"/>
          <w:szCs w:val="24"/>
          <w:lang w:val="es-ES_tradnl" w:eastAsia="es-MX"/>
        </w:rPr>
        <w:t xml:space="preserve"> </w:t>
      </w:r>
      <w:r w:rsidR="00010951" w:rsidRPr="00A04585">
        <w:rPr>
          <w:rFonts w:ascii="Trebuchet MS" w:hAnsi="Trebuchet MS"/>
          <w:color w:val="000000"/>
          <w:sz w:val="24"/>
          <w:szCs w:val="24"/>
          <w:lang w:val="es-ES_tradnl" w:eastAsia="es-MX"/>
        </w:rPr>
        <w:t>el</w:t>
      </w:r>
      <w:r w:rsidRPr="00A04585">
        <w:rPr>
          <w:rFonts w:ascii="Trebuchet MS" w:hAnsi="Trebuchet MS"/>
          <w:color w:val="000000"/>
          <w:sz w:val="24"/>
          <w:szCs w:val="24"/>
          <w:lang w:val="es-ES_tradnl" w:eastAsia="es-MX"/>
        </w:rPr>
        <w:t xml:space="preserve"> Consejo General </w:t>
      </w:r>
      <w:r w:rsidR="00010951" w:rsidRPr="00A04585">
        <w:rPr>
          <w:rFonts w:ascii="Trebuchet MS" w:hAnsi="Trebuchet MS"/>
          <w:color w:val="000000"/>
          <w:sz w:val="24"/>
          <w:szCs w:val="24"/>
          <w:lang w:val="es-ES_tradnl" w:eastAsia="es-MX"/>
        </w:rPr>
        <w:t>de este Instituto Electoral para</w:t>
      </w:r>
      <w:r w:rsidR="001051EE" w:rsidRPr="00A04585">
        <w:rPr>
          <w:rFonts w:ascii="Trebuchet MS" w:hAnsi="Trebuchet MS"/>
          <w:color w:val="000000"/>
          <w:sz w:val="24"/>
          <w:szCs w:val="24"/>
          <w:lang w:val="es-ES_tradnl" w:eastAsia="es-MX"/>
        </w:rPr>
        <w:t xml:space="preserve"> el</w:t>
      </w:r>
      <w:r w:rsidR="00010951" w:rsidRPr="00A04585">
        <w:rPr>
          <w:rFonts w:ascii="Trebuchet MS" w:hAnsi="Trebuchet MS"/>
          <w:color w:val="000000"/>
          <w:sz w:val="24"/>
          <w:szCs w:val="24"/>
          <w:lang w:val="es-ES_tradnl" w:eastAsia="es-MX"/>
        </w:rPr>
        <w:t xml:space="preserve"> ejercicio dos mil veintidós, aprobada </w:t>
      </w:r>
      <w:r w:rsidRPr="00A04585">
        <w:rPr>
          <w:rFonts w:ascii="Trebuchet MS" w:hAnsi="Trebuchet MS"/>
          <w:color w:val="000000"/>
          <w:sz w:val="24"/>
          <w:szCs w:val="24"/>
          <w:lang w:val="es-ES_tradnl" w:eastAsia="es-MX"/>
        </w:rPr>
        <w:t>el veinte de diciembre de dos mil veintiuno, mediante acuerdo IEPC-ACG-398/2021, mism</w:t>
      </w:r>
      <w:r w:rsidR="00AD59F8" w:rsidRPr="00A04585">
        <w:rPr>
          <w:rFonts w:ascii="Trebuchet MS" w:hAnsi="Trebuchet MS"/>
          <w:color w:val="000000"/>
          <w:sz w:val="24"/>
          <w:szCs w:val="24"/>
          <w:lang w:val="es-ES_tradnl" w:eastAsia="es-MX"/>
        </w:rPr>
        <w:t>a</w:t>
      </w:r>
      <w:r w:rsidRPr="00A04585">
        <w:rPr>
          <w:rFonts w:ascii="Trebuchet MS" w:hAnsi="Trebuchet MS"/>
          <w:color w:val="000000"/>
          <w:sz w:val="24"/>
          <w:szCs w:val="24"/>
          <w:lang w:val="es-ES_tradnl" w:eastAsia="es-MX"/>
        </w:rPr>
        <w:t xml:space="preserve"> que</w:t>
      </w:r>
      <w:r w:rsidR="00B2579D"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al haber transitado por la cadena impugnativa</w:t>
      </w:r>
      <w:r w:rsidR="00010951" w:rsidRPr="00A04585">
        <w:rPr>
          <w:rFonts w:ascii="Trebuchet MS" w:hAnsi="Trebuchet MS"/>
          <w:color w:val="000000"/>
          <w:sz w:val="24"/>
          <w:szCs w:val="24"/>
          <w:lang w:val="es-ES_tradnl" w:eastAsia="es-MX"/>
        </w:rPr>
        <w:t xml:space="preserve"> respectiva,</w:t>
      </w:r>
      <w:r w:rsidRPr="00A04585">
        <w:rPr>
          <w:rFonts w:ascii="Trebuchet MS" w:hAnsi="Trebuchet MS"/>
          <w:color w:val="000000"/>
          <w:sz w:val="24"/>
          <w:szCs w:val="24"/>
          <w:lang w:val="es-ES_tradnl" w:eastAsia="es-MX"/>
        </w:rPr>
        <w:t xml:space="preserve"> </w:t>
      </w:r>
      <w:r w:rsidR="00010951" w:rsidRPr="00A04585">
        <w:rPr>
          <w:rFonts w:ascii="Trebuchet MS" w:hAnsi="Trebuchet MS"/>
          <w:color w:val="000000"/>
          <w:sz w:val="24"/>
          <w:szCs w:val="24"/>
          <w:lang w:val="es-ES_tradnl" w:eastAsia="es-MX"/>
        </w:rPr>
        <w:t xml:space="preserve">cobró firmeza, tal y como se desprende de los antecedentes señalados en el presente acuerdo. </w:t>
      </w:r>
    </w:p>
    <w:p w14:paraId="080F7E25" w14:textId="77777777" w:rsidR="005C61AC" w:rsidRPr="00A04585" w:rsidRDefault="005C61AC" w:rsidP="002E7CFF">
      <w:pPr>
        <w:pStyle w:val="Sinespaciado"/>
        <w:jc w:val="both"/>
        <w:rPr>
          <w:rFonts w:ascii="Trebuchet MS" w:hAnsi="Trebuchet MS"/>
          <w:color w:val="000000"/>
          <w:sz w:val="24"/>
          <w:szCs w:val="24"/>
          <w:lang w:val="es-ES_tradnl" w:eastAsia="es-MX"/>
        </w:rPr>
      </w:pPr>
    </w:p>
    <w:p w14:paraId="26D8AC82" w14:textId="16A3F58F" w:rsidR="00A151DF" w:rsidRPr="00A04585" w:rsidRDefault="00010951"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w:t>
      </w:r>
      <w:r w:rsidR="00F47F9D" w:rsidRPr="00A04585">
        <w:rPr>
          <w:rFonts w:ascii="Trebuchet MS" w:hAnsi="Trebuchet MS"/>
          <w:color w:val="000000"/>
          <w:sz w:val="24"/>
          <w:szCs w:val="24"/>
          <w:lang w:val="es-ES_tradnl" w:eastAsia="es-MX"/>
        </w:rPr>
        <w:t xml:space="preserve"> continuación, serán explicad</w:t>
      </w:r>
      <w:r w:rsidR="00DC1F36" w:rsidRPr="00A04585">
        <w:rPr>
          <w:rFonts w:ascii="Trebuchet MS" w:hAnsi="Trebuchet MS"/>
          <w:color w:val="000000"/>
          <w:sz w:val="24"/>
          <w:szCs w:val="24"/>
          <w:lang w:val="es-ES_tradnl" w:eastAsia="es-MX"/>
        </w:rPr>
        <w:t>o</w:t>
      </w:r>
      <w:r w:rsidR="00F47F9D" w:rsidRPr="00A04585">
        <w:rPr>
          <w:rFonts w:ascii="Trebuchet MS" w:hAnsi="Trebuchet MS"/>
          <w:color w:val="000000"/>
          <w:sz w:val="24"/>
          <w:szCs w:val="24"/>
          <w:lang w:val="es-ES_tradnl" w:eastAsia="es-MX"/>
        </w:rPr>
        <w:t>s los elementos que inciden en la distribución del financiamiento.</w:t>
      </w:r>
    </w:p>
    <w:p w14:paraId="749C2A9E" w14:textId="77777777" w:rsidR="00157A61" w:rsidRPr="00A04585" w:rsidRDefault="00157A61" w:rsidP="002E7CFF">
      <w:pPr>
        <w:pStyle w:val="Sinespaciado"/>
        <w:jc w:val="both"/>
        <w:rPr>
          <w:rFonts w:ascii="Trebuchet MS" w:hAnsi="Trebuchet MS"/>
          <w:color w:val="000000"/>
          <w:sz w:val="24"/>
          <w:szCs w:val="24"/>
          <w:lang w:val="es-ES_tradnl" w:eastAsia="es-MX"/>
        </w:rPr>
      </w:pPr>
    </w:p>
    <w:p w14:paraId="37E1CE60" w14:textId="2F6E526A" w:rsidR="004837E2" w:rsidRPr="00A04585" w:rsidRDefault="00F6623C"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IV. MARCO JURÍDICO QUE ESTABLECE EL MÉTODO PARA LA DISTRIBUCIÓN DEL FINANCIAMIENTO ORDINARIO LOCAL PARA LOS PARTIDOS POLÍTICOS NACIONALES Y ESTATALES EN LA ENTIDAD FEDERATIVA.</w:t>
      </w:r>
      <w:r w:rsidRPr="00A04585">
        <w:rPr>
          <w:rFonts w:ascii="Trebuchet MS" w:hAnsi="Trebuchet MS"/>
          <w:color w:val="000000"/>
          <w:sz w:val="24"/>
          <w:szCs w:val="24"/>
          <w:lang w:val="es-ES_tradnl" w:eastAsia="es-MX"/>
        </w:rPr>
        <w:t xml:space="preserve"> </w:t>
      </w:r>
      <w:r w:rsidR="004837E2" w:rsidRPr="00A04585">
        <w:rPr>
          <w:rFonts w:ascii="Trebuchet MS" w:hAnsi="Trebuchet MS"/>
          <w:color w:val="000000"/>
          <w:sz w:val="24"/>
          <w:szCs w:val="24"/>
          <w:lang w:val="es-ES_tradnl" w:eastAsia="es-MX"/>
        </w:rPr>
        <w:t>En el presente considerando se establecerán las normas jurídicas que resultan aplicables para la determinación del financiamiento público local que corresponde a los partidos políticos nacionales y locales para el ejercicio fiscal correspondiente al año dos mil veinti</w:t>
      </w:r>
      <w:r w:rsidR="008B3681" w:rsidRPr="00A04585">
        <w:rPr>
          <w:rFonts w:ascii="Trebuchet MS" w:hAnsi="Trebuchet MS"/>
          <w:color w:val="000000"/>
          <w:sz w:val="24"/>
          <w:szCs w:val="24"/>
          <w:lang w:val="es-ES_tradnl" w:eastAsia="es-MX"/>
        </w:rPr>
        <w:t>trés</w:t>
      </w:r>
      <w:r w:rsidR="00DC35A8" w:rsidRPr="00A04585">
        <w:rPr>
          <w:rFonts w:ascii="Trebuchet MS" w:hAnsi="Trebuchet MS"/>
          <w:color w:val="000000"/>
          <w:sz w:val="24"/>
          <w:szCs w:val="24"/>
          <w:lang w:val="es-ES_tradnl" w:eastAsia="es-MX"/>
        </w:rPr>
        <w:t>, para el sostenimiento de actividades ordinarias permanentes.</w:t>
      </w:r>
    </w:p>
    <w:p w14:paraId="4686A5F4" w14:textId="77777777" w:rsidR="004837E2" w:rsidRPr="00A04585" w:rsidRDefault="004837E2" w:rsidP="002E7CFF">
      <w:pPr>
        <w:pStyle w:val="Sinespaciado"/>
        <w:jc w:val="both"/>
        <w:rPr>
          <w:rFonts w:ascii="Trebuchet MS" w:hAnsi="Trebuchet MS"/>
          <w:color w:val="000000"/>
          <w:sz w:val="24"/>
          <w:szCs w:val="24"/>
          <w:lang w:val="es-ES_tradnl" w:eastAsia="es-MX"/>
        </w:rPr>
      </w:pPr>
    </w:p>
    <w:p w14:paraId="7AB03516" w14:textId="240C4354" w:rsidR="00A344EE" w:rsidRPr="00A04585" w:rsidRDefault="004837E2" w:rsidP="002E7CFF">
      <w:pPr>
        <w:pStyle w:val="Sinespaciado"/>
        <w:numPr>
          <w:ilvl w:val="0"/>
          <w:numId w:val="3"/>
        </w:numPr>
        <w:ind w:left="0" w:firstLine="0"/>
        <w:jc w:val="both"/>
        <w:rPr>
          <w:rFonts w:ascii="Trebuchet MS" w:hAnsi="Trebuchet MS"/>
          <w:b/>
          <w:bCs/>
          <w:color w:val="000000"/>
          <w:sz w:val="24"/>
          <w:szCs w:val="24"/>
          <w:lang w:val="es-ES_tradnl" w:eastAsia="es-MX"/>
        </w:rPr>
      </w:pPr>
      <w:r w:rsidRPr="00A04585">
        <w:rPr>
          <w:rFonts w:ascii="Trebuchet MS" w:hAnsi="Trebuchet MS"/>
          <w:b/>
          <w:bCs/>
          <w:color w:val="000000"/>
          <w:sz w:val="24"/>
          <w:szCs w:val="24"/>
          <w:lang w:val="es-ES_tradnl" w:eastAsia="es-MX"/>
        </w:rPr>
        <w:t xml:space="preserve">Constitución </w:t>
      </w:r>
      <w:r w:rsidR="008B3681" w:rsidRPr="00A04585">
        <w:rPr>
          <w:rFonts w:ascii="Trebuchet MS" w:hAnsi="Trebuchet MS"/>
          <w:b/>
          <w:bCs/>
          <w:color w:val="000000"/>
          <w:sz w:val="24"/>
          <w:szCs w:val="24"/>
          <w:lang w:val="es-ES_tradnl" w:eastAsia="es-MX"/>
        </w:rPr>
        <w:t>Política de los Estados Unidos Mexicanos</w:t>
      </w:r>
      <w:r w:rsidRPr="00A04585">
        <w:rPr>
          <w:rFonts w:ascii="Trebuchet MS" w:hAnsi="Trebuchet MS"/>
          <w:b/>
          <w:bCs/>
          <w:color w:val="000000"/>
          <w:sz w:val="24"/>
          <w:szCs w:val="24"/>
          <w:lang w:val="es-ES_tradnl" w:eastAsia="es-MX"/>
        </w:rPr>
        <w:t>.</w:t>
      </w:r>
      <w:r w:rsidR="00A344EE" w:rsidRPr="00A04585">
        <w:rPr>
          <w:rFonts w:ascii="Trebuchet MS" w:hAnsi="Trebuchet MS"/>
          <w:color w:val="000000"/>
          <w:sz w:val="24"/>
          <w:szCs w:val="24"/>
          <w:lang w:val="es-ES_tradnl" w:eastAsia="es-MX"/>
        </w:rPr>
        <w:t xml:space="preserve"> </w:t>
      </w:r>
      <w:r w:rsidR="00B60523" w:rsidRPr="00A04585">
        <w:rPr>
          <w:rFonts w:ascii="Trebuchet MS" w:hAnsi="Trebuchet MS"/>
          <w:color w:val="000000"/>
          <w:sz w:val="24"/>
          <w:szCs w:val="24"/>
          <w:lang w:val="es-ES_tradnl" w:eastAsia="es-MX"/>
        </w:rPr>
        <w:t>E</w:t>
      </w:r>
      <w:r w:rsidR="000D7E7C" w:rsidRPr="00A04585">
        <w:rPr>
          <w:rFonts w:ascii="Trebuchet MS" w:hAnsi="Trebuchet MS"/>
          <w:color w:val="000000"/>
          <w:sz w:val="24"/>
          <w:szCs w:val="24"/>
          <w:lang w:val="es-ES_tradnl" w:eastAsia="es-MX"/>
        </w:rPr>
        <w:t>l</w:t>
      </w:r>
      <w:r w:rsidR="00B60523" w:rsidRPr="00A04585">
        <w:rPr>
          <w:rFonts w:ascii="Trebuchet MS" w:hAnsi="Trebuchet MS"/>
          <w:color w:val="000000"/>
          <w:sz w:val="24"/>
          <w:szCs w:val="24"/>
          <w:lang w:val="es-ES_tradnl" w:eastAsia="es-MX"/>
        </w:rPr>
        <w:t xml:space="preserve"> artículo 116, base IV,</w:t>
      </w:r>
      <w:r w:rsidR="000D7E7C" w:rsidRPr="00A04585">
        <w:rPr>
          <w:rFonts w:ascii="Trebuchet MS" w:hAnsi="Trebuchet MS"/>
          <w:color w:val="000000"/>
          <w:sz w:val="24"/>
          <w:szCs w:val="24"/>
          <w:lang w:val="es-ES_tradnl" w:eastAsia="es-MX"/>
        </w:rPr>
        <w:t xml:space="preserve"> </w:t>
      </w:r>
      <w:r w:rsidR="00B60523" w:rsidRPr="00A04585">
        <w:rPr>
          <w:rFonts w:ascii="Trebuchet MS" w:hAnsi="Trebuchet MS"/>
          <w:color w:val="000000"/>
          <w:sz w:val="24"/>
          <w:szCs w:val="24"/>
          <w:lang w:val="es-ES_tradnl" w:eastAsia="es-MX"/>
        </w:rPr>
        <w:t xml:space="preserve">inciso g) </w:t>
      </w:r>
      <w:r w:rsidR="000D7E7C" w:rsidRPr="00A04585">
        <w:rPr>
          <w:rFonts w:ascii="Trebuchet MS" w:hAnsi="Trebuchet MS"/>
          <w:color w:val="000000"/>
          <w:sz w:val="24"/>
          <w:szCs w:val="24"/>
          <w:lang w:val="es-ES_tradnl" w:eastAsia="es-MX"/>
        </w:rPr>
        <w:t xml:space="preserve">de la </w:t>
      </w:r>
      <w:r w:rsidR="008B3681" w:rsidRPr="00A04585">
        <w:rPr>
          <w:rFonts w:ascii="Trebuchet MS" w:hAnsi="Trebuchet MS"/>
          <w:color w:val="000000"/>
          <w:sz w:val="24"/>
          <w:szCs w:val="24"/>
          <w:lang w:val="es-ES_tradnl" w:eastAsia="es-MX"/>
        </w:rPr>
        <w:t>Carta Magna</w:t>
      </w:r>
      <w:r w:rsidR="000D7E7C" w:rsidRPr="00A04585">
        <w:rPr>
          <w:rFonts w:ascii="Trebuchet MS" w:hAnsi="Trebuchet MS"/>
          <w:color w:val="000000"/>
          <w:sz w:val="24"/>
          <w:szCs w:val="24"/>
          <w:lang w:val="es-ES_tradnl" w:eastAsia="es-MX"/>
        </w:rPr>
        <w:t xml:space="preserve">, </w:t>
      </w:r>
      <w:r w:rsidR="00B60523" w:rsidRPr="00A04585">
        <w:rPr>
          <w:rFonts w:ascii="Trebuchet MS" w:hAnsi="Trebuchet MS"/>
          <w:color w:val="000000"/>
          <w:sz w:val="24"/>
          <w:szCs w:val="24"/>
          <w:lang w:val="es-ES_tradnl" w:eastAsia="es-MX"/>
        </w:rPr>
        <w:t xml:space="preserve">indica </w:t>
      </w:r>
      <w:r w:rsidR="000D7E7C" w:rsidRPr="00A04585">
        <w:rPr>
          <w:rFonts w:ascii="Trebuchet MS" w:hAnsi="Trebuchet MS"/>
          <w:color w:val="000000"/>
          <w:sz w:val="24"/>
          <w:szCs w:val="24"/>
          <w:lang w:val="es-ES_tradnl" w:eastAsia="es-MX"/>
        </w:rPr>
        <w:t xml:space="preserve">que de conformidad con las bases establecidas en dicho ordenamiento fundamental y las leyes generales de la materia, así como con las Constituciones y leyes </w:t>
      </w:r>
      <w:r w:rsidR="00CE4288" w:rsidRPr="00A04585">
        <w:rPr>
          <w:rFonts w:ascii="Trebuchet MS" w:hAnsi="Trebuchet MS"/>
          <w:color w:val="000000"/>
          <w:sz w:val="24"/>
          <w:szCs w:val="24"/>
          <w:lang w:val="es-ES_tradnl" w:eastAsia="es-MX"/>
        </w:rPr>
        <w:t xml:space="preserve">electorales </w:t>
      </w:r>
      <w:r w:rsidR="000D7E7C" w:rsidRPr="00A04585">
        <w:rPr>
          <w:rFonts w:ascii="Trebuchet MS" w:hAnsi="Trebuchet MS"/>
          <w:color w:val="000000"/>
          <w:sz w:val="24"/>
          <w:szCs w:val="24"/>
          <w:lang w:val="es-ES_tradnl" w:eastAsia="es-MX"/>
        </w:rPr>
        <w:t>de las entidades federativas, debe garantizarse que los partidos políticos reciban, de forma equitativa,</w:t>
      </w:r>
      <w:r w:rsidR="00CE4288" w:rsidRPr="00A04585">
        <w:rPr>
          <w:rFonts w:ascii="Trebuchet MS" w:hAnsi="Trebuchet MS"/>
          <w:color w:val="000000"/>
          <w:sz w:val="24"/>
          <w:szCs w:val="24"/>
          <w:lang w:val="es-ES_tradnl" w:eastAsia="es-MX"/>
        </w:rPr>
        <w:t xml:space="preserve"> </w:t>
      </w:r>
      <w:r w:rsidR="000D7E7C" w:rsidRPr="00A04585">
        <w:rPr>
          <w:rFonts w:ascii="Trebuchet MS" w:hAnsi="Trebuchet MS"/>
          <w:color w:val="000000"/>
          <w:sz w:val="24"/>
          <w:szCs w:val="24"/>
          <w:lang w:val="es-ES_tradnl" w:eastAsia="es-MX"/>
        </w:rPr>
        <w:t>financiamiento público para sus actividades ordinarias permanentes en el ámbito local.</w:t>
      </w:r>
    </w:p>
    <w:p w14:paraId="53DD0AAE" w14:textId="77777777" w:rsidR="00DC35A8" w:rsidRPr="00A04585" w:rsidRDefault="00DC35A8" w:rsidP="002E7CFF">
      <w:pPr>
        <w:pStyle w:val="Sinespaciado"/>
        <w:jc w:val="both"/>
        <w:rPr>
          <w:rFonts w:ascii="Trebuchet MS" w:hAnsi="Trebuchet MS"/>
          <w:color w:val="000000"/>
          <w:sz w:val="24"/>
          <w:szCs w:val="24"/>
          <w:lang w:val="es-ES_tradnl" w:eastAsia="es-MX"/>
        </w:rPr>
      </w:pPr>
    </w:p>
    <w:p w14:paraId="48FD261C" w14:textId="2FEAF3DC" w:rsidR="004837E2" w:rsidRPr="00A04585" w:rsidRDefault="004837E2" w:rsidP="002E7CFF">
      <w:pPr>
        <w:pStyle w:val="Sinespaciado"/>
        <w:numPr>
          <w:ilvl w:val="0"/>
          <w:numId w:val="3"/>
        </w:numPr>
        <w:ind w:left="0" w:firstLine="0"/>
        <w:jc w:val="both"/>
        <w:rPr>
          <w:rFonts w:ascii="Trebuchet MS" w:hAnsi="Trebuchet MS"/>
          <w:b/>
          <w:bCs/>
          <w:color w:val="000000"/>
          <w:sz w:val="24"/>
          <w:szCs w:val="24"/>
          <w:lang w:val="es-ES_tradnl" w:eastAsia="es-MX"/>
        </w:rPr>
      </w:pPr>
      <w:r w:rsidRPr="00A04585">
        <w:rPr>
          <w:rFonts w:ascii="Trebuchet MS" w:hAnsi="Trebuchet MS"/>
          <w:b/>
          <w:bCs/>
          <w:color w:val="000000"/>
          <w:sz w:val="24"/>
          <w:szCs w:val="24"/>
          <w:lang w:val="es-ES_tradnl" w:eastAsia="es-MX"/>
        </w:rPr>
        <w:t>Ley General de Partidos Políticos.</w:t>
      </w:r>
      <w:r w:rsidR="000D7E7C" w:rsidRPr="00A04585">
        <w:rPr>
          <w:rFonts w:ascii="Trebuchet MS" w:hAnsi="Trebuchet MS"/>
          <w:b/>
          <w:bCs/>
          <w:color w:val="000000"/>
          <w:sz w:val="24"/>
          <w:szCs w:val="24"/>
          <w:lang w:val="es-ES_tradnl" w:eastAsia="es-MX"/>
        </w:rPr>
        <w:t xml:space="preserve"> </w:t>
      </w:r>
      <w:r w:rsidR="00F860F5" w:rsidRPr="00A04585">
        <w:rPr>
          <w:rFonts w:ascii="Trebuchet MS" w:hAnsi="Trebuchet MS"/>
          <w:color w:val="000000"/>
          <w:sz w:val="24"/>
          <w:szCs w:val="24"/>
          <w:lang w:val="es-ES_tradnl" w:eastAsia="es-MX"/>
        </w:rPr>
        <w:t>El art</w:t>
      </w:r>
      <w:r w:rsidR="00973583" w:rsidRPr="00A04585">
        <w:rPr>
          <w:rFonts w:ascii="Trebuchet MS" w:hAnsi="Trebuchet MS"/>
          <w:color w:val="000000"/>
          <w:sz w:val="24"/>
          <w:szCs w:val="24"/>
          <w:lang w:val="es-ES_tradnl" w:eastAsia="es-MX"/>
        </w:rPr>
        <w:t>í</w:t>
      </w:r>
      <w:r w:rsidR="00F860F5" w:rsidRPr="00A04585">
        <w:rPr>
          <w:rFonts w:ascii="Trebuchet MS" w:hAnsi="Trebuchet MS"/>
          <w:color w:val="000000"/>
          <w:sz w:val="24"/>
          <w:szCs w:val="24"/>
          <w:lang w:val="es-ES_tradnl" w:eastAsia="es-MX"/>
        </w:rPr>
        <w:t>culo 51, párrafo 1 de la Ley General de Partidos Políticos, precisa que los partidos políticos tendrán derecho al financiamiento de sus actividades, estructura, sueldos y salarios, independientemente de las demás prerrogativas que les otorga ese ordenamiento, conforme las disposiciones que en dicha ley se establecen.</w:t>
      </w:r>
    </w:p>
    <w:p w14:paraId="03842CE2" w14:textId="77777777" w:rsidR="00F860F5" w:rsidRPr="00A04585" w:rsidRDefault="00F860F5" w:rsidP="002E7CFF">
      <w:pPr>
        <w:pStyle w:val="Prrafodelista"/>
        <w:rPr>
          <w:rFonts w:ascii="Trebuchet MS" w:hAnsi="Trebuchet MS"/>
          <w:b/>
          <w:bCs/>
          <w:color w:val="000000"/>
          <w:lang w:val="es-ES_tradnl" w:eastAsia="es-MX"/>
        </w:rPr>
      </w:pPr>
    </w:p>
    <w:p w14:paraId="1A77DDC9" w14:textId="51BFBDE1" w:rsidR="00F860F5" w:rsidRPr="00A04585" w:rsidRDefault="00F860F5"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Al respecto, </w:t>
      </w:r>
      <w:r w:rsidR="00E80C05" w:rsidRPr="00A04585">
        <w:rPr>
          <w:rFonts w:ascii="Trebuchet MS" w:hAnsi="Trebuchet MS"/>
          <w:color w:val="000000"/>
          <w:sz w:val="24"/>
          <w:szCs w:val="24"/>
          <w:lang w:val="es-ES_tradnl" w:eastAsia="es-MX"/>
        </w:rPr>
        <w:t>la fracción I, d</w:t>
      </w:r>
      <w:r w:rsidRPr="00A04585">
        <w:rPr>
          <w:rFonts w:ascii="Trebuchet MS" w:hAnsi="Trebuchet MS"/>
          <w:color w:val="000000"/>
          <w:sz w:val="24"/>
          <w:szCs w:val="24"/>
          <w:lang w:val="es-ES_tradnl" w:eastAsia="es-MX"/>
        </w:rPr>
        <w:t>el inciso a) del párrafo</w:t>
      </w:r>
      <w:r w:rsidR="00E80C05" w:rsidRPr="00A04585">
        <w:rPr>
          <w:rFonts w:ascii="Trebuchet MS" w:hAnsi="Trebuchet MS"/>
          <w:color w:val="000000"/>
          <w:sz w:val="24"/>
          <w:szCs w:val="24"/>
          <w:lang w:val="es-ES_tradnl" w:eastAsia="es-MX"/>
        </w:rPr>
        <w:t xml:space="preserve"> 1 del mencionado dispositivo legal</w:t>
      </w:r>
      <w:r w:rsidRPr="00A04585">
        <w:rPr>
          <w:rFonts w:ascii="Trebuchet MS" w:hAnsi="Trebuchet MS"/>
          <w:color w:val="000000"/>
          <w:sz w:val="24"/>
          <w:szCs w:val="24"/>
          <w:lang w:val="es-ES_tradnl" w:eastAsia="es-MX"/>
        </w:rPr>
        <w:t xml:space="preserve"> precisa que</w:t>
      </w:r>
      <w:r w:rsidR="00F935BC"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para </w:t>
      </w:r>
      <w:r w:rsidRPr="00A04585">
        <w:rPr>
          <w:rFonts w:ascii="Trebuchet MS" w:hAnsi="Trebuchet MS"/>
          <w:b/>
          <w:bCs/>
          <w:color w:val="000000"/>
          <w:sz w:val="24"/>
          <w:szCs w:val="24"/>
          <w:lang w:val="es-ES_tradnl" w:eastAsia="es-MX"/>
        </w:rPr>
        <w:t>el sostenimiento de sus actividades permanentes</w:t>
      </w:r>
      <w:r w:rsidRPr="00A04585">
        <w:rPr>
          <w:rFonts w:ascii="Trebuchet MS" w:hAnsi="Trebuchet MS"/>
          <w:color w:val="000000"/>
          <w:sz w:val="24"/>
          <w:szCs w:val="24"/>
          <w:lang w:val="es-ES_tradnl" w:eastAsia="es-MX"/>
        </w:rPr>
        <w:t xml:space="preserve">, </w:t>
      </w:r>
      <w:r w:rsidRPr="00A04585">
        <w:rPr>
          <w:rFonts w:ascii="Trebuchet MS" w:hAnsi="Trebuchet MS"/>
          <w:b/>
          <w:bCs/>
          <w:color w:val="000000"/>
          <w:sz w:val="24"/>
          <w:szCs w:val="24"/>
          <w:lang w:val="es-ES_tradnl" w:eastAsia="es-MX"/>
        </w:rPr>
        <w:t xml:space="preserve">el organismo público </w:t>
      </w:r>
      <w:r w:rsidR="00C47E87" w:rsidRPr="00A04585">
        <w:rPr>
          <w:rFonts w:ascii="Trebuchet MS" w:hAnsi="Trebuchet MS"/>
          <w:b/>
          <w:bCs/>
          <w:color w:val="000000"/>
          <w:sz w:val="24"/>
          <w:szCs w:val="24"/>
          <w:lang w:val="es-ES_tradnl" w:eastAsia="es-MX"/>
        </w:rPr>
        <w:t>local electoral</w:t>
      </w:r>
      <w:r w:rsidRPr="00A04585">
        <w:rPr>
          <w:rFonts w:ascii="Trebuchet MS" w:hAnsi="Trebuchet MS"/>
          <w:b/>
          <w:bCs/>
          <w:color w:val="000000"/>
          <w:sz w:val="24"/>
          <w:szCs w:val="24"/>
          <w:lang w:val="es-ES_tradnl" w:eastAsia="es-MX"/>
        </w:rPr>
        <w:t xml:space="preserve">, tratándose de partidos políticos </w:t>
      </w:r>
      <w:r w:rsidR="00C47E87" w:rsidRPr="00A04585">
        <w:rPr>
          <w:rFonts w:ascii="Trebuchet MS" w:hAnsi="Trebuchet MS"/>
          <w:b/>
          <w:bCs/>
          <w:color w:val="000000"/>
          <w:sz w:val="24"/>
          <w:szCs w:val="24"/>
          <w:lang w:val="es-ES_tradnl" w:eastAsia="es-MX"/>
        </w:rPr>
        <w:t>estatales</w:t>
      </w:r>
      <w:r w:rsidRPr="00A04585">
        <w:rPr>
          <w:rFonts w:ascii="Trebuchet MS" w:hAnsi="Trebuchet MS"/>
          <w:color w:val="000000"/>
          <w:sz w:val="24"/>
          <w:szCs w:val="24"/>
          <w:lang w:val="es-ES_tradnl" w:eastAsia="es-MX"/>
        </w:rPr>
        <w:t xml:space="preserve">, determinará anualmente el monto total </w:t>
      </w:r>
      <w:r w:rsidR="00F935BC" w:rsidRPr="00A04585">
        <w:rPr>
          <w:rFonts w:ascii="Trebuchet MS" w:hAnsi="Trebuchet MS"/>
          <w:color w:val="000000"/>
          <w:sz w:val="24"/>
          <w:szCs w:val="24"/>
          <w:lang w:val="es-ES_tradnl" w:eastAsia="es-MX"/>
        </w:rPr>
        <w:t>de financiamiento por distribuir entre los partidos políticos con base en la fórmula que se precisa enseguida.</w:t>
      </w:r>
    </w:p>
    <w:p w14:paraId="5564FB72" w14:textId="1E0F19D6" w:rsidR="00C47E87" w:rsidRPr="00A04585" w:rsidRDefault="00C47E87" w:rsidP="002E7CFF">
      <w:pPr>
        <w:pStyle w:val="Sinespaciado"/>
        <w:jc w:val="both"/>
        <w:rPr>
          <w:rFonts w:ascii="Trebuchet MS" w:hAnsi="Trebuchet MS"/>
          <w:color w:val="000000"/>
          <w:sz w:val="24"/>
          <w:szCs w:val="24"/>
          <w:lang w:val="es-ES_tradnl" w:eastAsia="es-MX"/>
        </w:rPr>
      </w:pPr>
    </w:p>
    <w:p w14:paraId="6699F7D3" w14:textId="53ACC23A" w:rsidR="00C47E87" w:rsidRPr="00A04585" w:rsidRDefault="00C47E87"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Es decir, multiplicará el número total de personas inscritas en el padrón electoral estatal, a la fecha de corte de julio de cada año, por el sesenta y cinco por ciento del salario mínimo diario de la entidad federativa. Al respecto debe aclararse que el referido porcentaje debe obtenerse con base en el valor de la Unidad de Medida y Actualización, en atención a que dicha medida de valor sustituyó al salario mínimo</w:t>
      </w:r>
      <w:r w:rsidR="00973583" w:rsidRPr="00A04585">
        <w:rPr>
          <w:rFonts w:ascii="Trebuchet MS" w:hAnsi="Trebuchet MS"/>
          <w:color w:val="000000"/>
          <w:sz w:val="24"/>
          <w:szCs w:val="24"/>
          <w:lang w:val="es-ES_tradnl" w:eastAsia="es-MX"/>
        </w:rPr>
        <w:t xml:space="preserve"> como unidad de cuenta o valor</w:t>
      </w:r>
      <w:r w:rsidRPr="00A04585">
        <w:rPr>
          <w:rFonts w:ascii="Trebuchet MS" w:hAnsi="Trebuchet MS"/>
          <w:color w:val="000000"/>
          <w:sz w:val="24"/>
          <w:szCs w:val="24"/>
          <w:lang w:val="es-ES_tradnl" w:eastAsia="es-MX"/>
        </w:rPr>
        <w:t xml:space="preserve"> para efectos del cálculo de fórmulas legales</w:t>
      </w:r>
      <w:r w:rsidRPr="00A04585">
        <w:rPr>
          <w:rStyle w:val="Refdenotaalpie"/>
          <w:rFonts w:ascii="Trebuchet MS" w:hAnsi="Trebuchet MS"/>
          <w:color w:val="000000"/>
          <w:sz w:val="24"/>
          <w:szCs w:val="24"/>
          <w:lang w:val="es-ES_tradnl" w:eastAsia="es-MX"/>
        </w:rPr>
        <w:footnoteReference w:id="1"/>
      </w:r>
      <w:r w:rsidRPr="00A04585">
        <w:rPr>
          <w:rFonts w:ascii="Trebuchet MS" w:hAnsi="Trebuchet MS"/>
          <w:color w:val="000000"/>
          <w:sz w:val="24"/>
          <w:szCs w:val="24"/>
          <w:lang w:val="es-ES_tradnl" w:eastAsia="es-MX"/>
        </w:rPr>
        <w:t>.</w:t>
      </w:r>
    </w:p>
    <w:p w14:paraId="5F6CE957" w14:textId="70409122" w:rsidR="00E80C05" w:rsidRPr="00A04585" w:rsidRDefault="00E80C05" w:rsidP="002E7CFF">
      <w:pPr>
        <w:pStyle w:val="Sinespaciado"/>
        <w:jc w:val="both"/>
        <w:rPr>
          <w:rFonts w:ascii="Trebuchet MS" w:hAnsi="Trebuchet MS"/>
          <w:color w:val="000000"/>
          <w:sz w:val="24"/>
          <w:szCs w:val="24"/>
          <w:lang w:val="es-ES_tradnl" w:eastAsia="es-MX"/>
        </w:rPr>
      </w:pPr>
    </w:p>
    <w:p w14:paraId="780CC015" w14:textId="327B4896" w:rsidR="00E80C05" w:rsidRPr="00A04585" w:rsidRDefault="00E80C05"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Por su parte, la fracción II del mismo inciso legal</w:t>
      </w:r>
      <w:r w:rsidR="0057056C" w:rsidRPr="00A04585">
        <w:rPr>
          <w:rFonts w:ascii="Trebuchet MS" w:hAnsi="Trebuchet MS"/>
          <w:color w:val="000000"/>
          <w:sz w:val="24"/>
          <w:szCs w:val="24"/>
          <w:lang w:val="es-ES_tradnl" w:eastAsia="es-MX"/>
        </w:rPr>
        <w:t xml:space="preserve"> del artículo 51</w:t>
      </w:r>
      <w:r w:rsidRPr="00A04585">
        <w:rPr>
          <w:rFonts w:ascii="Trebuchet MS" w:hAnsi="Trebuchet MS"/>
          <w:color w:val="000000"/>
          <w:sz w:val="24"/>
          <w:szCs w:val="24"/>
          <w:lang w:val="es-ES_tradnl" w:eastAsia="es-MX"/>
        </w:rPr>
        <w:t xml:space="preserve">, indica que el </w:t>
      </w:r>
      <w:r w:rsidRPr="00A04585">
        <w:rPr>
          <w:rFonts w:ascii="Trebuchet MS" w:hAnsi="Trebuchet MS"/>
          <w:b/>
          <w:bCs/>
          <w:color w:val="000000"/>
          <w:sz w:val="24"/>
          <w:szCs w:val="24"/>
          <w:lang w:val="es-ES_tradnl" w:eastAsia="es-MX"/>
        </w:rPr>
        <w:t>resultado de la operación señalada, constituye la base para el financiamiento público anual a los partidos políticos</w:t>
      </w:r>
      <w:r w:rsidR="00B061EA" w:rsidRPr="00A04585">
        <w:rPr>
          <w:rFonts w:ascii="Trebuchet MS" w:hAnsi="Trebuchet MS"/>
          <w:b/>
          <w:bCs/>
          <w:color w:val="000000"/>
          <w:sz w:val="24"/>
          <w:szCs w:val="24"/>
          <w:lang w:val="es-ES_tradnl" w:eastAsia="es-MX"/>
        </w:rPr>
        <w:t xml:space="preserve"> locales</w:t>
      </w:r>
      <w:r w:rsidRPr="00A04585">
        <w:rPr>
          <w:rFonts w:ascii="Trebuchet MS" w:hAnsi="Trebuchet MS"/>
          <w:b/>
          <w:bCs/>
          <w:color w:val="000000"/>
          <w:sz w:val="24"/>
          <w:szCs w:val="24"/>
          <w:lang w:val="es-ES_tradnl" w:eastAsia="es-MX"/>
        </w:rPr>
        <w:t xml:space="preserve"> por sus actividades ordinarias permanentes </w:t>
      </w:r>
      <w:r w:rsidRPr="00A04585">
        <w:rPr>
          <w:rFonts w:ascii="Trebuchet MS" w:hAnsi="Trebuchet MS"/>
          <w:color w:val="000000"/>
          <w:sz w:val="24"/>
          <w:szCs w:val="24"/>
          <w:lang w:val="es-ES_tradnl" w:eastAsia="es-MX"/>
        </w:rPr>
        <w:t>y se distribuirá en la forma que establece el inciso a) de la Base II, del artículo 41 de la Constitución General.</w:t>
      </w:r>
    </w:p>
    <w:p w14:paraId="531EFB15" w14:textId="66934312" w:rsidR="00E80C05" w:rsidRPr="00A04585" w:rsidRDefault="00E80C05" w:rsidP="002E7CFF">
      <w:pPr>
        <w:pStyle w:val="Sinespaciado"/>
        <w:jc w:val="both"/>
        <w:rPr>
          <w:rFonts w:ascii="Trebuchet MS" w:hAnsi="Trebuchet MS"/>
          <w:color w:val="000000"/>
          <w:sz w:val="24"/>
          <w:szCs w:val="24"/>
          <w:lang w:val="es-ES_tradnl" w:eastAsia="es-MX"/>
        </w:rPr>
      </w:pPr>
    </w:p>
    <w:p w14:paraId="3A80FFB4" w14:textId="263455AE" w:rsidR="00E80C05" w:rsidRPr="00A04585" w:rsidRDefault="00E80C05" w:rsidP="002E7CFF">
      <w:pPr>
        <w:pStyle w:val="Sinespaciado"/>
        <w:jc w:val="both"/>
        <w:rPr>
          <w:rFonts w:ascii="Trebuchet MS" w:hAnsi="Trebuchet MS"/>
          <w:b/>
          <w:bCs/>
          <w:color w:val="000000"/>
          <w:sz w:val="24"/>
          <w:szCs w:val="24"/>
          <w:lang w:val="es-ES_tradnl" w:eastAsia="es-MX"/>
        </w:rPr>
      </w:pPr>
      <w:r w:rsidRPr="00A04585">
        <w:rPr>
          <w:rFonts w:ascii="Trebuchet MS" w:hAnsi="Trebuchet MS"/>
          <w:color w:val="000000"/>
          <w:sz w:val="24"/>
          <w:szCs w:val="24"/>
          <w:lang w:val="es-ES_tradnl" w:eastAsia="es-MX"/>
        </w:rPr>
        <w:t xml:space="preserve">Lo anterior significa que la cantidad que resulte del ejercicio aritmético </w:t>
      </w:r>
      <w:r w:rsidR="00B061EA" w:rsidRPr="00A04585">
        <w:rPr>
          <w:rFonts w:ascii="Trebuchet MS" w:hAnsi="Trebuchet MS"/>
          <w:color w:val="000000"/>
          <w:sz w:val="24"/>
          <w:szCs w:val="24"/>
          <w:lang w:val="es-ES_tradnl" w:eastAsia="es-MX"/>
        </w:rPr>
        <w:t xml:space="preserve">descrito, el treinta por ciento deberá repartirse </w:t>
      </w:r>
      <w:r w:rsidR="007A6688" w:rsidRPr="00A04585">
        <w:rPr>
          <w:rFonts w:ascii="Trebuchet MS" w:hAnsi="Trebuchet MS"/>
          <w:color w:val="000000"/>
          <w:sz w:val="24"/>
          <w:szCs w:val="24"/>
          <w:lang w:val="es-ES_tradnl" w:eastAsia="es-MX"/>
        </w:rPr>
        <w:t xml:space="preserve">de forma igualitaria </w:t>
      </w:r>
      <w:r w:rsidR="00B061EA" w:rsidRPr="00A04585">
        <w:rPr>
          <w:rFonts w:ascii="Trebuchet MS" w:hAnsi="Trebuchet MS"/>
          <w:color w:val="000000"/>
          <w:sz w:val="24"/>
          <w:szCs w:val="24"/>
          <w:lang w:val="es-ES_tradnl" w:eastAsia="es-MX"/>
        </w:rPr>
        <w:t xml:space="preserve">entre los partidos estatales que tengan derecho a ello y, el restante setenta por ciento, será distribuido entre </w:t>
      </w:r>
      <w:r w:rsidR="00FD2181" w:rsidRPr="00A04585">
        <w:rPr>
          <w:rFonts w:ascii="Trebuchet MS" w:hAnsi="Trebuchet MS"/>
          <w:color w:val="000000"/>
          <w:sz w:val="24"/>
          <w:szCs w:val="24"/>
          <w:lang w:val="es-ES_tradnl" w:eastAsia="es-MX"/>
        </w:rPr>
        <w:t>esos</w:t>
      </w:r>
      <w:r w:rsidR="00B061EA" w:rsidRPr="00A04585">
        <w:rPr>
          <w:rFonts w:ascii="Trebuchet MS" w:hAnsi="Trebuchet MS"/>
          <w:color w:val="000000"/>
          <w:sz w:val="24"/>
          <w:szCs w:val="24"/>
          <w:lang w:val="es-ES_tradnl" w:eastAsia="es-MX"/>
        </w:rPr>
        <w:t xml:space="preserve"> institutos </w:t>
      </w:r>
      <w:r w:rsidR="00FD2181" w:rsidRPr="00A04585">
        <w:rPr>
          <w:rFonts w:ascii="Trebuchet MS" w:hAnsi="Trebuchet MS"/>
          <w:color w:val="000000"/>
          <w:sz w:val="24"/>
          <w:szCs w:val="24"/>
          <w:lang w:val="es-ES_tradnl" w:eastAsia="es-MX"/>
        </w:rPr>
        <w:t xml:space="preserve">políticos </w:t>
      </w:r>
      <w:r w:rsidR="00B061EA" w:rsidRPr="00A04585">
        <w:rPr>
          <w:rFonts w:ascii="Trebuchet MS" w:hAnsi="Trebuchet MS"/>
          <w:color w:val="000000"/>
          <w:sz w:val="24"/>
          <w:szCs w:val="24"/>
          <w:lang w:val="es-ES_tradnl" w:eastAsia="es-MX"/>
        </w:rPr>
        <w:t>de acuerdo con el porcentaje de votos que hubieran obtenido en la elección de diputaciones inmediata anterior.</w:t>
      </w:r>
    </w:p>
    <w:p w14:paraId="28C85CF7" w14:textId="607CF40F" w:rsidR="00973583" w:rsidRPr="00A04585" w:rsidRDefault="00973583" w:rsidP="002E7CFF">
      <w:pPr>
        <w:pStyle w:val="Sinespaciado"/>
        <w:jc w:val="both"/>
        <w:rPr>
          <w:rFonts w:ascii="Trebuchet MS" w:hAnsi="Trebuchet MS"/>
          <w:color w:val="000000"/>
          <w:sz w:val="24"/>
          <w:szCs w:val="24"/>
          <w:lang w:val="es-ES_tradnl" w:eastAsia="es-MX"/>
        </w:rPr>
      </w:pPr>
    </w:p>
    <w:p w14:paraId="593C99AE" w14:textId="0E23CC2C" w:rsidR="00B061EA" w:rsidRPr="00A04585" w:rsidRDefault="00B061EA"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esa lógica, la fracción III del inciso indicado, precisa que las cantidades que se determin</w:t>
      </w:r>
      <w:r w:rsidR="00CE4288" w:rsidRPr="00A04585">
        <w:rPr>
          <w:rFonts w:ascii="Trebuchet MS" w:hAnsi="Trebuchet MS"/>
          <w:color w:val="000000"/>
          <w:sz w:val="24"/>
          <w:szCs w:val="24"/>
          <w:lang w:val="es-ES_tradnl" w:eastAsia="es-MX"/>
        </w:rPr>
        <w:t>e</w:t>
      </w:r>
      <w:r w:rsidRPr="00A04585">
        <w:rPr>
          <w:rFonts w:ascii="Trebuchet MS" w:hAnsi="Trebuchet MS"/>
          <w:color w:val="000000"/>
          <w:sz w:val="24"/>
          <w:szCs w:val="24"/>
          <w:lang w:val="es-ES_tradnl" w:eastAsia="es-MX"/>
        </w:rPr>
        <w:t>n para cada partido, serán entregadas en ministraciones mensuales, conforme al calendario presupuestal que se apruebe anualmente.</w:t>
      </w:r>
    </w:p>
    <w:p w14:paraId="4571F70D" w14:textId="401F8F0E" w:rsidR="00C93D3C" w:rsidRPr="00242547" w:rsidRDefault="00C93D3C" w:rsidP="002E7CFF">
      <w:pPr>
        <w:pStyle w:val="Sinespaciado"/>
        <w:jc w:val="both"/>
        <w:rPr>
          <w:rFonts w:ascii="Trebuchet MS" w:hAnsi="Trebuchet MS"/>
          <w:color w:val="000000"/>
          <w:sz w:val="24"/>
          <w:szCs w:val="24"/>
          <w:lang w:val="es-ES_tradnl" w:eastAsia="es-MX"/>
        </w:rPr>
      </w:pPr>
    </w:p>
    <w:p w14:paraId="15BFE40E" w14:textId="057716CA" w:rsidR="00C93D3C" w:rsidRPr="00A04585" w:rsidRDefault="00C93D3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Por su parte, la fracción IV del mismo inciso</w:t>
      </w:r>
      <w:r w:rsidR="005A04CB" w:rsidRPr="00A04585">
        <w:rPr>
          <w:rFonts w:ascii="Trebuchet MS" w:hAnsi="Trebuchet MS"/>
          <w:color w:val="000000"/>
          <w:sz w:val="24"/>
          <w:szCs w:val="24"/>
          <w:lang w:val="es-ES_tradnl" w:eastAsia="es-MX"/>
        </w:rPr>
        <w:t xml:space="preserve"> a) del artículo 51 de la Ley General de Partidos Políticos</w:t>
      </w:r>
      <w:r w:rsidRPr="00A04585">
        <w:rPr>
          <w:rFonts w:ascii="Trebuchet MS" w:hAnsi="Trebuchet MS"/>
          <w:color w:val="000000"/>
          <w:sz w:val="24"/>
          <w:szCs w:val="24"/>
          <w:lang w:val="es-ES_tradnl" w:eastAsia="es-MX"/>
        </w:rPr>
        <w:t>, indica que cada instituto político debe destinar anualmente por lo menos el dos por ciento del financiamiento público que reciba para el desarrollo de actividades específica</w:t>
      </w:r>
      <w:r w:rsidR="00012677" w:rsidRPr="00A04585">
        <w:rPr>
          <w:rFonts w:ascii="Trebuchet MS" w:hAnsi="Trebuchet MS"/>
          <w:color w:val="000000"/>
          <w:sz w:val="24"/>
          <w:szCs w:val="24"/>
          <w:lang w:val="es-ES_tradnl" w:eastAsia="es-MX"/>
        </w:rPr>
        <w:t>s</w:t>
      </w:r>
      <w:r w:rsidRPr="00A04585">
        <w:rPr>
          <w:rFonts w:ascii="Trebuchet MS" w:hAnsi="Trebuchet MS"/>
          <w:color w:val="000000"/>
          <w:sz w:val="24"/>
          <w:szCs w:val="24"/>
          <w:lang w:val="es-ES_tradnl" w:eastAsia="es-MX"/>
        </w:rPr>
        <w:t xml:space="preserve">. </w:t>
      </w:r>
    </w:p>
    <w:p w14:paraId="3B34B8FB" w14:textId="70A93804" w:rsidR="00C93D3C" w:rsidRPr="00A04585" w:rsidRDefault="00C93D3C" w:rsidP="002E7CFF">
      <w:pPr>
        <w:pStyle w:val="Sinespaciado"/>
        <w:jc w:val="both"/>
        <w:rPr>
          <w:rFonts w:ascii="Trebuchet MS" w:hAnsi="Trebuchet MS"/>
          <w:color w:val="000000"/>
          <w:sz w:val="24"/>
          <w:szCs w:val="24"/>
          <w:lang w:val="es-ES_tradnl" w:eastAsia="es-MX"/>
        </w:rPr>
      </w:pPr>
    </w:p>
    <w:p w14:paraId="26D6F28E" w14:textId="0A940874" w:rsidR="00C93D3C" w:rsidRPr="00A04585" w:rsidRDefault="00C93D3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Asimismo, la fracción V de ese apartado </w:t>
      </w:r>
      <w:r w:rsidR="005A04CB" w:rsidRPr="00A04585">
        <w:rPr>
          <w:rFonts w:ascii="Trebuchet MS" w:hAnsi="Trebuchet MS"/>
          <w:color w:val="000000"/>
          <w:sz w:val="24"/>
          <w:szCs w:val="24"/>
          <w:lang w:val="es-ES_tradnl" w:eastAsia="es-MX"/>
        </w:rPr>
        <w:t xml:space="preserve">legal </w:t>
      </w:r>
      <w:r w:rsidRPr="00A04585">
        <w:rPr>
          <w:rFonts w:ascii="Trebuchet MS" w:hAnsi="Trebuchet MS"/>
          <w:color w:val="000000"/>
          <w:sz w:val="24"/>
          <w:szCs w:val="24"/>
          <w:lang w:val="es-ES_tradnl" w:eastAsia="es-MX"/>
        </w:rPr>
        <w:t>precisa que</w:t>
      </w:r>
      <w:r w:rsidR="008066AA"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para la capacitación, promoción y desarrollo del liderazgo político de las mujeres, cada partido político deberá destinar anualmente, el tres por ciento del financiamiento público ordinario que reciba.</w:t>
      </w:r>
    </w:p>
    <w:p w14:paraId="4FFF3D4A" w14:textId="77777777" w:rsidR="00A344EE" w:rsidRPr="00242547" w:rsidRDefault="00A344EE" w:rsidP="002E7CFF">
      <w:pPr>
        <w:pStyle w:val="Sinespaciado"/>
        <w:jc w:val="both"/>
        <w:rPr>
          <w:rFonts w:ascii="Trebuchet MS" w:hAnsi="Trebuchet MS"/>
          <w:color w:val="000000"/>
          <w:sz w:val="24"/>
          <w:szCs w:val="24"/>
          <w:lang w:val="es-ES_tradnl" w:eastAsia="es-MX"/>
        </w:rPr>
      </w:pPr>
    </w:p>
    <w:p w14:paraId="55400333" w14:textId="0154A7DD" w:rsidR="00BD24DE" w:rsidRPr="00A04585" w:rsidRDefault="00975B6A"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 xml:space="preserve">C. </w:t>
      </w:r>
      <w:r w:rsidR="004837E2" w:rsidRPr="00A04585">
        <w:rPr>
          <w:rFonts w:ascii="Trebuchet MS" w:hAnsi="Trebuchet MS"/>
          <w:b/>
          <w:bCs/>
          <w:color w:val="000000"/>
          <w:sz w:val="24"/>
          <w:szCs w:val="24"/>
          <w:lang w:val="es-ES_tradnl" w:eastAsia="es-MX"/>
        </w:rPr>
        <w:t>Constitución local.</w:t>
      </w:r>
      <w:r w:rsidR="008066AA" w:rsidRPr="00A04585">
        <w:rPr>
          <w:rFonts w:ascii="Trebuchet MS" w:hAnsi="Trebuchet MS"/>
          <w:color w:val="000000"/>
          <w:sz w:val="24"/>
          <w:szCs w:val="24"/>
          <w:lang w:val="es-ES_tradnl" w:eastAsia="es-MX"/>
        </w:rPr>
        <w:t xml:space="preserve"> </w:t>
      </w:r>
      <w:r w:rsidR="00FD2181" w:rsidRPr="00A04585">
        <w:rPr>
          <w:rFonts w:ascii="Trebuchet MS" w:hAnsi="Trebuchet MS"/>
          <w:color w:val="000000"/>
          <w:sz w:val="24"/>
          <w:szCs w:val="24"/>
          <w:lang w:val="es-ES_tradnl" w:eastAsia="es-MX"/>
        </w:rPr>
        <w:t>El</w:t>
      </w:r>
      <w:r w:rsidR="002A7ECC" w:rsidRPr="00A04585">
        <w:rPr>
          <w:rFonts w:ascii="Trebuchet MS" w:hAnsi="Trebuchet MS"/>
          <w:color w:val="000000"/>
          <w:sz w:val="24"/>
          <w:szCs w:val="24"/>
          <w:lang w:val="es-ES_tradnl" w:eastAsia="es-MX"/>
        </w:rPr>
        <w:t xml:space="preserve"> artículo 13, base IV de la Constitución Po</w:t>
      </w:r>
      <w:r w:rsidR="00FD2181" w:rsidRPr="00A04585">
        <w:rPr>
          <w:rFonts w:ascii="Trebuchet MS" w:hAnsi="Trebuchet MS"/>
          <w:color w:val="000000"/>
          <w:sz w:val="24"/>
          <w:szCs w:val="24"/>
          <w:lang w:val="es-ES_tradnl" w:eastAsia="es-MX"/>
        </w:rPr>
        <w:t xml:space="preserve">lítica del </w:t>
      </w:r>
      <w:r w:rsidR="006262EB" w:rsidRPr="00A04585">
        <w:rPr>
          <w:rFonts w:ascii="Trebuchet MS" w:hAnsi="Trebuchet MS"/>
          <w:color w:val="000000"/>
          <w:sz w:val="24"/>
          <w:szCs w:val="24"/>
          <w:lang w:val="es-ES_tradnl" w:eastAsia="es-MX"/>
        </w:rPr>
        <w:t>e</w:t>
      </w:r>
      <w:r w:rsidR="00FD2181" w:rsidRPr="00A04585">
        <w:rPr>
          <w:rFonts w:ascii="Trebuchet MS" w:hAnsi="Trebuchet MS"/>
          <w:color w:val="000000"/>
          <w:sz w:val="24"/>
          <w:szCs w:val="24"/>
          <w:lang w:val="es-ES_tradnl" w:eastAsia="es-MX"/>
        </w:rPr>
        <w:t>stado de Jalisco, establece</w:t>
      </w:r>
      <w:r w:rsidR="002A7ECC" w:rsidRPr="00A04585">
        <w:rPr>
          <w:rFonts w:ascii="Trebuchet MS" w:hAnsi="Trebuchet MS"/>
          <w:color w:val="000000"/>
          <w:sz w:val="24"/>
          <w:szCs w:val="24"/>
          <w:lang w:val="es-ES_tradnl" w:eastAsia="es-MX"/>
        </w:rPr>
        <w:t xml:space="preserve"> los tipos de financiamiento local a que tienen derecho</w:t>
      </w:r>
      <w:r w:rsidR="006262EB" w:rsidRPr="00A04585">
        <w:rPr>
          <w:rFonts w:ascii="Trebuchet MS" w:hAnsi="Trebuchet MS"/>
          <w:color w:val="000000"/>
          <w:sz w:val="24"/>
          <w:szCs w:val="24"/>
          <w:lang w:val="es-ES_tradnl" w:eastAsia="es-MX"/>
        </w:rPr>
        <w:t xml:space="preserve"> los</w:t>
      </w:r>
      <w:r w:rsidR="002A7ECC" w:rsidRPr="00A04585">
        <w:rPr>
          <w:rFonts w:ascii="Trebuchet MS" w:hAnsi="Trebuchet MS"/>
          <w:color w:val="000000"/>
          <w:sz w:val="24"/>
          <w:szCs w:val="24"/>
          <w:lang w:val="es-ES_tradnl" w:eastAsia="es-MX"/>
        </w:rPr>
        <w:t xml:space="preserve"> partidos</w:t>
      </w:r>
      <w:r w:rsidR="006262EB" w:rsidRPr="00A04585">
        <w:rPr>
          <w:rFonts w:ascii="Trebuchet MS" w:hAnsi="Trebuchet MS"/>
          <w:color w:val="000000"/>
          <w:sz w:val="24"/>
          <w:szCs w:val="24"/>
          <w:lang w:val="es-ES_tradnl" w:eastAsia="es-MX"/>
        </w:rPr>
        <w:t xml:space="preserve"> políticos</w:t>
      </w:r>
      <w:r w:rsidR="002A7ECC" w:rsidRPr="00A04585">
        <w:rPr>
          <w:rFonts w:ascii="Trebuchet MS" w:hAnsi="Trebuchet MS"/>
          <w:color w:val="000000"/>
          <w:sz w:val="24"/>
          <w:szCs w:val="24"/>
          <w:lang w:val="es-ES_tradnl" w:eastAsia="es-MX"/>
        </w:rPr>
        <w:t xml:space="preserve"> nacionales y estatales, así como las bases para su cálculo, razón por la que a continuación se procederá a determinar cuáles son las disposiciones que deben de tomarse en cuenta para ello</w:t>
      </w:r>
      <w:r w:rsidRPr="00A04585">
        <w:rPr>
          <w:rFonts w:ascii="Trebuchet MS" w:hAnsi="Trebuchet MS"/>
          <w:color w:val="000000"/>
          <w:sz w:val="24"/>
          <w:szCs w:val="24"/>
          <w:lang w:val="es-ES_tradnl" w:eastAsia="es-MX"/>
        </w:rPr>
        <w:t>, en atención a que</w:t>
      </w:r>
      <w:r w:rsidR="00FD2181" w:rsidRPr="00A04585">
        <w:rPr>
          <w:rFonts w:ascii="Trebuchet MS" w:hAnsi="Trebuchet MS"/>
          <w:color w:val="000000"/>
          <w:sz w:val="24"/>
          <w:szCs w:val="24"/>
          <w:lang w:val="es-ES_tradnl" w:eastAsia="es-MX"/>
        </w:rPr>
        <w:t xml:space="preserve"> una</w:t>
      </w:r>
      <w:r w:rsidRPr="00A04585">
        <w:rPr>
          <w:rFonts w:ascii="Trebuchet MS" w:hAnsi="Trebuchet MS"/>
          <w:color w:val="000000"/>
          <w:sz w:val="24"/>
          <w:szCs w:val="24"/>
          <w:lang w:val="es-ES_tradnl" w:eastAsia="es-MX"/>
        </w:rPr>
        <w:t xml:space="preserve"> parte </w:t>
      </w:r>
      <w:r w:rsidR="00FD2181" w:rsidRPr="00A04585">
        <w:rPr>
          <w:rFonts w:ascii="Trebuchet MS" w:hAnsi="Trebuchet MS"/>
          <w:color w:val="000000"/>
          <w:sz w:val="24"/>
          <w:szCs w:val="24"/>
          <w:lang w:val="es-ES_tradnl" w:eastAsia="es-MX"/>
        </w:rPr>
        <w:t xml:space="preserve">de ese dispositivo </w:t>
      </w:r>
      <w:r w:rsidR="008D5625" w:rsidRPr="00A04585">
        <w:rPr>
          <w:rFonts w:ascii="Trebuchet MS" w:hAnsi="Trebuchet MS"/>
          <w:color w:val="000000"/>
          <w:sz w:val="24"/>
          <w:szCs w:val="24"/>
          <w:lang w:val="es-ES_tradnl" w:eastAsia="es-MX"/>
        </w:rPr>
        <w:t xml:space="preserve">de la Constitución local </w:t>
      </w:r>
      <w:r w:rsidR="00FD2181" w:rsidRPr="00A04585">
        <w:rPr>
          <w:rFonts w:ascii="Trebuchet MS" w:hAnsi="Trebuchet MS"/>
          <w:color w:val="000000"/>
          <w:sz w:val="24"/>
          <w:szCs w:val="24"/>
          <w:lang w:val="es-ES_tradnl" w:eastAsia="es-MX"/>
        </w:rPr>
        <w:t>fue declarada inválida</w:t>
      </w:r>
      <w:r w:rsidRPr="00A04585">
        <w:rPr>
          <w:rFonts w:ascii="Trebuchet MS" w:hAnsi="Trebuchet MS"/>
          <w:color w:val="000000"/>
          <w:sz w:val="24"/>
          <w:szCs w:val="24"/>
          <w:lang w:val="es-ES_tradnl" w:eastAsia="es-MX"/>
        </w:rPr>
        <w:t xml:space="preserve"> por la Suprema Corte de Justicia de la Nación en la acción de inconstitucionalidad 165/2020 y acumuladas, las cuales fueron resueltas en la sesión pública del Tribunal Pleno</w:t>
      </w:r>
      <w:r w:rsidR="00BD24DE" w:rsidRPr="00A04585">
        <w:rPr>
          <w:rFonts w:ascii="Trebuchet MS" w:hAnsi="Trebuchet MS"/>
          <w:color w:val="000000"/>
          <w:sz w:val="24"/>
          <w:szCs w:val="24"/>
          <w:lang w:val="es-ES_tradnl" w:eastAsia="es-MX"/>
        </w:rPr>
        <w:t xml:space="preserve">, celebrada el veintinueve </w:t>
      </w:r>
      <w:r w:rsidR="00FD2181" w:rsidRPr="00A04585">
        <w:rPr>
          <w:rFonts w:ascii="Trebuchet MS" w:hAnsi="Trebuchet MS"/>
          <w:color w:val="000000"/>
          <w:sz w:val="24"/>
          <w:szCs w:val="24"/>
          <w:lang w:val="es-ES_tradnl" w:eastAsia="es-MX"/>
        </w:rPr>
        <w:t>de septiembre de dos mil veinte</w:t>
      </w:r>
      <w:r w:rsidR="00CE4288" w:rsidRPr="00A04585">
        <w:rPr>
          <w:rFonts w:ascii="Trebuchet MS" w:hAnsi="Trebuchet MS"/>
          <w:color w:val="000000"/>
          <w:sz w:val="24"/>
          <w:szCs w:val="24"/>
          <w:lang w:val="es-ES_tradnl" w:eastAsia="es-MX"/>
        </w:rPr>
        <w:t xml:space="preserve">. Para ello, debe considerarse además que </w:t>
      </w:r>
      <w:r w:rsidR="00FD2181" w:rsidRPr="00A04585">
        <w:rPr>
          <w:rFonts w:ascii="Trebuchet MS" w:hAnsi="Trebuchet MS"/>
          <w:color w:val="000000"/>
          <w:sz w:val="24"/>
          <w:szCs w:val="24"/>
          <w:lang w:val="es-ES_tradnl" w:eastAsia="es-MX"/>
        </w:rPr>
        <w:t xml:space="preserve">ese tribunal ordenó la reviviscencia de una disposición </w:t>
      </w:r>
      <w:r w:rsidR="00586700" w:rsidRPr="00A04585">
        <w:rPr>
          <w:rFonts w:ascii="Trebuchet MS" w:hAnsi="Trebuchet MS"/>
          <w:color w:val="000000"/>
          <w:sz w:val="24"/>
          <w:szCs w:val="24"/>
          <w:lang w:val="es-ES_tradnl" w:eastAsia="es-MX"/>
        </w:rPr>
        <w:t xml:space="preserve">legal </w:t>
      </w:r>
      <w:r w:rsidR="00FD2181" w:rsidRPr="00A04585">
        <w:rPr>
          <w:rFonts w:ascii="Trebuchet MS" w:hAnsi="Trebuchet MS"/>
          <w:color w:val="000000"/>
          <w:sz w:val="24"/>
          <w:szCs w:val="24"/>
          <w:lang w:val="es-ES_tradnl" w:eastAsia="es-MX"/>
        </w:rPr>
        <w:t xml:space="preserve">para integrar </w:t>
      </w:r>
      <w:r w:rsidR="00586700" w:rsidRPr="00A04585">
        <w:rPr>
          <w:rFonts w:ascii="Trebuchet MS" w:hAnsi="Trebuchet MS"/>
          <w:color w:val="000000"/>
          <w:sz w:val="24"/>
          <w:szCs w:val="24"/>
          <w:lang w:val="es-ES_tradnl" w:eastAsia="es-MX"/>
        </w:rPr>
        <w:t>el enunciado normativo</w:t>
      </w:r>
      <w:r w:rsidR="00FD2181" w:rsidRPr="00A04585">
        <w:rPr>
          <w:rFonts w:ascii="Trebuchet MS" w:hAnsi="Trebuchet MS"/>
          <w:color w:val="000000"/>
          <w:sz w:val="24"/>
          <w:szCs w:val="24"/>
          <w:lang w:val="es-ES_tradnl" w:eastAsia="es-MX"/>
        </w:rPr>
        <w:t>.</w:t>
      </w:r>
    </w:p>
    <w:p w14:paraId="6BD51ECE" w14:textId="6A0BB347" w:rsidR="00090797" w:rsidRPr="00A04585" w:rsidRDefault="00090797" w:rsidP="002E7CFF">
      <w:pPr>
        <w:pStyle w:val="Sinespaciado"/>
        <w:jc w:val="both"/>
        <w:rPr>
          <w:rFonts w:ascii="Trebuchet MS" w:hAnsi="Trebuchet MS"/>
          <w:color w:val="000000"/>
          <w:sz w:val="24"/>
          <w:szCs w:val="24"/>
          <w:lang w:val="es-ES_tradnl" w:eastAsia="es-MX"/>
        </w:rPr>
      </w:pPr>
    </w:p>
    <w:p w14:paraId="3BCD0E71" w14:textId="11106AAC" w:rsidR="0075524B" w:rsidRPr="00A04585" w:rsidRDefault="0075524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De ese modo, el artículo 13, fracción IV, inciso a) de la Constitución Política del Estado de Jalisco, debe entenderse redactado de la manera que enseguida se expone:</w:t>
      </w:r>
    </w:p>
    <w:p w14:paraId="3DD90E18" w14:textId="4AFE7EBE" w:rsidR="0075524B" w:rsidRPr="00A04585" w:rsidRDefault="0075524B" w:rsidP="002E7CFF">
      <w:pPr>
        <w:pStyle w:val="Sinespaciado"/>
        <w:jc w:val="both"/>
        <w:rPr>
          <w:rFonts w:ascii="Trebuchet MS" w:hAnsi="Trebuchet MS"/>
          <w:color w:val="000000"/>
          <w:sz w:val="24"/>
          <w:szCs w:val="24"/>
          <w:lang w:val="es-ES_tradnl" w:eastAsia="es-MX"/>
        </w:rPr>
      </w:pPr>
    </w:p>
    <w:p w14:paraId="20511891" w14:textId="15512F61" w:rsidR="0075524B" w:rsidRPr="00A04585" w:rsidRDefault="0075524B" w:rsidP="002E7CFF">
      <w:pPr>
        <w:pStyle w:val="Sinespaciado"/>
        <w:ind w:left="567" w:right="615"/>
        <w:jc w:val="both"/>
        <w:rPr>
          <w:rFonts w:ascii="Trebuchet MS" w:hAnsi="Trebuchet MS"/>
          <w:color w:val="000000"/>
          <w:sz w:val="20"/>
          <w:szCs w:val="20"/>
          <w:lang w:val="es-ES_tradnl" w:eastAsia="es-MX"/>
        </w:rPr>
      </w:pPr>
      <w:r w:rsidRPr="00A04585">
        <w:rPr>
          <w:rFonts w:ascii="Trebuchet MS" w:hAnsi="Trebuchet MS"/>
          <w:b/>
          <w:bCs/>
          <w:color w:val="000000"/>
          <w:sz w:val="20"/>
          <w:szCs w:val="20"/>
          <w:lang w:val="es-ES_tradnl" w:eastAsia="es-MX"/>
        </w:rPr>
        <w:t>Artículo 13.</w:t>
      </w:r>
      <w:r w:rsidRPr="00A04585">
        <w:rPr>
          <w:rFonts w:ascii="Trebuchet MS" w:hAnsi="Trebuchet MS"/>
          <w:color w:val="000000"/>
          <w:sz w:val="20"/>
          <w:szCs w:val="20"/>
          <w:lang w:val="es-ES_tradnl" w:eastAsia="es-MX"/>
        </w:rPr>
        <w:t xml:space="preserve"> (…)</w:t>
      </w:r>
    </w:p>
    <w:p w14:paraId="6693607F" w14:textId="2569FADC" w:rsidR="0075524B" w:rsidRPr="00A04585" w:rsidRDefault="0075524B" w:rsidP="002E7CFF">
      <w:pPr>
        <w:pStyle w:val="Sinespaciado"/>
        <w:ind w:left="567" w:right="615"/>
        <w:jc w:val="both"/>
        <w:rPr>
          <w:rFonts w:ascii="Trebuchet MS" w:hAnsi="Trebuchet MS"/>
          <w:color w:val="000000"/>
          <w:sz w:val="20"/>
          <w:szCs w:val="20"/>
          <w:lang w:val="es-ES_tradnl" w:eastAsia="es-MX"/>
        </w:rPr>
      </w:pPr>
      <w:r w:rsidRPr="00A04585">
        <w:rPr>
          <w:rFonts w:ascii="Trebuchet MS" w:hAnsi="Trebuchet MS"/>
          <w:color w:val="000000"/>
          <w:sz w:val="20"/>
          <w:szCs w:val="20"/>
          <w:lang w:val="es-ES_tradnl" w:eastAsia="es-MX"/>
        </w:rPr>
        <w:t>IV. (…)</w:t>
      </w:r>
    </w:p>
    <w:p w14:paraId="6DC99FDD" w14:textId="52CB30FE" w:rsidR="0075524B" w:rsidRPr="00A04585" w:rsidRDefault="0075524B" w:rsidP="002E7CFF">
      <w:pPr>
        <w:pStyle w:val="Sinespaciado"/>
        <w:ind w:left="567" w:right="615"/>
        <w:jc w:val="both"/>
        <w:rPr>
          <w:rFonts w:ascii="Trebuchet MS" w:hAnsi="Trebuchet MS"/>
          <w:color w:val="000000"/>
          <w:sz w:val="20"/>
          <w:szCs w:val="20"/>
          <w:lang w:val="es-ES_tradnl" w:eastAsia="es-MX"/>
        </w:rPr>
      </w:pPr>
      <w:r w:rsidRPr="00A04585">
        <w:rPr>
          <w:rFonts w:ascii="Trebuchet MS" w:hAnsi="Trebuchet MS"/>
          <w:color w:val="000000"/>
          <w:sz w:val="20"/>
          <w:szCs w:val="20"/>
          <w:lang w:val="es-ES_tradnl" w:eastAsia="es-MX"/>
        </w:rPr>
        <w:t xml:space="preserve">a) </w:t>
      </w:r>
      <w:r w:rsidR="00C87867" w:rsidRPr="00A04585">
        <w:rPr>
          <w:rFonts w:ascii="Trebuchet MS" w:hAnsi="Trebuchet MS"/>
          <w:color w:val="000000"/>
          <w:sz w:val="20"/>
          <w:szCs w:val="20"/>
          <w:u w:val="single"/>
          <w:lang w:val="es-ES_tradnl" w:eastAsia="es-MX"/>
        </w:rPr>
        <w:t>El financiamiento público para partidos políticos locales que mantengan su registro después de cada elección, se otorgará conforme a lo establecido en el artículo 51 de la Ley General de Partidos Políticos</w:t>
      </w:r>
      <w:r w:rsidR="00C87867" w:rsidRPr="00A04585">
        <w:rPr>
          <w:rFonts w:ascii="Trebuchet MS" w:hAnsi="Trebuchet MS"/>
          <w:color w:val="000000"/>
          <w:sz w:val="20"/>
          <w:szCs w:val="20"/>
          <w:lang w:val="es-ES_tradnl" w:eastAsia="es-MX"/>
        </w:rPr>
        <w:t>. Los nacionales que mantengan su acreditación en el estado, después de cada elección, tendrán derecho a recibir financiamiento público estatal para financiar los ga</w:t>
      </w:r>
      <w:r w:rsidR="0057319F" w:rsidRPr="00A04585">
        <w:rPr>
          <w:rFonts w:ascii="Trebuchet MS" w:hAnsi="Trebuchet MS"/>
          <w:color w:val="000000"/>
          <w:sz w:val="20"/>
          <w:szCs w:val="20"/>
          <w:lang w:val="es-ES_tradnl" w:eastAsia="es-MX"/>
        </w:rPr>
        <w:t>s</w:t>
      </w:r>
      <w:r w:rsidR="00C87867" w:rsidRPr="00A04585">
        <w:rPr>
          <w:rFonts w:ascii="Trebuchet MS" w:hAnsi="Trebuchet MS"/>
          <w:color w:val="000000"/>
          <w:sz w:val="20"/>
          <w:szCs w:val="20"/>
          <w:lang w:val="es-ES_tradnl" w:eastAsia="es-MX"/>
        </w:rPr>
        <w:t>tos de las actividades ordinarias por lo que en los años que no se celebren elecciones en el estado, se fijará anualmente multiplicando el padrón electoral local, por el veinte por ciento del valor diario de la Unidad de Medida y Actualización.</w:t>
      </w:r>
    </w:p>
    <w:p w14:paraId="18F9442C" w14:textId="77777777" w:rsidR="00F040EE" w:rsidRPr="00A04585" w:rsidRDefault="00F040EE" w:rsidP="002E7CFF">
      <w:pPr>
        <w:pStyle w:val="Sinespaciado"/>
        <w:ind w:left="567" w:right="615"/>
        <w:jc w:val="both"/>
        <w:rPr>
          <w:rFonts w:ascii="Trebuchet MS" w:hAnsi="Trebuchet MS"/>
          <w:color w:val="000000"/>
          <w:sz w:val="20"/>
          <w:szCs w:val="20"/>
          <w:lang w:val="es-ES_tradnl" w:eastAsia="es-MX"/>
        </w:rPr>
      </w:pPr>
    </w:p>
    <w:p w14:paraId="7843C692" w14:textId="77777777" w:rsidR="001C125F" w:rsidRPr="00242547" w:rsidRDefault="001C125F" w:rsidP="002E7CFF">
      <w:pPr>
        <w:pStyle w:val="Sinespaciado"/>
        <w:jc w:val="both"/>
        <w:rPr>
          <w:rFonts w:ascii="Trebuchet MS" w:hAnsi="Trebuchet MS"/>
          <w:color w:val="000000"/>
          <w:sz w:val="24"/>
          <w:szCs w:val="24"/>
          <w:lang w:val="es-ES_tradnl" w:eastAsia="es-MX"/>
        </w:rPr>
      </w:pPr>
    </w:p>
    <w:p w14:paraId="4B0DA79D" w14:textId="2A736484" w:rsidR="001C125F" w:rsidRPr="00A04585" w:rsidRDefault="00401446"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Derivado de lo anterior, es claro que la Suprema Corte de Justicia de la Nación determinó que lo adecuado es que el financiamiento para actividades ordinarias de los partidos políticos locales se distribuya con base en una bolsa calculada</w:t>
      </w:r>
      <w:r w:rsidR="00DD10DE" w:rsidRPr="00A04585">
        <w:rPr>
          <w:rFonts w:ascii="Trebuchet MS" w:hAnsi="Trebuchet MS"/>
          <w:color w:val="000000"/>
          <w:sz w:val="24"/>
          <w:szCs w:val="24"/>
          <w:lang w:val="es-ES_tradnl" w:eastAsia="es-MX"/>
        </w:rPr>
        <w:t xml:space="preserve"> mediante la multiplicación de la cantidad de personas que se encuentran </w:t>
      </w:r>
      <w:r w:rsidR="008D5625" w:rsidRPr="00A04585">
        <w:rPr>
          <w:rFonts w:ascii="Trebuchet MS" w:hAnsi="Trebuchet MS"/>
          <w:color w:val="000000"/>
          <w:sz w:val="24"/>
          <w:szCs w:val="24"/>
          <w:lang w:val="es-ES_tradnl" w:eastAsia="es-MX"/>
        </w:rPr>
        <w:t xml:space="preserve">inscritas </w:t>
      </w:r>
      <w:r w:rsidR="00DD10DE" w:rsidRPr="00A04585">
        <w:rPr>
          <w:rFonts w:ascii="Trebuchet MS" w:hAnsi="Trebuchet MS"/>
          <w:color w:val="000000"/>
          <w:sz w:val="24"/>
          <w:szCs w:val="24"/>
          <w:lang w:val="es-ES_tradnl" w:eastAsia="es-MX"/>
        </w:rPr>
        <w:t>en el padrón electoral de la entidad federativa</w:t>
      </w:r>
      <w:r w:rsidR="008D5625" w:rsidRPr="00A04585">
        <w:rPr>
          <w:rFonts w:ascii="Trebuchet MS" w:hAnsi="Trebuchet MS"/>
          <w:color w:val="000000"/>
          <w:sz w:val="24"/>
          <w:szCs w:val="24"/>
          <w:lang w:val="es-ES_tradnl" w:eastAsia="es-MX"/>
        </w:rPr>
        <w:t>,</w:t>
      </w:r>
      <w:r w:rsidR="00DD10DE" w:rsidRPr="00A04585">
        <w:rPr>
          <w:rFonts w:ascii="Trebuchet MS" w:hAnsi="Trebuchet MS"/>
          <w:color w:val="000000"/>
          <w:sz w:val="24"/>
          <w:szCs w:val="24"/>
          <w:lang w:val="es-ES_tradnl" w:eastAsia="es-MX"/>
        </w:rPr>
        <w:t xml:space="preserve"> por el </w:t>
      </w:r>
      <w:r w:rsidR="0022320C" w:rsidRPr="00A04585">
        <w:rPr>
          <w:rFonts w:ascii="Trebuchet MS" w:hAnsi="Trebuchet MS"/>
          <w:color w:val="000000"/>
          <w:sz w:val="24"/>
          <w:szCs w:val="24"/>
          <w:lang w:val="es-ES_tradnl" w:eastAsia="es-MX"/>
        </w:rPr>
        <w:t xml:space="preserve">sesenta y cinco por ciento del </w:t>
      </w:r>
      <w:r w:rsidR="00DD10DE" w:rsidRPr="00A04585">
        <w:rPr>
          <w:rFonts w:ascii="Trebuchet MS" w:hAnsi="Trebuchet MS"/>
          <w:color w:val="000000"/>
          <w:sz w:val="24"/>
          <w:szCs w:val="24"/>
          <w:lang w:val="es-ES_tradnl" w:eastAsia="es-MX"/>
        </w:rPr>
        <w:t>valor de la Unidad de Medida y Actualización</w:t>
      </w:r>
      <w:r w:rsidR="008D5625" w:rsidRPr="00A04585">
        <w:rPr>
          <w:rFonts w:ascii="Trebuchet MS" w:hAnsi="Trebuchet MS"/>
          <w:color w:val="000000"/>
          <w:sz w:val="24"/>
          <w:szCs w:val="24"/>
          <w:lang w:val="es-ES_tradnl" w:eastAsia="es-MX"/>
        </w:rPr>
        <w:t>.</w:t>
      </w:r>
      <w:r w:rsidR="00DD10DE" w:rsidRPr="00A04585">
        <w:rPr>
          <w:rFonts w:ascii="Trebuchet MS" w:hAnsi="Trebuchet MS"/>
          <w:color w:val="000000"/>
          <w:sz w:val="24"/>
          <w:szCs w:val="24"/>
          <w:lang w:val="es-ES_tradnl" w:eastAsia="es-MX"/>
        </w:rPr>
        <w:t xml:space="preserve"> </w:t>
      </w:r>
      <w:r w:rsidR="008D5625" w:rsidRPr="00A04585">
        <w:rPr>
          <w:rFonts w:ascii="Trebuchet MS" w:hAnsi="Trebuchet MS"/>
          <w:color w:val="000000"/>
          <w:sz w:val="24"/>
          <w:szCs w:val="24"/>
          <w:lang w:val="es-ES_tradnl" w:eastAsia="es-MX"/>
        </w:rPr>
        <w:t>Por su parte</w:t>
      </w:r>
      <w:r w:rsidR="00DD10DE" w:rsidRPr="00A04585">
        <w:rPr>
          <w:rFonts w:ascii="Trebuchet MS" w:hAnsi="Trebuchet MS"/>
          <w:color w:val="000000"/>
          <w:sz w:val="24"/>
          <w:szCs w:val="24"/>
          <w:lang w:val="es-ES_tradnl" w:eastAsia="es-MX"/>
        </w:rPr>
        <w:t>, el financiamiento para ese propósito de los partidos políticos nacionales con acreditación en la entidad federativa, es el correspondiente al resulta</w:t>
      </w:r>
      <w:r w:rsidR="00815D15" w:rsidRPr="00A04585">
        <w:rPr>
          <w:rFonts w:ascii="Trebuchet MS" w:hAnsi="Trebuchet MS"/>
          <w:color w:val="000000"/>
          <w:sz w:val="24"/>
          <w:szCs w:val="24"/>
          <w:lang w:val="es-ES_tradnl" w:eastAsia="es-MX"/>
        </w:rPr>
        <w:t>do</w:t>
      </w:r>
      <w:r w:rsidR="00DD10DE" w:rsidRPr="00A04585">
        <w:rPr>
          <w:rFonts w:ascii="Trebuchet MS" w:hAnsi="Trebuchet MS"/>
          <w:color w:val="000000"/>
          <w:sz w:val="24"/>
          <w:szCs w:val="24"/>
          <w:lang w:val="es-ES_tradnl" w:eastAsia="es-MX"/>
        </w:rPr>
        <w:t xml:space="preserve"> de multiplicar el número de ciudadanas y ciudadanos que conforman el padrón electoral local, por el veinte por ciento de la Unidad de Medida y Actualización</w:t>
      </w:r>
      <w:r w:rsidR="00056EAF" w:rsidRPr="00A04585">
        <w:rPr>
          <w:rFonts w:ascii="Trebuchet MS" w:hAnsi="Trebuchet MS"/>
          <w:color w:val="000000"/>
          <w:sz w:val="24"/>
          <w:szCs w:val="24"/>
          <w:lang w:val="es-ES_tradnl" w:eastAsia="es-MX"/>
        </w:rPr>
        <w:t>.</w:t>
      </w:r>
    </w:p>
    <w:p w14:paraId="59E79C15" w14:textId="255BA4A7" w:rsidR="00DD10DE" w:rsidRPr="00A04585" w:rsidRDefault="00DD10DE" w:rsidP="002E7CFF">
      <w:pPr>
        <w:pStyle w:val="Sinespaciado"/>
        <w:jc w:val="both"/>
        <w:rPr>
          <w:rFonts w:ascii="Trebuchet MS" w:hAnsi="Trebuchet MS"/>
          <w:color w:val="000000"/>
          <w:sz w:val="24"/>
          <w:szCs w:val="24"/>
          <w:lang w:val="es-ES_tradnl" w:eastAsia="es-MX"/>
        </w:rPr>
      </w:pPr>
    </w:p>
    <w:p w14:paraId="47C85809" w14:textId="2BEB6F0D" w:rsidR="00DD10DE" w:rsidRPr="00A04585" w:rsidRDefault="00D06A77"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Al respecto, cabe decir que el máximo tribunal del país consideró </w:t>
      </w:r>
      <w:r w:rsidR="00CC690F" w:rsidRPr="00A04585">
        <w:rPr>
          <w:rFonts w:ascii="Trebuchet MS" w:hAnsi="Trebuchet MS"/>
          <w:color w:val="000000"/>
          <w:sz w:val="24"/>
          <w:szCs w:val="24"/>
          <w:lang w:val="es-ES_tradnl" w:eastAsia="es-MX"/>
        </w:rPr>
        <w:t xml:space="preserve">válido </w:t>
      </w:r>
      <w:r w:rsidRPr="00A04585">
        <w:rPr>
          <w:rFonts w:ascii="Trebuchet MS" w:hAnsi="Trebuchet MS"/>
          <w:color w:val="000000"/>
          <w:sz w:val="24"/>
          <w:szCs w:val="24"/>
          <w:lang w:val="es-ES_tradnl" w:eastAsia="es-MX"/>
        </w:rPr>
        <w:t xml:space="preserve">dicho modelo de cálculo y distribución del financiamiento público </w:t>
      </w:r>
      <w:r w:rsidR="008D5625" w:rsidRPr="00A04585">
        <w:rPr>
          <w:rFonts w:ascii="Trebuchet MS" w:hAnsi="Trebuchet MS"/>
          <w:color w:val="000000"/>
          <w:sz w:val="24"/>
          <w:szCs w:val="24"/>
          <w:lang w:val="es-ES_tradnl" w:eastAsia="es-MX"/>
        </w:rPr>
        <w:t xml:space="preserve">estatal </w:t>
      </w:r>
      <w:r w:rsidRPr="00A04585">
        <w:rPr>
          <w:rFonts w:ascii="Trebuchet MS" w:hAnsi="Trebuchet MS"/>
          <w:color w:val="000000"/>
          <w:sz w:val="24"/>
          <w:szCs w:val="24"/>
          <w:lang w:val="es-ES_tradnl" w:eastAsia="es-MX"/>
        </w:rPr>
        <w:t xml:space="preserve">en atención a que la única obligación que el artículo 116, </w:t>
      </w:r>
      <w:r w:rsidR="00CC690F" w:rsidRPr="00A04585">
        <w:rPr>
          <w:rFonts w:ascii="Trebuchet MS" w:hAnsi="Trebuchet MS"/>
          <w:color w:val="000000"/>
          <w:sz w:val="24"/>
          <w:szCs w:val="24"/>
          <w:lang w:val="es-ES_tradnl" w:eastAsia="es-MX"/>
        </w:rPr>
        <w:t xml:space="preserve">base IV, inciso g) de la Constitución General </w:t>
      </w:r>
      <w:r w:rsidR="00056EAF" w:rsidRPr="00A04585">
        <w:rPr>
          <w:rFonts w:ascii="Trebuchet MS" w:hAnsi="Trebuchet MS"/>
          <w:color w:val="000000"/>
          <w:sz w:val="24"/>
          <w:szCs w:val="24"/>
          <w:lang w:val="es-ES_tradnl" w:eastAsia="es-MX"/>
        </w:rPr>
        <w:t xml:space="preserve">establece </w:t>
      </w:r>
      <w:r w:rsidR="00CC690F" w:rsidRPr="00A04585">
        <w:rPr>
          <w:rFonts w:ascii="Trebuchet MS" w:hAnsi="Trebuchet MS"/>
          <w:color w:val="000000"/>
          <w:sz w:val="24"/>
          <w:szCs w:val="24"/>
          <w:lang w:val="es-ES_tradnl" w:eastAsia="es-MX"/>
        </w:rPr>
        <w:t xml:space="preserve">a las legislaturas locales, es que los partidos políticos reciban de forma equitativa financiamiento del erario </w:t>
      </w:r>
      <w:r w:rsidR="00815D15" w:rsidRPr="00A04585">
        <w:rPr>
          <w:rFonts w:ascii="Trebuchet MS" w:hAnsi="Trebuchet MS"/>
          <w:color w:val="000000"/>
          <w:sz w:val="24"/>
          <w:szCs w:val="24"/>
          <w:lang w:val="es-ES_tradnl" w:eastAsia="es-MX"/>
        </w:rPr>
        <w:t xml:space="preserve">estatal </w:t>
      </w:r>
      <w:r w:rsidR="00CC690F" w:rsidRPr="00A04585">
        <w:rPr>
          <w:rFonts w:ascii="Trebuchet MS" w:hAnsi="Trebuchet MS"/>
          <w:color w:val="000000"/>
          <w:sz w:val="24"/>
          <w:szCs w:val="24"/>
          <w:lang w:val="es-ES_tradnl" w:eastAsia="es-MX"/>
        </w:rPr>
        <w:t xml:space="preserve">para sus actividades ordinarias permanentes y las tendientes a la obtención del voto, ya que tal deber no se vulnera al destinar una menor cantidad de recursos </w:t>
      </w:r>
      <w:r w:rsidR="00815D15" w:rsidRPr="00A04585">
        <w:rPr>
          <w:rFonts w:ascii="Trebuchet MS" w:hAnsi="Trebuchet MS"/>
          <w:color w:val="000000"/>
          <w:sz w:val="24"/>
          <w:szCs w:val="24"/>
          <w:lang w:val="es-ES_tradnl" w:eastAsia="es-MX"/>
        </w:rPr>
        <w:t>locales</w:t>
      </w:r>
      <w:r w:rsidR="00CC690F" w:rsidRPr="00A04585">
        <w:rPr>
          <w:rFonts w:ascii="Trebuchet MS" w:hAnsi="Trebuchet MS"/>
          <w:color w:val="000000"/>
          <w:sz w:val="24"/>
          <w:szCs w:val="24"/>
          <w:lang w:val="es-ES_tradnl" w:eastAsia="es-MX"/>
        </w:rPr>
        <w:t xml:space="preserve"> a los partidos nacionales porque éstos perciben </w:t>
      </w:r>
      <w:r w:rsidR="00586700" w:rsidRPr="00A04585">
        <w:rPr>
          <w:rFonts w:ascii="Trebuchet MS" w:hAnsi="Trebuchet MS"/>
          <w:color w:val="000000"/>
          <w:sz w:val="24"/>
          <w:szCs w:val="24"/>
          <w:lang w:val="es-ES_tradnl" w:eastAsia="es-MX"/>
        </w:rPr>
        <w:t>también</w:t>
      </w:r>
      <w:r w:rsidR="00815D15" w:rsidRPr="00A04585">
        <w:rPr>
          <w:rFonts w:ascii="Trebuchet MS" w:hAnsi="Trebuchet MS"/>
          <w:color w:val="000000"/>
          <w:sz w:val="24"/>
          <w:szCs w:val="24"/>
          <w:lang w:val="es-ES_tradnl" w:eastAsia="es-MX"/>
        </w:rPr>
        <w:t xml:space="preserve"> </w:t>
      </w:r>
      <w:r w:rsidR="00CC690F" w:rsidRPr="00A04585">
        <w:rPr>
          <w:rFonts w:ascii="Trebuchet MS" w:hAnsi="Trebuchet MS"/>
          <w:color w:val="000000"/>
          <w:sz w:val="24"/>
          <w:szCs w:val="24"/>
          <w:lang w:val="es-ES_tradnl" w:eastAsia="es-MX"/>
        </w:rPr>
        <w:t>fin</w:t>
      </w:r>
      <w:r w:rsidR="00815D15" w:rsidRPr="00A04585">
        <w:rPr>
          <w:rFonts w:ascii="Trebuchet MS" w:hAnsi="Trebuchet MS"/>
          <w:color w:val="000000"/>
          <w:sz w:val="24"/>
          <w:szCs w:val="24"/>
          <w:lang w:val="es-ES_tradnl" w:eastAsia="es-MX"/>
        </w:rPr>
        <w:t xml:space="preserve">anciamiento de la Federación, </w:t>
      </w:r>
      <w:r w:rsidR="00056EAF" w:rsidRPr="00A04585">
        <w:rPr>
          <w:rFonts w:ascii="Trebuchet MS" w:hAnsi="Trebuchet MS"/>
          <w:color w:val="000000"/>
          <w:sz w:val="24"/>
          <w:szCs w:val="24"/>
          <w:lang w:val="es-ES_tradnl" w:eastAsia="es-MX"/>
        </w:rPr>
        <w:t>el cual es adicional</w:t>
      </w:r>
      <w:r w:rsidR="00815D15" w:rsidRPr="00A04585">
        <w:rPr>
          <w:rFonts w:ascii="Trebuchet MS" w:hAnsi="Trebuchet MS"/>
          <w:color w:val="000000"/>
          <w:sz w:val="24"/>
          <w:szCs w:val="24"/>
          <w:lang w:val="es-ES_tradnl" w:eastAsia="es-MX"/>
        </w:rPr>
        <w:t xml:space="preserve"> al</w:t>
      </w:r>
      <w:r w:rsidR="00CC690F" w:rsidRPr="00A04585">
        <w:rPr>
          <w:rFonts w:ascii="Trebuchet MS" w:hAnsi="Trebuchet MS"/>
          <w:color w:val="000000"/>
          <w:sz w:val="24"/>
          <w:szCs w:val="24"/>
          <w:lang w:val="es-ES_tradnl" w:eastAsia="es-MX"/>
        </w:rPr>
        <w:t xml:space="preserve"> que les otorga la entidad federativa, de ahí que </w:t>
      </w:r>
      <w:r w:rsidR="008D5625" w:rsidRPr="00A04585">
        <w:rPr>
          <w:rFonts w:ascii="Trebuchet MS" w:hAnsi="Trebuchet MS"/>
          <w:color w:val="000000"/>
          <w:sz w:val="24"/>
          <w:szCs w:val="24"/>
          <w:lang w:val="es-ES_tradnl" w:eastAsia="es-MX"/>
        </w:rPr>
        <w:t xml:space="preserve">sea </w:t>
      </w:r>
      <w:r w:rsidR="00CC690F" w:rsidRPr="00A04585">
        <w:rPr>
          <w:rFonts w:ascii="Trebuchet MS" w:hAnsi="Trebuchet MS"/>
          <w:color w:val="000000"/>
          <w:sz w:val="24"/>
          <w:szCs w:val="24"/>
          <w:lang w:val="es-ES_tradnl" w:eastAsia="es-MX"/>
        </w:rPr>
        <w:t xml:space="preserve">razonable prever una mayor cantidad de </w:t>
      </w:r>
      <w:r w:rsidR="008D5625" w:rsidRPr="00A04585">
        <w:rPr>
          <w:rFonts w:ascii="Trebuchet MS" w:hAnsi="Trebuchet MS"/>
          <w:color w:val="000000"/>
          <w:sz w:val="24"/>
          <w:szCs w:val="24"/>
          <w:lang w:val="es-ES_tradnl" w:eastAsia="es-MX"/>
        </w:rPr>
        <w:t xml:space="preserve">recursos </w:t>
      </w:r>
      <w:r w:rsidR="00CC690F" w:rsidRPr="00A04585">
        <w:rPr>
          <w:rFonts w:ascii="Trebuchet MS" w:hAnsi="Trebuchet MS"/>
          <w:color w:val="000000"/>
          <w:sz w:val="24"/>
          <w:szCs w:val="24"/>
          <w:lang w:val="es-ES_tradnl" w:eastAsia="es-MX"/>
        </w:rPr>
        <w:t>para el sostenimiento de los partidos locales.</w:t>
      </w:r>
    </w:p>
    <w:p w14:paraId="46A96222" w14:textId="6B2691CF" w:rsidR="00DC47E7" w:rsidRPr="00242547" w:rsidRDefault="00DC47E7" w:rsidP="002E7CFF">
      <w:pPr>
        <w:pStyle w:val="Sinespaciado"/>
        <w:jc w:val="both"/>
        <w:rPr>
          <w:rFonts w:ascii="Trebuchet MS" w:hAnsi="Trebuchet MS"/>
          <w:color w:val="000000"/>
          <w:sz w:val="24"/>
          <w:szCs w:val="24"/>
          <w:lang w:val="es-ES_tradnl" w:eastAsia="es-MX"/>
        </w:rPr>
      </w:pPr>
    </w:p>
    <w:p w14:paraId="41B49BC6" w14:textId="1FCCB028" w:rsidR="00DC47E7" w:rsidRPr="00A04585" w:rsidRDefault="00DC47E7"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Ello, desde luego, </w:t>
      </w:r>
      <w:r w:rsidR="009A5046" w:rsidRPr="00A04585">
        <w:rPr>
          <w:rFonts w:ascii="Trebuchet MS" w:hAnsi="Trebuchet MS"/>
          <w:color w:val="000000"/>
          <w:sz w:val="24"/>
          <w:szCs w:val="24"/>
          <w:lang w:val="es-ES_tradnl" w:eastAsia="es-MX"/>
        </w:rPr>
        <w:t>implica</w:t>
      </w:r>
      <w:r w:rsidR="008D5625" w:rsidRPr="00A04585">
        <w:rPr>
          <w:rFonts w:ascii="Trebuchet MS" w:hAnsi="Trebuchet MS"/>
          <w:color w:val="000000"/>
          <w:sz w:val="24"/>
          <w:szCs w:val="24"/>
          <w:lang w:val="es-ES_tradnl" w:eastAsia="es-MX"/>
        </w:rPr>
        <w:t xml:space="preserve"> el reconocimiento de </w:t>
      </w:r>
      <w:r w:rsidRPr="00A04585">
        <w:rPr>
          <w:rFonts w:ascii="Trebuchet MS" w:hAnsi="Trebuchet MS"/>
          <w:color w:val="000000"/>
          <w:sz w:val="24"/>
          <w:szCs w:val="24"/>
          <w:lang w:val="es-ES_tradnl" w:eastAsia="es-MX"/>
        </w:rPr>
        <w:t>que las legislaturas locales gozan de autonomía o libertad configurativa para definir el monto del financiamiento que destinarán a los partidos nacionales</w:t>
      </w:r>
      <w:r w:rsidR="008D5210" w:rsidRPr="00A04585">
        <w:rPr>
          <w:rFonts w:ascii="Trebuchet MS" w:hAnsi="Trebuchet MS"/>
          <w:color w:val="000000"/>
          <w:sz w:val="24"/>
          <w:szCs w:val="24"/>
          <w:lang w:val="es-ES_tradnl" w:eastAsia="es-MX"/>
        </w:rPr>
        <w:t>, pero dentro de los límites que impone el principio de equidad.</w:t>
      </w:r>
    </w:p>
    <w:p w14:paraId="4D478482" w14:textId="4BB33C54" w:rsidR="00DC47E7" w:rsidRPr="00A04585" w:rsidRDefault="00DC47E7" w:rsidP="002E7CFF">
      <w:pPr>
        <w:pStyle w:val="Sinespaciado"/>
        <w:jc w:val="both"/>
        <w:rPr>
          <w:rFonts w:ascii="Trebuchet MS" w:hAnsi="Trebuchet MS"/>
          <w:color w:val="000000"/>
          <w:sz w:val="24"/>
          <w:szCs w:val="24"/>
          <w:lang w:val="es-ES_tradnl" w:eastAsia="es-MX"/>
        </w:rPr>
      </w:pPr>
    </w:p>
    <w:p w14:paraId="361E38D5" w14:textId="14DB2D18" w:rsidR="00DC47E7" w:rsidRPr="00A04585" w:rsidRDefault="00DC47E7"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w:t>
      </w:r>
      <w:r w:rsidR="008D5210" w:rsidRPr="00A04585">
        <w:rPr>
          <w:rFonts w:ascii="Trebuchet MS" w:hAnsi="Trebuchet MS"/>
          <w:color w:val="000000"/>
          <w:sz w:val="24"/>
          <w:szCs w:val="24"/>
          <w:lang w:val="es-ES_tradnl" w:eastAsia="es-MX"/>
        </w:rPr>
        <w:t>n contraste</w:t>
      </w:r>
      <w:r w:rsidRPr="00A04585">
        <w:rPr>
          <w:rFonts w:ascii="Trebuchet MS" w:hAnsi="Trebuchet MS"/>
          <w:color w:val="000000"/>
          <w:sz w:val="24"/>
          <w:szCs w:val="24"/>
          <w:lang w:val="es-ES_tradnl" w:eastAsia="es-MX"/>
        </w:rPr>
        <w:t>, la cantidad de recursos público</w:t>
      </w:r>
      <w:r w:rsidR="00815D15" w:rsidRPr="00A04585">
        <w:rPr>
          <w:rFonts w:ascii="Trebuchet MS" w:hAnsi="Trebuchet MS"/>
          <w:color w:val="000000"/>
          <w:sz w:val="24"/>
          <w:szCs w:val="24"/>
          <w:lang w:val="es-ES_tradnl" w:eastAsia="es-MX"/>
        </w:rPr>
        <w:t>s que debe emplearse</w:t>
      </w:r>
      <w:r w:rsidRPr="00A04585">
        <w:rPr>
          <w:rFonts w:ascii="Trebuchet MS" w:hAnsi="Trebuchet MS"/>
          <w:color w:val="000000"/>
          <w:sz w:val="24"/>
          <w:szCs w:val="24"/>
          <w:lang w:val="es-ES_tradnl" w:eastAsia="es-MX"/>
        </w:rPr>
        <w:t xml:space="preserve"> para el financiamiento de los partidos locales está garantizad</w:t>
      </w:r>
      <w:r w:rsidR="004E39C1" w:rsidRPr="00A04585">
        <w:rPr>
          <w:rFonts w:ascii="Trebuchet MS" w:hAnsi="Trebuchet MS"/>
          <w:color w:val="000000"/>
          <w:sz w:val="24"/>
          <w:szCs w:val="24"/>
          <w:lang w:val="es-ES_tradnl" w:eastAsia="es-MX"/>
        </w:rPr>
        <w:t>a</w:t>
      </w:r>
      <w:r w:rsidRPr="00A04585">
        <w:rPr>
          <w:rFonts w:ascii="Trebuchet MS" w:hAnsi="Trebuchet MS"/>
          <w:color w:val="000000"/>
          <w:sz w:val="24"/>
          <w:szCs w:val="24"/>
          <w:lang w:val="es-ES_tradnl" w:eastAsia="es-MX"/>
        </w:rPr>
        <w:t xml:space="preserve"> por el artículo 51 de la Ley General de Partidos Políticos, de forma que según </w:t>
      </w:r>
      <w:r w:rsidR="004E39C1" w:rsidRPr="00A04585">
        <w:rPr>
          <w:rFonts w:ascii="Trebuchet MS" w:hAnsi="Trebuchet MS"/>
          <w:color w:val="000000"/>
          <w:sz w:val="24"/>
          <w:szCs w:val="24"/>
          <w:lang w:val="es-ES_tradnl" w:eastAsia="es-MX"/>
        </w:rPr>
        <w:t>lo establecido en</w:t>
      </w:r>
      <w:r w:rsidRPr="00A04585">
        <w:rPr>
          <w:rFonts w:ascii="Trebuchet MS" w:hAnsi="Trebuchet MS"/>
          <w:color w:val="000000"/>
          <w:sz w:val="24"/>
          <w:szCs w:val="24"/>
          <w:lang w:val="es-ES_tradnl" w:eastAsia="es-MX"/>
        </w:rPr>
        <w:t xml:space="preserve"> diversos precedentes por la Suprema Corte de Justicia de la Nación (dentro de los que destaca la mencionada acción de inconstitucionalidad relativa a la legislación electoral de Jalisco)</w:t>
      </w:r>
      <w:r w:rsidR="004E39C1" w:rsidRPr="00A04585">
        <w:rPr>
          <w:rFonts w:ascii="Trebuchet MS" w:hAnsi="Trebuchet MS"/>
          <w:color w:val="000000"/>
          <w:sz w:val="24"/>
          <w:szCs w:val="24"/>
          <w:lang w:val="es-ES_tradnl" w:eastAsia="es-MX"/>
        </w:rPr>
        <w:t xml:space="preserve"> los congresos </w:t>
      </w:r>
      <w:r w:rsidR="00815D15" w:rsidRPr="00A04585">
        <w:rPr>
          <w:rFonts w:ascii="Trebuchet MS" w:hAnsi="Trebuchet MS"/>
          <w:color w:val="000000"/>
          <w:sz w:val="24"/>
          <w:szCs w:val="24"/>
          <w:lang w:val="es-ES_tradnl" w:eastAsia="es-MX"/>
        </w:rPr>
        <w:t>locales</w:t>
      </w:r>
      <w:r w:rsidR="004E39C1" w:rsidRPr="00A04585">
        <w:rPr>
          <w:rFonts w:ascii="Trebuchet MS" w:hAnsi="Trebuchet MS"/>
          <w:color w:val="000000"/>
          <w:sz w:val="24"/>
          <w:szCs w:val="24"/>
          <w:lang w:val="es-ES_tradnl" w:eastAsia="es-MX"/>
        </w:rPr>
        <w:t xml:space="preserve"> carecen de facultades para modificar la bases para el cálculo del financiamiento que debe destinarse a los partidos políticos </w:t>
      </w:r>
      <w:r w:rsidR="00815D15" w:rsidRPr="00A04585">
        <w:rPr>
          <w:rFonts w:ascii="Trebuchet MS" w:hAnsi="Trebuchet MS"/>
          <w:color w:val="000000"/>
          <w:sz w:val="24"/>
          <w:szCs w:val="24"/>
          <w:lang w:val="es-ES_tradnl" w:eastAsia="es-MX"/>
        </w:rPr>
        <w:t>estatales</w:t>
      </w:r>
      <w:r w:rsidR="004E39C1" w:rsidRPr="00A04585">
        <w:rPr>
          <w:rFonts w:ascii="Trebuchet MS" w:hAnsi="Trebuchet MS"/>
          <w:color w:val="000000"/>
          <w:sz w:val="24"/>
          <w:szCs w:val="24"/>
          <w:lang w:val="es-ES_tradnl" w:eastAsia="es-MX"/>
        </w:rPr>
        <w:t>.</w:t>
      </w:r>
    </w:p>
    <w:p w14:paraId="38C8D75D" w14:textId="0BFAD0C6" w:rsidR="00CC690F" w:rsidRPr="00A04585" w:rsidRDefault="00CC690F" w:rsidP="002E7CFF">
      <w:pPr>
        <w:pStyle w:val="Sinespaciado"/>
        <w:jc w:val="both"/>
        <w:rPr>
          <w:rFonts w:ascii="Trebuchet MS" w:hAnsi="Trebuchet MS"/>
          <w:color w:val="000000"/>
          <w:sz w:val="24"/>
          <w:szCs w:val="24"/>
          <w:lang w:val="es-ES_tradnl" w:eastAsia="es-MX"/>
        </w:rPr>
      </w:pPr>
    </w:p>
    <w:p w14:paraId="7D8F07BA" w14:textId="77777777" w:rsidR="008D5210" w:rsidRPr="00A04585" w:rsidRDefault="00CC690F"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Po</w:t>
      </w:r>
      <w:r w:rsidR="00DC47E7" w:rsidRPr="00A04585">
        <w:rPr>
          <w:rFonts w:ascii="Trebuchet MS" w:hAnsi="Trebuchet MS"/>
          <w:color w:val="000000"/>
          <w:sz w:val="24"/>
          <w:szCs w:val="24"/>
          <w:lang w:val="es-ES_tradnl" w:eastAsia="es-MX"/>
        </w:rPr>
        <w:t xml:space="preserve">r otro lado, la Sala Superior </w:t>
      </w:r>
      <w:r w:rsidR="008D5210" w:rsidRPr="00A04585">
        <w:rPr>
          <w:rFonts w:ascii="Trebuchet MS" w:hAnsi="Trebuchet MS"/>
          <w:color w:val="000000"/>
          <w:sz w:val="24"/>
          <w:szCs w:val="24"/>
          <w:lang w:val="es-ES_tradnl" w:eastAsia="es-MX"/>
        </w:rPr>
        <w:t xml:space="preserve">del Tribunal Electoral del Poder Judicial de la Federación </w:t>
      </w:r>
      <w:r w:rsidR="00DC47E7" w:rsidRPr="00A04585">
        <w:rPr>
          <w:rFonts w:ascii="Trebuchet MS" w:hAnsi="Trebuchet MS"/>
          <w:color w:val="000000"/>
          <w:sz w:val="24"/>
          <w:szCs w:val="24"/>
          <w:lang w:val="es-ES_tradnl" w:eastAsia="es-MX"/>
        </w:rPr>
        <w:t>(en la opinión SUP-OP-15/2020 relativa a la acción de inconstitucionalidad en comento) señaló que el legislador jalisciense exce</w:t>
      </w:r>
      <w:r w:rsidR="00C459EF" w:rsidRPr="00A04585">
        <w:rPr>
          <w:rFonts w:ascii="Trebuchet MS" w:hAnsi="Trebuchet MS"/>
          <w:color w:val="000000"/>
          <w:sz w:val="24"/>
          <w:szCs w:val="24"/>
          <w:lang w:val="es-ES_tradnl" w:eastAsia="es-MX"/>
        </w:rPr>
        <w:t>dió su facultad legislativa al prever modalidades diversas para calcular y acceder al financiamiento público para los partidos locales, ya que en la Ley General de Partidos Políticos, se establecen bases claras a partir de las que debe asignarse el financiamiento a esos institutos políticos</w:t>
      </w:r>
      <w:r w:rsidR="008D5210" w:rsidRPr="00A04585">
        <w:rPr>
          <w:rFonts w:ascii="Trebuchet MS" w:hAnsi="Trebuchet MS"/>
          <w:color w:val="000000"/>
          <w:sz w:val="24"/>
          <w:szCs w:val="24"/>
          <w:lang w:val="es-ES_tradnl" w:eastAsia="es-MX"/>
        </w:rPr>
        <w:t>.</w:t>
      </w:r>
    </w:p>
    <w:p w14:paraId="6DC3800F" w14:textId="77777777" w:rsidR="008D5210" w:rsidRPr="00242547" w:rsidRDefault="008D5210" w:rsidP="002E7CFF">
      <w:pPr>
        <w:pStyle w:val="Sinespaciado"/>
        <w:jc w:val="both"/>
        <w:rPr>
          <w:rFonts w:ascii="Trebuchet MS" w:hAnsi="Trebuchet MS"/>
          <w:color w:val="000000"/>
          <w:sz w:val="24"/>
          <w:szCs w:val="24"/>
          <w:lang w:val="es-ES_tradnl" w:eastAsia="es-MX"/>
        </w:rPr>
      </w:pPr>
    </w:p>
    <w:p w14:paraId="3027E212" w14:textId="15B04B54" w:rsidR="00CC690F" w:rsidRPr="00A04585" w:rsidRDefault="008D5210"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Por tanto, en opinión de</w:t>
      </w:r>
      <w:r w:rsidR="00C459EF" w:rsidRPr="00A04585">
        <w:rPr>
          <w:rFonts w:ascii="Trebuchet MS" w:hAnsi="Trebuchet MS"/>
          <w:color w:val="000000"/>
          <w:sz w:val="24"/>
          <w:szCs w:val="24"/>
          <w:lang w:val="es-ES_tradnl" w:eastAsia="es-MX"/>
        </w:rPr>
        <w:t xml:space="preserve"> ese órgano de justicia, </w:t>
      </w:r>
      <w:r w:rsidRPr="00A04585">
        <w:rPr>
          <w:rFonts w:ascii="Trebuchet MS" w:hAnsi="Trebuchet MS"/>
          <w:color w:val="000000"/>
          <w:sz w:val="24"/>
          <w:szCs w:val="24"/>
          <w:lang w:val="es-ES_tradnl" w:eastAsia="es-MX"/>
        </w:rPr>
        <w:t>resulta</w:t>
      </w:r>
      <w:r w:rsidR="00C459EF" w:rsidRPr="00A04585">
        <w:rPr>
          <w:rFonts w:ascii="Trebuchet MS" w:hAnsi="Trebuchet MS"/>
          <w:color w:val="000000"/>
          <w:sz w:val="24"/>
          <w:szCs w:val="24"/>
          <w:lang w:val="es-ES_tradnl" w:eastAsia="es-MX"/>
        </w:rPr>
        <w:t xml:space="preserve"> inconstitucional que el artículo 13, base IV, inciso a) de la Constitución local, señalara que en año no electoral el financiamiento público para partidos locales se calcularía multiplicando el padrón electoral por el veinte por ciento del valor diario de la Unidad de Medida y Actualización</w:t>
      </w:r>
      <w:r w:rsidR="001D04A7" w:rsidRPr="00A04585">
        <w:rPr>
          <w:rFonts w:ascii="Trebuchet MS" w:hAnsi="Trebuchet MS"/>
          <w:color w:val="000000"/>
          <w:sz w:val="24"/>
          <w:szCs w:val="24"/>
          <w:lang w:val="es-ES_tradnl" w:eastAsia="es-MX"/>
        </w:rPr>
        <w:t xml:space="preserve">. En relación con ello cabe destacar que el contenido de esa opinión es conforme con lo que sostuvo </w:t>
      </w:r>
      <w:r w:rsidR="002C1416" w:rsidRPr="00A04585">
        <w:rPr>
          <w:rFonts w:ascii="Trebuchet MS" w:hAnsi="Trebuchet MS"/>
          <w:color w:val="000000"/>
          <w:sz w:val="24"/>
          <w:szCs w:val="24"/>
          <w:lang w:val="es-ES_tradnl" w:eastAsia="es-MX"/>
        </w:rPr>
        <w:t>el Pleno de la Suprema Corte al de Justicia de la Nación al decretar la invalidez de la porción normativa que tenía el efecto de sujetar a los partidos locales a esa forma de calcular el financiamiento</w:t>
      </w:r>
      <w:r w:rsidR="001D04A7" w:rsidRPr="00A04585">
        <w:rPr>
          <w:rFonts w:ascii="Trebuchet MS" w:hAnsi="Trebuchet MS"/>
          <w:color w:val="000000"/>
          <w:sz w:val="24"/>
          <w:szCs w:val="24"/>
          <w:lang w:val="es-ES_tradnl" w:eastAsia="es-MX"/>
        </w:rPr>
        <w:t xml:space="preserve"> destinado a ellos.</w:t>
      </w:r>
    </w:p>
    <w:p w14:paraId="2746937C" w14:textId="5994B7D7" w:rsidR="00BC25B8" w:rsidRPr="00A04585" w:rsidRDefault="00BC25B8" w:rsidP="002E7CFF">
      <w:pPr>
        <w:pStyle w:val="Sinespaciado"/>
        <w:jc w:val="both"/>
        <w:rPr>
          <w:rFonts w:ascii="Trebuchet MS" w:hAnsi="Trebuchet MS"/>
          <w:color w:val="000000"/>
          <w:sz w:val="24"/>
          <w:szCs w:val="24"/>
          <w:lang w:val="es-ES_tradnl" w:eastAsia="es-MX"/>
        </w:rPr>
      </w:pPr>
    </w:p>
    <w:p w14:paraId="2BC8892E" w14:textId="368BADDA" w:rsidR="00875D53" w:rsidRPr="00A04585" w:rsidRDefault="00875D5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consecuencia, lo correcto será determinar en primer lugar, el “monto total” de financiamiento público anual </w:t>
      </w:r>
      <w:r w:rsidR="009A5046" w:rsidRPr="00A04585">
        <w:rPr>
          <w:rFonts w:ascii="Trebuchet MS" w:hAnsi="Trebuchet MS"/>
          <w:color w:val="000000"/>
          <w:sz w:val="24"/>
          <w:szCs w:val="24"/>
          <w:lang w:val="es-ES_tradnl" w:eastAsia="es-MX"/>
        </w:rPr>
        <w:t>para</w:t>
      </w:r>
      <w:r w:rsidRPr="00A04585">
        <w:rPr>
          <w:rFonts w:ascii="Trebuchet MS" w:hAnsi="Trebuchet MS"/>
          <w:color w:val="000000"/>
          <w:sz w:val="24"/>
          <w:szCs w:val="24"/>
          <w:lang w:val="es-ES_tradnl" w:eastAsia="es-MX"/>
        </w:rPr>
        <w:t xml:space="preserve"> los partidos políticos locales por sus actividades ordinarias permanentes</w:t>
      </w:r>
      <w:r w:rsidR="009A5046"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multiplicando el número total de personas inscritas en el padrón electoral del Estado, a la fecha de corte de julio de cada año</w:t>
      </w:r>
      <w:r w:rsidR="009A5046" w:rsidRPr="00A04585">
        <w:rPr>
          <w:rFonts w:ascii="Trebuchet MS" w:hAnsi="Trebuchet MS"/>
          <w:color w:val="000000"/>
          <w:sz w:val="24"/>
          <w:szCs w:val="24"/>
          <w:lang w:val="es-ES_tradnl" w:eastAsia="es-MX"/>
        </w:rPr>
        <w:t>,</w:t>
      </w:r>
      <w:r w:rsidR="00E96433" w:rsidRPr="00A04585">
        <w:rPr>
          <w:rFonts w:ascii="Trebuchet MS" w:hAnsi="Trebuchet MS"/>
          <w:color w:val="000000"/>
          <w:sz w:val="24"/>
          <w:szCs w:val="24"/>
          <w:lang w:val="es-ES_tradnl" w:eastAsia="es-MX"/>
        </w:rPr>
        <w:t xml:space="preserve"> por el sesenta y cinco por ciento del valor de la Unidad de Medida y Actualización.</w:t>
      </w:r>
    </w:p>
    <w:p w14:paraId="186D3D27" w14:textId="31CFD2EA" w:rsidR="00E96433" w:rsidRPr="00242547" w:rsidRDefault="00E96433" w:rsidP="002E7CFF">
      <w:pPr>
        <w:pStyle w:val="Sinespaciado"/>
        <w:jc w:val="both"/>
        <w:rPr>
          <w:rFonts w:ascii="Trebuchet MS" w:hAnsi="Trebuchet MS"/>
          <w:color w:val="000000"/>
          <w:sz w:val="24"/>
          <w:szCs w:val="24"/>
          <w:lang w:val="es-ES_tradnl" w:eastAsia="es-MX"/>
        </w:rPr>
      </w:pPr>
    </w:p>
    <w:p w14:paraId="0CDB3B5E" w14:textId="141C2B2D" w:rsidR="00E96433" w:rsidRPr="00A04585" w:rsidRDefault="00E9643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Hecho lo anterior, el segundo paso consiste en distribuir ese monto total entre los partidos locales a partir de las particularidades del caso concreto.</w:t>
      </w:r>
    </w:p>
    <w:p w14:paraId="17B11878" w14:textId="00047323" w:rsidR="00E96433" w:rsidRPr="00A04585" w:rsidRDefault="00E96433" w:rsidP="002E7CFF">
      <w:pPr>
        <w:pStyle w:val="Sinespaciado"/>
        <w:jc w:val="both"/>
        <w:rPr>
          <w:rFonts w:ascii="Trebuchet MS" w:hAnsi="Trebuchet MS"/>
          <w:color w:val="000000"/>
          <w:sz w:val="24"/>
          <w:szCs w:val="24"/>
          <w:lang w:val="es-ES_tradnl" w:eastAsia="es-MX"/>
        </w:rPr>
      </w:pPr>
    </w:p>
    <w:p w14:paraId="45C1BA64" w14:textId="77A100B4" w:rsidR="00E96433" w:rsidRPr="00A04585" w:rsidRDefault="00E9643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Por otra parte, para </w:t>
      </w:r>
      <w:r w:rsidR="00054D90" w:rsidRPr="00A04585">
        <w:rPr>
          <w:rFonts w:ascii="Trebuchet MS" w:hAnsi="Trebuchet MS"/>
          <w:color w:val="000000"/>
          <w:sz w:val="24"/>
          <w:szCs w:val="24"/>
          <w:lang w:val="es-ES_tradnl" w:eastAsia="es-MX"/>
        </w:rPr>
        <w:t>e</w:t>
      </w:r>
      <w:r w:rsidRPr="00A04585">
        <w:rPr>
          <w:rFonts w:ascii="Trebuchet MS" w:hAnsi="Trebuchet MS"/>
          <w:color w:val="000000"/>
          <w:sz w:val="24"/>
          <w:szCs w:val="24"/>
          <w:lang w:val="es-ES_tradnl" w:eastAsia="es-MX"/>
        </w:rPr>
        <w:t>l cálculo del monto total que podrá destinarse a los partidos políticos nacionales, en primer lugar, debe multiplicarse la cantidad de personas que conforman el padrón electoral de Jalisco con corte a julio de cada año</w:t>
      </w:r>
      <w:r w:rsidR="00054D90"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por el veinte por ciento del valor de la Unidad de Medida y Actualización.</w:t>
      </w:r>
    </w:p>
    <w:p w14:paraId="76EFA87C" w14:textId="631F92FB" w:rsidR="00E96433" w:rsidRPr="00A04585" w:rsidRDefault="00E96433" w:rsidP="002E7CFF">
      <w:pPr>
        <w:pStyle w:val="Sinespaciado"/>
        <w:jc w:val="both"/>
        <w:rPr>
          <w:rFonts w:ascii="Trebuchet MS" w:hAnsi="Trebuchet MS"/>
          <w:color w:val="000000"/>
          <w:sz w:val="24"/>
          <w:szCs w:val="24"/>
          <w:lang w:val="es-ES_tradnl" w:eastAsia="es-MX"/>
        </w:rPr>
      </w:pPr>
    </w:p>
    <w:p w14:paraId="4D56A3CA" w14:textId="1FFDED98" w:rsidR="00E96433" w:rsidRPr="00A04585" w:rsidRDefault="00E9643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Realizado el mencionado ejercicio, deberá repartirse el recurso </w:t>
      </w:r>
      <w:r w:rsidR="00D56737" w:rsidRPr="00A04585">
        <w:rPr>
          <w:rFonts w:ascii="Trebuchet MS" w:hAnsi="Trebuchet MS"/>
          <w:color w:val="000000"/>
          <w:sz w:val="24"/>
          <w:szCs w:val="24"/>
          <w:lang w:val="es-ES_tradnl" w:eastAsia="es-MX"/>
        </w:rPr>
        <w:t xml:space="preserve">disponible </w:t>
      </w:r>
      <w:r w:rsidRPr="00A04585">
        <w:rPr>
          <w:rFonts w:ascii="Trebuchet MS" w:hAnsi="Trebuchet MS"/>
          <w:color w:val="000000"/>
          <w:sz w:val="24"/>
          <w:szCs w:val="24"/>
          <w:lang w:val="es-ES_tradnl" w:eastAsia="es-MX"/>
        </w:rPr>
        <w:t>conforme a las bases legales previstas para ello.</w:t>
      </w:r>
    </w:p>
    <w:p w14:paraId="2DFB667C" w14:textId="2097783E" w:rsidR="00E96433" w:rsidRPr="00242547" w:rsidRDefault="00E96433" w:rsidP="002E7CFF">
      <w:pPr>
        <w:pStyle w:val="Sinespaciado"/>
        <w:jc w:val="both"/>
        <w:rPr>
          <w:rFonts w:ascii="Trebuchet MS" w:hAnsi="Trebuchet MS"/>
          <w:color w:val="000000"/>
          <w:sz w:val="24"/>
          <w:szCs w:val="24"/>
          <w:lang w:val="es-ES_tradnl" w:eastAsia="es-MX"/>
        </w:rPr>
      </w:pPr>
    </w:p>
    <w:p w14:paraId="6DECAA27" w14:textId="330D4C7F" w:rsidR="00E96433" w:rsidRPr="00A04585" w:rsidRDefault="00E9643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Entonces, de la interpretación armónica de lo previsto en las mencionadas sentencias, así como de lo establecido en el artículo 51 de la Ley General de Partidos Políticos y el diverso numeral 13, base IV, inciso a) de la Constitución Política del Estado de Jalisco, </w:t>
      </w:r>
      <w:r w:rsidR="00294A73" w:rsidRPr="00A04585">
        <w:rPr>
          <w:rFonts w:ascii="Trebuchet MS" w:hAnsi="Trebuchet MS"/>
          <w:color w:val="000000"/>
          <w:sz w:val="24"/>
          <w:szCs w:val="24"/>
          <w:lang w:val="es-ES_tradnl" w:eastAsia="es-MX"/>
        </w:rPr>
        <w:t>ambos numerales resultan aplicables para calcular el monto total del financiamiento que debe emplearse para los partidos políticos, en los términos ya precisados.</w:t>
      </w:r>
    </w:p>
    <w:p w14:paraId="72F999A4" w14:textId="416FC837" w:rsidR="00BC25B8" w:rsidRPr="00A04585" w:rsidRDefault="00BC25B8" w:rsidP="002E7CFF">
      <w:pPr>
        <w:pStyle w:val="Sinespaciado"/>
        <w:jc w:val="both"/>
        <w:rPr>
          <w:rFonts w:ascii="Trebuchet MS" w:hAnsi="Trebuchet MS"/>
          <w:color w:val="000000"/>
          <w:sz w:val="24"/>
          <w:szCs w:val="24"/>
          <w:lang w:val="es-ES_tradnl" w:eastAsia="es-MX"/>
        </w:rPr>
      </w:pPr>
    </w:p>
    <w:p w14:paraId="10D7EE00" w14:textId="06123C76" w:rsidR="00294A73" w:rsidRPr="00A04585" w:rsidRDefault="006578E6"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 xml:space="preserve">V. </w:t>
      </w:r>
      <w:r w:rsidR="00A40866" w:rsidRPr="00A04585">
        <w:rPr>
          <w:rFonts w:ascii="Trebuchet MS" w:hAnsi="Trebuchet MS"/>
          <w:b/>
          <w:bCs/>
          <w:color w:val="000000"/>
          <w:sz w:val="24"/>
          <w:szCs w:val="24"/>
          <w:lang w:val="es-ES_tradnl" w:eastAsia="es-MX"/>
        </w:rPr>
        <w:t>D</w:t>
      </w:r>
      <w:r w:rsidRPr="00A04585">
        <w:rPr>
          <w:rFonts w:ascii="Trebuchet MS" w:hAnsi="Trebuchet MS"/>
          <w:b/>
          <w:bCs/>
          <w:color w:val="000000"/>
          <w:sz w:val="24"/>
          <w:szCs w:val="24"/>
          <w:lang w:val="es-ES_tradnl" w:eastAsia="es-MX"/>
        </w:rPr>
        <w:t xml:space="preserve">EL MONTO TOTAL DE FINANCIAMIENTO PÚBLICO LOCAL PARA LOS PARTIDOS NACIONALES Y ESTATALES PARA ACTIVIDADES ORDINARIAS. </w:t>
      </w:r>
      <w:r w:rsidR="00046377" w:rsidRPr="00A04585">
        <w:rPr>
          <w:rFonts w:ascii="Trebuchet MS" w:hAnsi="Trebuchet MS"/>
          <w:color w:val="000000"/>
          <w:sz w:val="24"/>
          <w:szCs w:val="24"/>
          <w:lang w:val="es-ES_tradnl" w:eastAsia="es-MX"/>
        </w:rPr>
        <w:t>Como ha quedado precisado, los recursos públicos que deben destinarse a los partidos</w:t>
      </w:r>
      <w:r w:rsidR="00054D90" w:rsidRPr="00A04585">
        <w:rPr>
          <w:rFonts w:ascii="Trebuchet MS" w:hAnsi="Trebuchet MS"/>
          <w:color w:val="000000"/>
          <w:sz w:val="24"/>
          <w:szCs w:val="24"/>
          <w:lang w:val="es-ES_tradnl" w:eastAsia="es-MX"/>
        </w:rPr>
        <w:t xml:space="preserve"> políticos</w:t>
      </w:r>
      <w:r w:rsidR="00046377" w:rsidRPr="00A04585">
        <w:rPr>
          <w:rFonts w:ascii="Trebuchet MS" w:hAnsi="Trebuchet MS"/>
          <w:color w:val="000000"/>
          <w:sz w:val="24"/>
          <w:szCs w:val="24"/>
          <w:lang w:val="es-ES_tradnl" w:eastAsia="es-MX"/>
        </w:rPr>
        <w:t xml:space="preserve"> nac</w:t>
      </w:r>
      <w:r w:rsidR="005F6E77" w:rsidRPr="00A04585">
        <w:rPr>
          <w:rFonts w:ascii="Trebuchet MS" w:hAnsi="Trebuchet MS"/>
          <w:color w:val="000000"/>
          <w:sz w:val="24"/>
          <w:szCs w:val="24"/>
          <w:lang w:val="es-ES_tradnl" w:eastAsia="es-MX"/>
        </w:rPr>
        <w:t>ionales con acreditación en el e</w:t>
      </w:r>
      <w:r w:rsidR="00046377" w:rsidRPr="00A04585">
        <w:rPr>
          <w:rFonts w:ascii="Trebuchet MS" w:hAnsi="Trebuchet MS"/>
          <w:color w:val="000000"/>
          <w:sz w:val="24"/>
          <w:szCs w:val="24"/>
          <w:lang w:val="es-ES_tradnl" w:eastAsia="es-MX"/>
        </w:rPr>
        <w:t xml:space="preserve">stado </w:t>
      </w:r>
      <w:r w:rsidR="00A40866" w:rsidRPr="00A04585">
        <w:rPr>
          <w:rFonts w:ascii="Trebuchet MS" w:hAnsi="Trebuchet MS"/>
          <w:color w:val="000000"/>
          <w:sz w:val="24"/>
          <w:szCs w:val="24"/>
          <w:lang w:val="es-ES_tradnl" w:eastAsia="es-MX"/>
        </w:rPr>
        <w:t xml:space="preserve">que tienen derecho a recibirlo </w:t>
      </w:r>
      <w:r w:rsidR="00046377" w:rsidRPr="00A04585">
        <w:rPr>
          <w:rFonts w:ascii="Trebuchet MS" w:hAnsi="Trebuchet MS"/>
          <w:color w:val="000000"/>
          <w:sz w:val="24"/>
          <w:szCs w:val="24"/>
          <w:lang w:val="es-ES_tradnl" w:eastAsia="es-MX"/>
        </w:rPr>
        <w:t xml:space="preserve">y los </w:t>
      </w:r>
      <w:r w:rsidR="00054D90" w:rsidRPr="00A04585">
        <w:rPr>
          <w:rFonts w:ascii="Trebuchet MS" w:hAnsi="Trebuchet MS"/>
          <w:color w:val="000000"/>
          <w:sz w:val="24"/>
          <w:szCs w:val="24"/>
          <w:lang w:val="es-ES_tradnl" w:eastAsia="es-MX"/>
        </w:rPr>
        <w:t>partidos políticos locales</w:t>
      </w:r>
      <w:r w:rsidR="00046377" w:rsidRPr="00A04585">
        <w:rPr>
          <w:rFonts w:ascii="Trebuchet MS" w:hAnsi="Trebuchet MS"/>
          <w:color w:val="000000"/>
          <w:sz w:val="24"/>
          <w:szCs w:val="24"/>
          <w:lang w:val="es-ES_tradnl" w:eastAsia="es-MX"/>
        </w:rPr>
        <w:t xml:space="preserve"> con re</w:t>
      </w:r>
      <w:r w:rsidR="00B80E46" w:rsidRPr="00A04585">
        <w:rPr>
          <w:rFonts w:ascii="Trebuchet MS" w:hAnsi="Trebuchet MS"/>
          <w:color w:val="000000"/>
          <w:sz w:val="24"/>
          <w:szCs w:val="24"/>
          <w:lang w:val="es-ES_tradnl" w:eastAsia="es-MX"/>
        </w:rPr>
        <w:t>gistro</w:t>
      </w:r>
      <w:r w:rsidR="00046377" w:rsidRPr="00A04585">
        <w:rPr>
          <w:rFonts w:ascii="Trebuchet MS" w:hAnsi="Trebuchet MS"/>
          <w:color w:val="000000"/>
          <w:sz w:val="24"/>
          <w:szCs w:val="24"/>
          <w:lang w:val="es-ES_tradnl" w:eastAsia="es-MX"/>
        </w:rPr>
        <w:t xml:space="preserve"> estatal, tienen una base de cálculo </w:t>
      </w:r>
      <w:r w:rsidR="00054D90" w:rsidRPr="00A04585">
        <w:rPr>
          <w:rFonts w:ascii="Trebuchet MS" w:hAnsi="Trebuchet MS"/>
          <w:color w:val="000000"/>
          <w:sz w:val="24"/>
          <w:szCs w:val="24"/>
          <w:lang w:val="es-ES_tradnl" w:eastAsia="es-MX"/>
        </w:rPr>
        <w:t xml:space="preserve">distinta </w:t>
      </w:r>
      <w:r w:rsidR="00046377" w:rsidRPr="00A04585">
        <w:rPr>
          <w:rFonts w:ascii="Trebuchet MS" w:hAnsi="Trebuchet MS"/>
          <w:color w:val="000000"/>
          <w:sz w:val="24"/>
          <w:szCs w:val="24"/>
          <w:lang w:val="es-ES_tradnl" w:eastAsia="es-MX"/>
        </w:rPr>
        <w:t xml:space="preserve">por lo que </w:t>
      </w:r>
      <w:r w:rsidR="003120FD" w:rsidRPr="00A04585">
        <w:rPr>
          <w:rFonts w:ascii="Trebuchet MS" w:hAnsi="Trebuchet MS"/>
          <w:color w:val="000000"/>
          <w:sz w:val="24"/>
          <w:szCs w:val="24"/>
          <w:lang w:val="es-ES_tradnl" w:eastAsia="es-MX"/>
        </w:rPr>
        <w:t>deben ser cuantificados por separado, como si se tratara de dos bolsas de</w:t>
      </w:r>
      <w:r w:rsidR="00B80E46" w:rsidRPr="00A04585">
        <w:rPr>
          <w:rFonts w:ascii="Trebuchet MS" w:hAnsi="Trebuchet MS"/>
          <w:color w:val="000000"/>
          <w:sz w:val="24"/>
          <w:szCs w:val="24"/>
          <w:lang w:val="es-ES_tradnl" w:eastAsia="es-MX"/>
        </w:rPr>
        <w:t xml:space="preserve"> dinero, de forma que en lo sucesivo será utilizado el término “bolsa” para referir </w:t>
      </w:r>
      <w:r w:rsidR="00054D90" w:rsidRPr="00A04585">
        <w:rPr>
          <w:rFonts w:ascii="Trebuchet MS" w:hAnsi="Trebuchet MS"/>
          <w:color w:val="000000"/>
          <w:sz w:val="24"/>
          <w:szCs w:val="24"/>
          <w:lang w:val="es-ES_tradnl" w:eastAsia="es-MX"/>
        </w:rPr>
        <w:t xml:space="preserve">a cada uno de los montos </w:t>
      </w:r>
      <w:r w:rsidR="00B80E46" w:rsidRPr="00A04585">
        <w:rPr>
          <w:rFonts w:ascii="Trebuchet MS" w:hAnsi="Trebuchet MS"/>
          <w:color w:val="000000"/>
          <w:sz w:val="24"/>
          <w:szCs w:val="24"/>
          <w:lang w:val="es-ES_tradnl" w:eastAsia="es-MX"/>
        </w:rPr>
        <w:t>total</w:t>
      </w:r>
      <w:r w:rsidR="00054D90" w:rsidRPr="00A04585">
        <w:rPr>
          <w:rFonts w:ascii="Trebuchet MS" w:hAnsi="Trebuchet MS"/>
          <w:color w:val="000000"/>
          <w:sz w:val="24"/>
          <w:szCs w:val="24"/>
          <w:lang w:val="es-ES_tradnl" w:eastAsia="es-MX"/>
        </w:rPr>
        <w:t>es</w:t>
      </w:r>
      <w:r w:rsidR="00B80E46" w:rsidRPr="00A04585">
        <w:rPr>
          <w:rFonts w:ascii="Trebuchet MS" w:hAnsi="Trebuchet MS"/>
          <w:color w:val="000000"/>
          <w:sz w:val="24"/>
          <w:szCs w:val="24"/>
          <w:lang w:val="es-ES_tradnl" w:eastAsia="es-MX"/>
        </w:rPr>
        <w:t xml:space="preserve"> del financiamiento que corresponde a los partidos políticos nacionales</w:t>
      </w:r>
      <w:r w:rsidR="00054D90" w:rsidRPr="00A04585">
        <w:rPr>
          <w:rFonts w:ascii="Trebuchet MS" w:hAnsi="Trebuchet MS"/>
          <w:color w:val="000000"/>
          <w:sz w:val="24"/>
          <w:szCs w:val="24"/>
          <w:lang w:val="es-ES_tradnl" w:eastAsia="es-MX"/>
        </w:rPr>
        <w:t>,</w:t>
      </w:r>
      <w:r w:rsidR="00B80E46" w:rsidRPr="00A04585">
        <w:rPr>
          <w:rFonts w:ascii="Trebuchet MS" w:hAnsi="Trebuchet MS"/>
          <w:color w:val="000000"/>
          <w:sz w:val="24"/>
          <w:szCs w:val="24"/>
          <w:lang w:val="es-ES_tradnl" w:eastAsia="es-MX"/>
        </w:rPr>
        <w:t xml:space="preserve"> </w:t>
      </w:r>
      <w:r w:rsidR="00324146" w:rsidRPr="00A04585">
        <w:rPr>
          <w:rFonts w:ascii="Trebuchet MS" w:hAnsi="Trebuchet MS"/>
          <w:color w:val="000000"/>
          <w:sz w:val="24"/>
          <w:szCs w:val="24"/>
          <w:lang w:val="es-ES_tradnl" w:eastAsia="es-MX"/>
        </w:rPr>
        <w:t>por un lado, y</w:t>
      </w:r>
      <w:r w:rsidR="00B80E46" w:rsidRPr="00A04585">
        <w:rPr>
          <w:rFonts w:ascii="Trebuchet MS" w:hAnsi="Trebuchet MS"/>
          <w:color w:val="000000"/>
          <w:sz w:val="24"/>
          <w:szCs w:val="24"/>
          <w:lang w:val="es-ES_tradnl" w:eastAsia="es-MX"/>
        </w:rPr>
        <w:t xml:space="preserve"> a los</w:t>
      </w:r>
      <w:r w:rsidR="00324146" w:rsidRPr="00A04585">
        <w:rPr>
          <w:rFonts w:ascii="Trebuchet MS" w:hAnsi="Trebuchet MS"/>
          <w:color w:val="000000"/>
          <w:sz w:val="24"/>
          <w:szCs w:val="24"/>
          <w:lang w:val="es-ES_tradnl" w:eastAsia="es-MX"/>
        </w:rPr>
        <w:t xml:space="preserve"> partidos políticos</w:t>
      </w:r>
      <w:r w:rsidR="00B80E46" w:rsidRPr="00A04585">
        <w:rPr>
          <w:rFonts w:ascii="Trebuchet MS" w:hAnsi="Trebuchet MS"/>
          <w:color w:val="000000"/>
          <w:sz w:val="24"/>
          <w:szCs w:val="24"/>
          <w:lang w:val="es-ES_tradnl" w:eastAsia="es-MX"/>
        </w:rPr>
        <w:t xml:space="preserve"> locales</w:t>
      </w:r>
      <w:r w:rsidR="00324146" w:rsidRPr="00A04585">
        <w:rPr>
          <w:rFonts w:ascii="Trebuchet MS" w:hAnsi="Trebuchet MS"/>
          <w:color w:val="000000"/>
          <w:sz w:val="24"/>
          <w:szCs w:val="24"/>
          <w:lang w:val="es-ES_tradnl" w:eastAsia="es-MX"/>
        </w:rPr>
        <w:t>, por el otro</w:t>
      </w:r>
      <w:r w:rsidR="00B80E46" w:rsidRPr="00A04585">
        <w:rPr>
          <w:rFonts w:ascii="Trebuchet MS" w:hAnsi="Trebuchet MS"/>
          <w:color w:val="000000"/>
          <w:sz w:val="24"/>
          <w:szCs w:val="24"/>
          <w:lang w:val="es-ES_tradnl" w:eastAsia="es-MX"/>
        </w:rPr>
        <w:t>.</w:t>
      </w:r>
    </w:p>
    <w:p w14:paraId="38C0D3A5" w14:textId="076BF2E5" w:rsidR="003120FD" w:rsidRPr="00242547" w:rsidRDefault="003120FD" w:rsidP="002E7CFF">
      <w:pPr>
        <w:pStyle w:val="Sinespaciado"/>
        <w:jc w:val="both"/>
        <w:rPr>
          <w:rFonts w:ascii="Trebuchet MS" w:hAnsi="Trebuchet MS"/>
          <w:color w:val="000000"/>
          <w:sz w:val="24"/>
          <w:szCs w:val="24"/>
          <w:lang w:val="es-ES_tradnl" w:eastAsia="es-MX"/>
        </w:rPr>
      </w:pPr>
    </w:p>
    <w:p w14:paraId="57D24870" w14:textId="3C543A68" w:rsidR="000871AD" w:rsidRPr="00A04585" w:rsidRDefault="002C404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La primera</w:t>
      </w:r>
      <w:r w:rsidR="00B80E46" w:rsidRPr="00A04585">
        <w:rPr>
          <w:rFonts w:ascii="Trebuchet MS" w:hAnsi="Trebuchet MS"/>
          <w:color w:val="000000"/>
          <w:sz w:val="24"/>
          <w:szCs w:val="24"/>
          <w:lang w:val="es-ES_tradnl" w:eastAsia="es-MX"/>
        </w:rPr>
        <w:t xml:space="preserve"> bolsa</w:t>
      </w:r>
      <w:r w:rsidRPr="00A04585">
        <w:rPr>
          <w:rFonts w:ascii="Trebuchet MS" w:hAnsi="Trebuchet MS"/>
          <w:color w:val="000000"/>
          <w:sz w:val="24"/>
          <w:szCs w:val="24"/>
          <w:lang w:val="es-ES_tradnl" w:eastAsia="es-MX"/>
        </w:rPr>
        <w:t xml:space="preserve"> es la correspondiente a los partidos políticos nacionales</w:t>
      </w:r>
      <w:r w:rsidR="00324146"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que será el resultado de multiplicar el número de personas </w:t>
      </w:r>
      <w:r w:rsidR="006673BF" w:rsidRPr="00A04585">
        <w:rPr>
          <w:rFonts w:ascii="Trebuchet MS" w:hAnsi="Trebuchet MS"/>
          <w:color w:val="000000"/>
          <w:sz w:val="24"/>
          <w:szCs w:val="24"/>
          <w:lang w:val="es-ES_tradnl" w:eastAsia="es-MX"/>
        </w:rPr>
        <w:t xml:space="preserve">inscritas en </w:t>
      </w:r>
      <w:r w:rsidRPr="00A04585">
        <w:rPr>
          <w:rFonts w:ascii="Trebuchet MS" w:hAnsi="Trebuchet MS"/>
          <w:color w:val="000000"/>
          <w:sz w:val="24"/>
          <w:szCs w:val="24"/>
          <w:lang w:val="es-ES_tradnl" w:eastAsia="es-MX"/>
        </w:rPr>
        <w:t xml:space="preserve">el padrón electoral </w:t>
      </w:r>
      <w:r w:rsidR="00617129" w:rsidRPr="00A04585">
        <w:rPr>
          <w:rFonts w:ascii="Trebuchet MS" w:hAnsi="Trebuchet MS"/>
          <w:color w:val="000000"/>
          <w:sz w:val="24"/>
          <w:szCs w:val="24"/>
          <w:lang w:val="es-ES_tradnl" w:eastAsia="es-MX"/>
        </w:rPr>
        <w:t xml:space="preserve">de Jalisco </w:t>
      </w:r>
      <w:r w:rsidRPr="00A04585">
        <w:rPr>
          <w:rFonts w:ascii="Trebuchet MS" w:hAnsi="Trebuchet MS"/>
          <w:color w:val="000000"/>
          <w:sz w:val="24"/>
          <w:szCs w:val="24"/>
          <w:lang w:val="es-ES_tradnl" w:eastAsia="es-MX"/>
        </w:rPr>
        <w:t xml:space="preserve">con </w:t>
      </w:r>
      <w:r w:rsidR="006673BF" w:rsidRPr="00A04585">
        <w:rPr>
          <w:rFonts w:ascii="Trebuchet MS" w:hAnsi="Trebuchet MS"/>
          <w:color w:val="000000"/>
          <w:sz w:val="24"/>
          <w:szCs w:val="24"/>
          <w:lang w:val="es-ES_tradnl" w:eastAsia="es-MX"/>
        </w:rPr>
        <w:t xml:space="preserve">fecha de </w:t>
      </w:r>
      <w:r w:rsidRPr="00A04585">
        <w:rPr>
          <w:rFonts w:ascii="Trebuchet MS" w:hAnsi="Trebuchet MS"/>
          <w:color w:val="000000"/>
          <w:sz w:val="24"/>
          <w:szCs w:val="24"/>
          <w:lang w:val="es-ES_tradnl" w:eastAsia="es-MX"/>
        </w:rPr>
        <w:t xml:space="preserve">corte al </w:t>
      </w:r>
      <w:r w:rsidR="002D73FF" w:rsidRPr="00A04585">
        <w:rPr>
          <w:rFonts w:ascii="Trebuchet MS" w:hAnsi="Trebuchet MS"/>
          <w:color w:val="000000"/>
          <w:sz w:val="24"/>
          <w:szCs w:val="24"/>
          <w:lang w:val="es-ES_tradnl" w:eastAsia="es-MX"/>
        </w:rPr>
        <w:t>quince</w:t>
      </w:r>
      <w:r w:rsidRPr="00A04585">
        <w:rPr>
          <w:rFonts w:ascii="Trebuchet MS" w:hAnsi="Trebuchet MS"/>
          <w:color w:val="000000"/>
          <w:sz w:val="24"/>
          <w:szCs w:val="24"/>
          <w:lang w:val="es-ES_tradnl" w:eastAsia="es-MX"/>
        </w:rPr>
        <w:t xml:space="preserve"> de julio de la presente anualidad, por el veinte por ciento del valor de la unidad de medida y actualización</w:t>
      </w:r>
      <w:r w:rsidR="00617129" w:rsidRPr="00A04585">
        <w:rPr>
          <w:rFonts w:ascii="Trebuchet MS" w:hAnsi="Trebuchet MS"/>
          <w:color w:val="000000"/>
          <w:sz w:val="24"/>
          <w:szCs w:val="24"/>
          <w:lang w:val="es-ES_tradnl" w:eastAsia="es-MX"/>
        </w:rPr>
        <w:t xml:space="preserve"> (UMA)</w:t>
      </w:r>
      <w:r w:rsidRPr="00A04585">
        <w:rPr>
          <w:rFonts w:ascii="Trebuchet MS" w:hAnsi="Trebuchet MS"/>
          <w:color w:val="000000"/>
          <w:sz w:val="24"/>
          <w:szCs w:val="24"/>
          <w:lang w:val="es-ES_tradnl" w:eastAsia="es-MX"/>
        </w:rPr>
        <w:t xml:space="preserve">. </w:t>
      </w:r>
      <w:r w:rsidR="000871AD" w:rsidRPr="00A04585">
        <w:rPr>
          <w:rFonts w:ascii="Trebuchet MS" w:hAnsi="Trebuchet MS"/>
          <w:color w:val="000000"/>
          <w:sz w:val="24"/>
          <w:szCs w:val="24"/>
          <w:lang w:val="es-ES_tradnl" w:eastAsia="es-MX"/>
        </w:rPr>
        <w:t xml:space="preserve">Ello </w:t>
      </w:r>
      <w:r w:rsidR="001F2126" w:rsidRPr="00A04585">
        <w:rPr>
          <w:rFonts w:ascii="Trebuchet MS" w:hAnsi="Trebuchet MS"/>
          <w:color w:val="000000"/>
          <w:sz w:val="24"/>
          <w:szCs w:val="24"/>
          <w:lang w:val="es-ES_tradnl" w:eastAsia="es-MX"/>
        </w:rPr>
        <w:t>conforme</w:t>
      </w:r>
      <w:r w:rsidR="000871AD" w:rsidRPr="00A04585">
        <w:rPr>
          <w:rFonts w:ascii="Trebuchet MS" w:hAnsi="Trebuchet MS"/>
          <w:color w:val="000000"/>
          <w:sz w:val="24"/>
          <w:szCs w:val="24"/>
          <w:lang w:val="es-ES_tradnl" w:eastAsia="es-MX"/>
        </w:rPr>
        <w:t xml:space="preserve"> la </w:t>
      </w:r>
      <w:r w:rsidR="006673BF" w:rsidRPr="00A04585">
        <w:rPr>
          <w:rFonts w:ascii="Trebuchet MS" w:hAnsi="Trebuchet MS"/>
          <w:color w:val="000000"/>
          <w:sz w:val="24"/>
          <w:szCs w:val="24"/>
          <w:lang w:val="es-ES_tradnl" w:eastAsia="es-MX"/>
        </w:rPr>
        <w:t>tabla</w:t>
      </w:r>
      <w:r w:rsidR="000871AD" w:rsidRPr="00A04585">
        <w:rPr>
          <w:rFonts w:ascii="Trebuchet MS" w:hAnsi="Trebuchet MS"/>
          <w:color w:val="000000"/>
          <w:sz w:val="24"/>
          <w:szCs w:val="24"/>
          <w:lang w:val="es-ES_tradnl" w:eastAsia="es-MX"/>
        </w:rPr>
        <w:t xml:space="preserve"> que se inserta a continuación:</w:t>
      </w:r>
    </w:p>
    <w:p w14:paraId="7B7C8779" w14:textId="77777777" w:rsidR="00F040EE" w:rsidRPr="00A04585" w:rsidRDefault="00F040EE" w:rsidP="002E7CFF">
      <w:pPr>
        <w:pStyle w:val="Sinespaciado"/>
        <w:jc w:val="both"/>
        <w:rPr>
          <w:rFonts w:ascii="Trebuchet MS" w:hAnsi="Trebuchet MS"/>
          <w:color w:val="000000"/>
          <w:sz w:val="24"/>
          <w:szCs w:val="24"/>
          <w:lang w:val="es-ES_tradnl" w:eastAsia="es-MX"/>
        </w:rPr>
      </w:pPr>
    </w:p>
    <w:p w14:paraId="487AF476" w14:textId="4E0FD858" w:rsidR="000871AD" w:rsidRPr="00242547" w:rsidRDefault="000871AD" w:rsidP="002E7CFF">
      <w:pPr>
        <w:pStyle w:val="Sinespaciado"/>
        <w:jc w:val="both"/>
        <w:rPr>
          <w:rFonts w:ascii="Trebuchet MS" w:hAnsi="Trebuchet MS"/>
          <w:color w:val="000000"/>
          <w:sz w:val="10"/>
          <w:szCs w:val="10"/>
          <w:lang w:val="es-ES_tradnl" w:eastAsia="es-MX"/>
        </w:rPr>
      </w:pPr>
    </w:p>
    <w:tbl>
      <w:tblPr>
        <w:tblW w:w="8792" w:type="dxa"/>
        <w:jc w:val="center"/>
        <w:tblCellMar>
          <w:left w:w="70" w:type="dxa"/>
          <w:right w:w="70" w:type="dxa"/>
        </w:tblCellMar>
        <w:tblLook w:val="04A0" w:firstRow="1" w:lastRow="0" w:firstColumn="1" w:lastColumn="0" w:noHBand="0" w:noVBand="1"/>
      </w:tblPr>
      <w:tblGrid>
        <w:gridCol w:w="3900"/>
        <w:gridCol w:w="4892"/>
      </w:tblGrid>
      <w:tr w:rsidR="006673BF" w:rsidRPr="00A04585" w14:paraId="08BE3798" w14:textId="77777777" w:rsidTr="00F74692">
        <w:trPr>
          <w:trHeight w:val="731"/>
          <w:jc w:val="center"/>
        </w:trPr>
        <w:tc>
          <w:tcPr>
            <w:tcW w:w="8792" w:type="dxa"/>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2393BF7" w14:textId="7A6E01EE" w:rsidR="006673BF" w:rsidRPr="00A04585" w:rsidRDefault="006673BF" w:rsidP="006673BF">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 xml:space="preserve">1. Determinación de la bolsa de financiamiento público por actividades ordinarias permanentes FPAO. PARTIDOS POLÍTICOS NACIONALES </w:t>
            </w:r>
            <w:r w:rsidRPr="00A04585">
              <w:rPr>
                <w:rFonts w:ascii="Trebuchet MS" w:eastAsia="Times New Roman" w:hAnsi="Trebuchet MS" w:cs="Calibri Light"/>
                <w:b/>
                <w:bCs/>
                <w:sz w:val="20"/>
                <w:szCs w:val="20"/>
                <w:lang w:eastAsia="es-MX"/>
              </w:rPr>
              <w:br/>
            </w:r>
            <w:r w:rsidRPr="00A04585">
              <w:rPr>
                <w:rFonts w:ascii="Trebuchet MS" w:eastAsia="Times New Roman" w:hAnsi="Trebuchet MS" w:cs="Calibri Light"/>
                <w:sz w:val="20"/>
                <w:szCs w:val="20"/>
                <w:lang w:eastAsia="es-MX"/>
              </w:rPr>
              <w:t>Artículo 13, base IV, inciso a) de la Constitución Política del Estado de Jalisco (CPEJ)</w:t>
            </w:r>
          </w:p>
        </w:tc>
      </w:tr>
      <w:tr w:rsidR="006673BF" w:rsidRPr="00A04585" w14:paraId="069511AE" w14:textId="77777777" w:rsidTr="00F74692">
        <w:trPr>
          <w:trHeight w:val="711"/>
          <w:jc w:val="center"/>
        </w:trPr>
        <w:tc>
          <w:tcPr>
            <w:tcW w:w="3900" w:type="dxa"/>
            <w:tcBorders>
              <w:top w:val="nil"/>
              <w:left w:val="single" w:sz="8" w:space="0" w:color="808080"/>
              <w:bottom w:val="single" w:sz="4" w:space="0" w:color="808080"/>
              <w:right w:val="single" w:sz="4" w:space="0" w:color="808080"/>
            </w:tcBorders>
            <w:shd w:val="clear" w:color="auto" w:fill="auto"/>
            <w:noWrap/>
            <w:vAlign w:val="center"/>
            <w:hideMark/>
          </w:tcPr>
          <w:p w14:paraId="046772ED" w14:textId="77777777" w:rsidR="006673BF" w:rsidRPr="00A04585" w:rsidRDefault="006673BF" w:rsidP="006673BF">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Fórmula</w:t>
            </w:r>
          </w:p>
        </w:tc>
        <w:tc>
          <w:tcPr>
            <w:tcW w:w="4891" w:type="dxa"/>
            <w:tcBorders>
              <w:top w:val="nil"/>
              <w:left w:val="nil"/>
              <w:bottom w:val="single" w:sz="4" w:space="0" w:color="808080"/>
              <w:right w:val="single" w:sz="8" w:space="0" w:color="808080"/>
            </w:tcBorders>
            <w:shd w:val="clear" w:color="auto" w:fill="auto"/>
            <w:vAlign w:val="center"/>
            <w:hideMark/>
          </w:tcPr>
          <w:p w14:paraId="0FB0A420" w14:textId="7FE3F279" w:rsidR="006673BF" w:rsidRPr="00A04585" w:rsidRDefault="006673BF" w:rsidP="006673BF">
            <w:pPr>
              <w:jc w:val="both"/>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Padrón electoral en el Estado de Jalisco a julio de 2022, multiplicado por 20% del valor diario de la Unidad de Medida y Actualización</w:t>
            </w:r>
            <w:r w:rsidR="00F74692" w:rsidRPr="00A04585">
              <w:rPr>
                <w:rFonts w:ascii="Trebuchet MS" w:eastAsia="Times New Roman" w:hAnsi="Trebuchet MS" w:cs="Calibri Light"/>
                <w:b/>
                <w:bCs/>
                <w:sz w:val="20"/>
                <w:szCs w:val="20"/>
                <w:lang w:eastAsia="es-MX"/>
              </w:rPr>
              <w:t>.</w:t>
            </w:r>
          </w:p>
        </w:tc>
      </w:tr>
      <w:tr w:rsidR="006673BF" w:rsidRPr="00A04585" w14:paraId="25C6F742" w14:textId="77777777" w:rsidTr="00F74692">
        <w:trPr>
          <w:trHeight w:val="411"/>
          <w:jc w:val="center"/>
        </w:trPr>
        <w:tc>
          <w:tcPr>
            <w:tcW w:w="3900"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FD40094" w14:textId="77777777" w:rsidR="006673BF" w:rsidRPr="00A04585" w:rsidRDefault="006673BF" w:rsidP="006673B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 xml:space="preserve">Padrón electoral </w:t>
            </w:r>
            <w:r w:rsidRPr="00A04585">
              <w:rPr>
                <w:rFonts w:ascii="Cambria Math" w:eastAsia="Times New Roman" w:hAnsi="Cambria Math" w:cs="Cambria Math"/>
                <w:color w:val="000000"/>
                <w:sz w:val="20"/>
                <w:szCs w:val="20"/>
                <w:lang w:eastAsia="es-MX"/>
              </w:rPr>
              <w:t>①</w:t>
            </w:r>
          </w:p>
        </w:tc>
        <w:tc>
          <w:tcPr>
            <w:tcW w:w="4891" w:type="dxa"/>
            <w:tcBorders>
              <w:top w:val="single" w:sz="4" w:space="0" w:color="808080"/>
              <w:left w:val="nil"/>
              <w:bottom w:val="single" w:sz="4" w:space="0" w:color="808080"/>
              <w:right w:val="single" w:sz="8" w:space="0" w:color="808080"/>
            </w:tcBorders>
            <w:shd w:val="clear" w:color="000000" w:fill="FFFFFF"/>
            <w:noWrap/>
            <w:vAlign w:val="center"/>
            <w:hideMark/>
          </w:tcPr>
          <w:p w14:paraId="2326E25E" w14:textId="77777777" w:rsidR="006673BF" w:rsidRPr="00A04585" w:rsidRDefault="006673BF" w:rsidP="006673B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6,302,568</w:t>
            </w:r>
          </w:p>
        </w:tc>
      </w:tr>
      <w:tr w:rsidR="006673BF" w:rsidRPr="00A04585" w14:paraId="71DEC2D9" w14:textId="77777777" w:rsidTr="00F74692">
        <w:trPr>
          <w:trHeight w:val="388"/>
          <w:jc w:val="center"/>
        </w:trPr>
        <w:tc>
          <w:tcPr>
            <w:tcW w:w="390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5D0860E9" w14:textId="77777777" w:rsidR="006673BF" w:rsidRPr="00A04585" w:rsidRDefault="006673BF" w:rsidP="006673B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Unidad de medida y actualización UMA</w:t>
            </w:r>
            <w:r w:rsidRPr="00A04585">
              <w:rPr>
                <w:rFonts w:ascii="Cambria Math" w:eastAsia="Times New Roman" w:hAnsi="Cambria Math" w:cs="Cambria Math"/>
                <w:color w:val="000000"/>
                <w:sz w:val="20"/>
                <w:szCs w:val="20"/>
                <w:lang w:eastAsia="es-MX"/>
              </w:rPr>
              <w:t>②</w:t>
            </w:r>
          </w:p>
        </w:tc>
        <w:tc>
          <w:tcPr>
            <w:tcW w:w="4891" w:type="dxa"/>
            <w:tcBorders>
              <w:top w:val="single" w:sz="4" w:space="0" w:color="808080"/>
              <w:left w:val="nil"/>
              <w:bottom w:val="single" w:sz="4" w:space="0" w:color="808080"/>
              <w:right w:val="single" w:sz="8" w:space="0" w:color="808080"/>
            </w:tcBorders>
            <w:shd w:val="clear" w:color="auto" w:fill="auto"/>
            <w:noWrap/>
            <w:vAlign w:val="center"/>
            <w:hideMark/>
          </w:tcPr>
          <w:p w14:paraId="257AC4DB" w14:textId="77777777" w:rsidR="006673BF" w:rsidRPr="00A04585" w:rsidRDefault="006673BF" w:rsidP="006673B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96.22</w:t>
            </w:r>
          </w:p>
        </w:tc>
      </w:tr>
      <w:tr w:rsidR="006673BF" w:rsidRPr="00A04585" w14:paraId="2E90CB36" w14:textId="77777777" w:rsidTr="00AC6282">
        <w:trPr>
          <w:trHeight w:val="424"/>
          <w:jc w:val="center"/>
        </w:trPr>
        <w:tc>
          <w:tcPr>
            <w:tcW w:w="390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09E5EF01" w14:textId="77777777" w:rsidR="006673BF" w:rsidRPr="00A04585" w:rsidRDefault="006673BF" w:rsidP="006673B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20% de la Unidad de Medida y Actualización</w:t>
            </w:r>
          </w:p>
        </w:tc>
        <w:tc>
          <w:tcPr>
            <w:tcW w:w="4891" w:type="dxa"/>
            <w:tcBorders>
              <w:top w:val="single" w:sz="4" w:space="0" w:color="808080"/>
              <w:left w:val="nil"/>
              <w:bottom w:val="single" w:sz="4" w:space="0" w:color="808080"/>
              <w:right w:val="single" w:sz="8" w:space="0" w:color="808080"/>
            </w:tcBorders>
            <w:shd w:val="clear" w:color="auto" w:fill="auto"/>
            <w:noWrap/>
            <w:vAlign w:val="center"/>
            <w:hideMark/>
          </w:tcPr>
          <w:p w14:paraId="550EA9B1" w14:textId="77777777" w:rsidR="006673BF" w:rsidRPr="00A04585" w:rsidRDefault="006673BF" w:rsidP="006673B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19.2440</w:t>
            </w:r>
          </w:p>
        </w:tc>
      </w:tr>
      <w:tr w:rsidR="006673BF" w:rsidRPr="00A04585" w14:paraId="10D695BB" w14:textId="77777777" w:rsidTr="00F74692">
        <w:trPr>
          <w:trHeight w:val="388"/>
          <w:jc w:val="center"/>
        </w:trPr>
        <w:tc>
          <w:tcPr>
            <w:tcW w:w="3900" w:type="dxa"/>
            <w:tcBorders>
              <w:top w:val="single" w:sz="4" w:space="0" w:color="808080"/>
              <w:left w:val="single" w:sz="8" w:space="0" w:color="808080"/>
              <w:bottom w:val="single" w:sz="8" w:space="0" w:color="808080"/>
              <w:right w:val="single" w:sz="4" w:space="0" w:color="808080"/>
            </w:tcBorders>
            <w:shd w:val="clear" w:color="000000" w:fill="F3EBF9"/>
            <w:noWrap/>
            <w:vAlign w:val="center"/>
            <w:hideMark/>
          </w:tcPr>
          <w:p w14:paraId="03D09D47" w14:textId="3934397A" w:rsidR="006673BF" w:rsidRPr="00A04585" w:rsidRDefault="00F74692" w:rsidP="006673BF">
            <w:pPr>
              <w:jc w:val="center"/>
              <w:rPr>
                <w:rFonts w:ascii="Trebuchet MS" w:eastAsia="Times New Roman" w:hAnsi="Trebuchet MS" w:cs="Calibri Light"/>
                <w:b/>
                <w:bCs/>
                <w:color w:val="000000"/>
                <w:szCs w:val="20"/>
                <w:lang w:eastAsia="es-MX"/>
              </w:rPr>
            </w:pPr>
            <w:r w:rsidRPr="00A04585">
              <w:rPr>
                <w:rFonts w:ascii="Trebuchet MS" w:eastAsia="Times New Roman" w:hAnsi="Trebuchet MS" w:cs="Calibri Light"/>
                <w:b/>
                <w:bCs/>
                <w:color w:val="000000"/>
                <w:sz w:val="20"/>
                <w:szCs w:val="20"/>
                <w:lang w:eastAsia="es-MX"/>
              </w:rPr>
              <w:t>BOLSA FPAO-PPN 2023</w:t>
            </w:r>
          </w:p>
        </w:tc>
        <w:tc>
          <w:tcPr>
            <w:tcW w:w="4891" w:type="dxa"/>
            <w:tcBorders>
              <w:top w:val="single" w:sz="4" w:space="0" w:color="808080"/>
              <w:left w:val="nil"/>
              <w:bottom w:val="single" w:sz="8" w:space="0" w:color="808080"/>
              <w:right w:val="single" w:sz="8" w:space="0" w:color="808080"/>
            </w:tcBorders>
            <w:shd w:val="clear" w:color="000000" w:fill="F3EBF9"/>
            <w:noWrap/>
            <w:vAlign w:val="center"/>
            <w:hideMark/>
          </w:tcPr>
          <w:p w14:paraId="752E6B48" w14:textId="77777777" w:rsidR="006673BF" w:rsidRPr="00A04585" w:rsidRDefault="006673BF" w:rsidP="006673BF">
            <w:pPr>
              <w:jc w:val="center"/>
              <w:rPr>
                <w:rFonts w:ascii="Trebuchet MS" w:eastAsia="Times New Roman" w:hAnsi="Trebuchet MS" w:cs="Calibri Light"/>
                <w:b/>
                <w:bCs/>
                <w:color w:val="000000"/>
                <w:szCs w:val="20"/>
                <w:lang w:eastAsia="es-MX"/>
              </w:rPr>
            </w:pPr>
            <w:r w:rsidRPr="00A04585">
              <w:rPr>
                <w:rFonts w:ascii="Trebuchet MS" w:eastAsia="Times New Roman" w:hAnsi="Trebuchet MS" w:cs="Calibri Light"/>
                <w:b/>
                <w:bCs/>
                <w:color w:val="000000"/>
                <w:szCs w:val="20"/>
                <w:lang w:eastAsia="es-MX"/>
              </w:rPr>
              <w:t>$121,286,618.59</w:t>
            </w:r>
          </w:p>
        </w:tc>
      </w:tr>
      <w:tr w:rsidR="006673BF" w:rsidRPr="00A04585" w14:paraId="54FEF2A0" w14:textId="77777777" w:rsidTr="00AC6282">
        <w:trPr>
          <w:trHeight w:val="221"/>
          <w:jc w:val="center"/>
        </w:trPr>
        <w:tc>
          <w:tcPr>
            <w:tcW w:w="8792" w:type="dxa"/>
            <w:gridSpan w:val="2"/>
            <w:tcBorders>
              <w:top w:val="single" w:sz="8" w:space="0" w:color="808080"/>
              <w:left w:val="nil"/>
              <w:bottom w:val="nil"/>
              <w:right w:val="nil"/>
            </w:tcBorders>
            <w:shd w:val="clear" w:color="000000" w:fill="FFFFFF"/>
            <w:noWrap/>
            <w:vAlign w:val="center"/>
            <w:hideMark/>
          </w:tcPr>
          <w:p w14:paraId="133AE20E" w14:textId="77777777" w:rsidR="006673BF" w:rsidRPr="00A04585" w:rsidRDefault="006673BF" w:rsidP="006673BF">
            <w:pPr>
              <w:rPr>
                <w:rFonts w:ascii="Trebuchet MS" w:eastAsia="Times New Roman" w:hAnsi="Trebuchet MS" w:cs="Calibri Light"/>
                <w:color w:val="000000"/>
                <w:sz w:val="16"/>
                <w:szCs w:val="16"/>
                <w:lang w:eastAsia="es-MX"/>
              </w:rPr>
            </w:pPr>
            <w:r w:rsidRPr="00A04585">
              <w:rPr>
                <w:rFonts w:ascii="Cambria Math" w:eastAsia="Times New Roman" w:hAnsi="Cambria Math" w:cs="Cambria Math"/>
                <w:color w:val="000000"/>
                <w:sz w:val="16"/>
                <w:szCs w:val="16"/>
                <w:lang w:eastAsia="es-MX"/>
              </w:rPr>
              <w:t>①</w:t>
            </w:r>
            <w:r w:rsidRPr="00A04585">
              <w:rPr>
                <w:rFonts w:ascii="Trebuchet MS" w:eastAsia="Times New Roman" w:hAnsi="Trebuchet MS" w:cs="Calibri Light"/>
                <w:color w:val="000000"/>
                <w:sz w:val="16"/>
                <w:szCs w:val="16"/>
                <w:lang w:eastAsia="es-MX"/>
              </w:rPr>
              <w:t>Padr</w:t>
            </w:r>
            <w:r w:rsidRPr="00A04585">
              <w:rPr>
                <w:rFonts w:ascii="Trebuchet MS" w:eastAsia="Times New Roman" w:hAnsi="Trebuchet MS" w:cs="Trebuchet MS"/>
                <w:color w:val="000000"/>
                <w:sz w:val="16"/>
                <w:szCs w:val="16"/>
                <w:lang w:eastAsia="es-MX"/>
              </w:rPr>
              <w:t>ó</w:t>
            </w:r>
            <w:r w:rsidRPr="00A04585">
              <w:rPr>
                <w:rFonts w:ascii="Trebuchet MS" w:eastAsia="Times New Roman" w:hAnsi="Trebuchet MS" w:cs="Calibri Light"/>
                <w:color w:val="000000"/>
                <w:sz w:val="16"/>
                <w:szCs w:val="16"/>
                <w:lang w:eastAsia="es-MX"/>
              </w:rPr>
              <w:t>n electoral en Jalisco, corte 15 de julio 2022. Oficio INE-JAL-JLE-VE-1303-2022</w:t>
            </w:r>
          </w:p>
        </w:tc>
      </w:tr>
      <w:tr w:rsidR="006673BF" w:rsidRPr="00A04585" w14:paraId="71E87C55" w14:textId="77777777" w:rsidTr="00AC6282">
        <w:trPr>
          <w:trHeight w:val="327"/>
          <w:jc w:val="center"/>
        </w:trPr>
        <w:tc>
          <w:tcPr>
            <w:tcW w:w="8792" w:type="dxa"/>
            <w:gridSpan w:val="2"/>
            <w:tcBorders>
              <w:top w:val="nil"/>
              <w:left w:val="nil"/>
              <w:bottom w:val="nil"/>
              <w:right w:val="nil"/>
            </w:tcBorders>
            <w:shd w:val="clear" w:color="auto" w:fill="auto"/>
            <w:vAlign w:val="center"/>
            <w:hideMark/>
          </w:tcPr>
          <w:p w14:paraId="53AEBF29" w14:textId="77777777" w:rsidR="006673BF" w:rsidRPr="00A04585" w:rsidRDefault="006673BF" w:rsidP="006673BF">
            <w:pPr>
              <w:rPr>
                <w:rFonts w:ascii="Trebuchet MS" w:eastAsia="Times New Roman" w:hAnsi="Trebuchet MS" w:cs="Calibri Light"/>
                <w:color w:val="000000"/>
                <w:sz w:val="16"/>
                <w:szCs w:val="16"/>
                <w:lang w:eastAsia="es-MX"/>
              </w:rPr>
            </w:pPr>
            <w:r w:rsidRPr="00A04585">
              <w:rPr>
                <w:rFonts w:ascii="Cambria Math" w:eastAsia="Times New Roman" w:hAnsi="Cambria Math" w:cs="Cambria Math"/>
                <w:color w:val="000000"/>
                <w:sz w:val="16"/>
                <w:szCs w:val="16"/>
                <w:lang w:eastAsia="es-MX"/>
              </w:rPr>
              <w:t>②</w:t>
            </w:r>
            <w:r w:rsidRPr="00A04585">
              <w:rPr>
                <w:rFonts w:ascii="Trebuchet MS" w:eastAsia="Times New Roman" w:hAnsi="Trebuchet MS" w:cs="Calibri Light"/>
                <w:color w:val="000000"/>
                <w:sz w:val="16"/>
                <w:szCs w:val="16"/>
                <w:lang w:eastAsia="es-MX"/>
              </w:rPr>
              <w:t>Unidad de Medida y Actualizaci</w:t>
            </w:r>
            <w:r w:rsidRPr="00A04585">
              <w:rPr>
                <w:rFonts w:ascii="Trebuchet MS" w:eastAsia="Times New Roman" w:hAnsi="Trebuchet MS" w:cs="Trebuchet MS"/>
                <w:color w:val="000000"/>
                <w:sz w:val="16"/>
                <w:szCs w:val="16"/>
                <w:lang w:eastAsia="es-MX"/>
              </w:rPr>
              <w:t>ó</w:t>
            </w:r>
            <w:r w:rsidRPr="00A04585">
              <w:rPr>
                <w:rFonts w:ascii="Trebuchet MS" w:eastAsia="Times New Roman" w:hAnsi="Trebuchet MS" w:cs="Calibri Light"/>
                <w:color w:val="000000"/>
                <w:sz w:val="16"/>
                <w:szCs w:val="16"/>
                <w:lang w:eastAsia="es-MX"/>
              </w:rPr>
              <w:t>n publicada en el D.O.F., el 10 de enero de 2022.</w:t>
            </w:r>
            <w:r w:rsidRPr="00A04585">
              <w:rPr>
                <w:rFonts w:ascii="Trebuchet MS" w:eastAsia="Times New Roman" w:hAnsi="Trebuchet MS" w:cs="Calibri Light"/>
                <w:color w:val="000000"/>
                <w:sz w:val="16"/>
                <w:szCs w:val="16"/>
                <w:lang w:eastAsia="es-MX"/>
              </w:rPr>
              <w:br/>
              <w:t>https://dof.gob.mx/nota_detalle.php?codigo=5640427&amp;fecha=10/01/2022#gsc.tab=0</w:t>
            </w:r>
          </w:p>
        </w:tc>
      </w:tr>
    </w:tbl>
    <w:p w14:paraId="3908A5FE" w14:textId="77777777" w:rsidR="000871AD" w:rsidRPr="00242547" w:rsidRDefault="000871AD" w:rsidP="002E7CFF">
      <w:pPr>
        <w:pStyle w:val="Sinespaciado"/>
        <w:jc w:val="both"/>
        <w:rPr>
          <w:rFonts w:ascii="Trebuchet MS" w:hAnsi="Trebuchet MS"/>
          <w:color w:val="000000"/>
          <w:sz w:val="24"/>
          <w:szCs w:val="24"/>
          <w:lang w:val="es-ES_tradnl" w:eastAsia="es-MX"/>
        </w:rPr>
      </w:pPr>
    </w:p>
    <w:p w14:paraId="736635EC" w14:textId="77777777" w:rsidR="00F040EE" w:rsidRPr="00A04585" w:rsidRDefault="00F040EE" w:rsidP="002E7CFF">
      <w:pPr>
        <w:pStyle w:val="Sinespaciado"/>
        <w:jc w:val="both"/>
        <w:rPr>
          <w:rFonts w:ascii="Trebuchet MS" w:hAnsi="Trebuchet MS"/>
          <w:color w:val="000000"/>
          <w:sz w:val="24"/>
          <w:szCs w:val="24"/>
          <w:lang w:val="es-ES_tradnl" w:eastAsia="es-MX"/>
        </w:rPr>
      </w:pPr>
    </w:p>
    <w:p w14:paraId="5351F629" w14:textId="0A9927C4" w:rsidR="002C404D" w:rsidRPr="00A04585" w:rsidRDefault="002C404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La segunda</w:t>
      </w:r>
      <w:r w:rsidR="00617129" w:rsidRPr="00A04585">
        <w:rPr>
          <w:rFonts w:ascii="Trebuchet MS" w:hAnsi="Trebuchet MS"/>
          <w:color w:val="000000"/>
          <w:sz w:val="24"/>
          <w:szCs w:val="24"/>
          <w:lang w:val="es-ES_tradnl" w:eastAsia="es-MX"/>
        </w:rPr>
        <w:t xml:space="preserve"> bolsa</w:t>
      </w:r>
      <w:r w:rsidRPr="00A04585">
        <w:rPr>
          <w:rFonts w:ascii="Trebuchet MS" w:hAnsi="Trebuchet MS"/>
          <w:color w:val="000000"/>
          <w:sz w:val="24"/>
          <w:szCs w:val="24"/>
          <w:lang w:val="es-ES_tradnl" w:eastAsia="es-MX"/>
        </w:rPr>
        <w:t xml:space="preserve"> atañe a los partidos políticos estatales</w:t>
      </w:r>
      <w:r w:rsidR="00324146"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que es producto de la multiplicación de</w:t>
      </w:r>
      <w:r w:rsidR="00E97388" w:rsidRPr="00A04585">
        <w:rPr>
          <w:rFonts w:ascii="Trebuchet MS" w:hAnsi="Trebuchet MS"/>
          <w:color w:val="000000"/>
          <w:sz w:val="24"/>
          <w:szCs w:val="24"/>
          <w:lang w:val="es-ES_tradnl" w:eastAsia="es-MX"/>
        </w:rPr>
        <w:t xml:space="preserve">l </w:t>
      </w:r>
      <w:r w:rsidR="008606D8" w:rsidRPr="00A04585">
        <w:rPr>
          <w:rFonts w:ascii="Trebuchet MS" w:hAnsi="Trebuchet MS"/>
          <w:color w:val="000000"/>
          <w:sz w:val="24"/>
          <w:szCs w:val="24"/>
          <w:lang w:val="es-ES_tradnl" w:eastAsia="es-MX"/>
        </w:rPr>
        <w:t xml:space="preserve">total de ciudadanas y ciudadanos inscritos en el padrón electoral con corte al </w:t>
      </w:r>
      <w:r w:rsidR="002D73FF" w:rsidRPr="00A04585">
        <w:rPr>
          <w:rFonts w:ascii="Trebuchet MS" w:hAnsi="Trebuchet MS"/>
          <w:color w:val="000000"/>
          <w:sz w:val="24"/>
          <w:szCs w:val="24"/>
          <w:lang w:val="es-ES_tradnl" w:eastAsia="es-MX"/>
        </w:rPr>
        <w:t xml:space="preserve">quince </w:t>
      </w:r>
      <w:r w:rsidR="008606D8" w:rsidRPr="00A04585">
        <w:rPr>
          <w:rFonts w:ascii="Trebuchet MS" w:hAnsi="Trebuchet MS"/>
          <w:color w:val="000000"/>
          <w:sz w:val="24"/>
          <w:szCs w:val="24"/>
          <w:lang w:val="es-ES_tradnl" w:eastAsia="es-MX"/>
        </w:rPr>
        <w:t>de julio de dos mil veinti</w:t>
      </w:r>
      <w:r w:rsidR="00E97388" w:rsidRPr="00A04585">
        <w:rPr>
          <w:rFonts w:ascii="Trebuchet MS" w:hAnsi="Trebuchet MS"/>
          <w:color w:val="000000"/>
          <w:sz w:val="24"/>
          <w:szCs w:val="24"/>
          <w:lang w:val="es-ES_tradnl" w:eastAsia="es-MX"/>
        </w:rPr>
        <w:t>dós</w:t>
      </w:r>
      <w:r w:rsidRPr="00A04585">
        <w:rPr>
          <w:rFonts w:ascii="Trebuchet MS" w:hAnsi="Trebuchet MS"/>
          <w:color w:val="000000"/>
          <w:sz w:val="24"/>
          <w:szCs w:val="24"/>
          <w:lang w:val="es-ES_tradnl" w:eastAsia="es-MX"/>
        </w:rPr>
        <w:t xml:space="preserve">, por el sesenta y cinco por ciento de la mencionada </w:t>
      </w:r>
      <w:r w:rsidR="00324146" w:rsidRPr="00A04585">
        <w:rPr>
          <w:rFonts w:ascii="Trebuchet MS" w:hAnsi="Trebuchet MS"/>
          <w:color w:val="000000"/>
          <w:sz w:val="24"/>
          <w:szCs w:val="24"/>
          <w:lang w:val="es-ES_tradnl" w:eastAsia="es-MX"/>
        </w:rPr>
        <w:t>UMA</w:t>
      </w:r>
      <w:r w:rsidRPr="00A04585">
        <w:rPr>
          <w:rFonts w:ascii="Trebuchet MS" w:hAnsi="Trebuchet MS"/>
          <w:color w:val="000000"/>
          <w:sz w:val="24"/>
          <w:szCs w:val="24"/>
          <w:lang w:val="es-ES_tradnl" w:eastAsia="es-MX"/>
        </w:rPr>
        <w:t>.</w:t>
      </w:r>
      <w:r w:rsidR="000871AD" w:rsidRPr="00A04585">
        <w:rPr>
          <w:rFonts w:ascii="Trebuchet MS" w:hAnsi="Trebuchet MS"/>
          <w:color w:val="000000"/>
          <w:sz w:val="24"/>
          <w:szCs w:val="24"/>
          <w:lang w:val="es-ES_tradnl" w:eastAsia="es-MX"/>
        </w:rPr>
        <w:t xml:space="preserve"> Lo explicado se muestra </w:t>
      </w:r>
      <w:r w:rsidR="001F2126" w:rsidRPr="00A04585">
        <w:rPr>
          <w:rFonts w:ascii="Trebuchet MS" w:hAnsi="Trebuchet MS"/>
          <w:color w:val="000000"/>
          <w:sz w:val="24"/>
          <w:szCs w:val="24"/>
          <w:lang w:val="es-ES_tradnl" w:eastAsia="es-MX"/>
        </w:rPr>
        <w:t>en la</w:t>
      </w:r>
      <w:r w:rsidR="000871AD" w:rsidRPr="00A04585">
        <w:rPr>
          <w:rFonts w:ascii="Trebuchet MS" w:hAnsi="Trebuchet MS"/>
          <w:color w:val="000000"/>
          <w:sz w:val="24"/>
          <w:szCs w:val="24"/>
          <w:lang w:val="es-ES_tradnl" w:eastAsia="es-MX"/>
        </w:rPr>
        <w:t xml:space="preserve"> tabla </w:t>
      </w:r>
      <w:r w:rsidR="001F2126" w:rsidRPr="00A04585">
        <w:rPr>
          <w:rFonts w:ascii="Trebuchet MS" w:hAnsi="Trebuchet MS"/>
          <w:color w:val="000000"/>
          <w:sz w:val="24"/>
          <w:szCs w:val="24"/>
          <w:lang w:val="es-ES_tradnl" w:eastAsia="es-MX"/>
        </w:rPr>
        <w:t>siguiente</w:t>
      </w:r>
      <w:r w:rsidR="000871AD" w:rsidRPr="00A04585">
        <w:rPr>
          <w:rFonts w:ascii="Trebuchet MS" w:hAnsi="Trebuchet MS"/>
          <w:color w:val="000000"/>
          <w:sz w:val="24"/>
          <w:szCs w:val="24"/>
          <w:lang w:val="es-ES_tradnl" w:eastAsia="es-MX"/>
        </w:rPr>
        <w:t>:</w:t>
      </w:r>
    </w:p>
    <w:p w14:paraId="20276BB9" w14:textId="77777777" w:rsidR="00617129" w:rsidRPr="00242547" w:rsidRDefault="00617129" w:rsidP="002E7CFF">
      <w:pPr>
        <w:pStyle w:val="Sinespaciado"/>
        <w:jc w:val="both"/>
        <w:rPr>
          <w:rFonts w:ascii="Trebuchet MS" w:hAnsi="Trebuchet MS"/>
          <w:color w:val="000000"/>
          <w:sz w:val="24"/>
          <w:szCs w:val="24"/>
          <w:lang w:val="es-ES_tradnl" w:eastAsia="es-MX"/>
        </w:rPr>
      </w:pPr>
    </w:p>
    <w:tbl>
      <w:tblPr>
        <w:tblW w:w="8364" w:type="dxa"/>
        <w:jc w:val="center"/>
        <w:tblCellMar>
          <w:left w:w="70" w:type="dxa"/>
          <w:right w:w="70" w:type="dxa"/>
        </w:tblCellMar>
        <w:tblLook w:val="04A0" w:firstRow="1" w:lastRow="0" w:firstColumn="1" w:lastColumn="0" w:noHBand="0" w:noVBand="1"/>
      </w:tblPr>
      <w:tblGrid>
        <w:gridCol w:w="4342"/>
        <w:gridCol w:w="4022"/>
      </w:tblGrid>
      <w:tr w:rsidR="001F2126" w:rsidRPr="00A04585" w14:paraId="6D305076" w14:textId="77777777" w:rsidTr="00CA0924">
        <w:trPr>
          <w:trHeight w:val="729"/>
          <w:jc w:val="center"/>
        </w:trPr>
        <w:tc>
          <w:tcPr>
            <w:tcW w:w="8364" w:type="dxa"/>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33054B8E" w14:textId="77777777" w:rsidR="001F2126" w:rsidRPr="00A04585" w:rsidRDefault="001F2126" w:rsidP="001F2126">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 xml:space="preserve">2. Determinación de la bolsa del financiamiento público por actividades ordinarias permanentes (FPAO). PARTIDOS POLÍTICOS LOCALES </w:t>
            </w:r>
            <w:r w:rsidRPr="00A04585">
              <w:rPr>
                <w:rFonts w:ascii="Trebuchet MS" w:eastAsia="Times New Roman" w:hAnsi="Trebuchet MS" w:cs="Calibri Light"/>
                <w:b/>
                <w:bCs/>
                <w:sz w:val="20"/>
                <w:szCs w:val="20"/>
                <w:lang w:eastAsia="es-MX"/>
              </w:rPr>
              <w:br/>
            </w:r>
            <w:r w:rsidRPr="00A04585">
              <w:rPr>
                <w:rFonts w:ascii="Trebuchet MS" w:eastAsia="Times New Roman" w:hAnsi="Trebuchet MS" w:cs="Calibri Light"/>
                <w:sz w:val="20"/>
                <w:szCs w:val="20"/>
                <w:lang w:eastAsia="es-MX"/>
              </w:rPr>
              <w:t>Artículo 51, párrafo 1, inciso a) de la LGPP.</w:t>
            </w:r>
          </w:p>
        </w:tc>
      </w:tr>
      <w:tr w:rsidR="001F2126" w:rsidRPr="00A04585" w14:paraId="1ACF6A7D" w14:textId="77777777" w:rsidTr="00CA0924">
        <w:trPr>
          <w:trHeight w:val="825"/>
          <w:jc w:val="center"/>
        </w:trPr>
        <w:tc>
          <w:tcPr>
            <w:tcW w:w="4342" w:type="dxa"/>
            <w:tcBorders>
              <w:top w:val="nil"/>
              <w:left w:val="single" w:sz="8" w:space="0" w:color="808080"/>
              <w:bottom w:val="single" w:sz="4" w:space="0" w:color="808080"/>
              <w:right w:val="single" w:sz="4" w:space="0" w:color="808080"/>
            </w:tcBorders>
            <w:shd w:val="clear" w:color="auto" w:fill="auto"/>
            <w:noWrap/>
            <w:vAlign w:val="center"/>
            <w:hideMark/>
          </w:tcPr>
          <w:p w14:paraId="718BC2D0" w14:textId="77777777" w:rsidR="001F2126" w:rsidRPr="00A04585" w:rsidRDefault="001F2126" w:rsidP="001F2126">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Fórmula</w:t>
            </w:r>
          </w:p>
        </w:tc>
        <w:tc>
          <w:tcPr>
            <w:tcW w:w="4022" w:type="dxa"/>
            <w:tcBorders>
              <w:top w:val="nil"/>
              <w:left w:val="nil"/>
              <w:bottom w:val="single" w:sz="4" w:space="0" w:color="808080"/>
              <w:right w:val="single" w:sz="8" w:space="0" w:color="808080"/>
            </w:tcBorders>
            <w:shd w:val="clear" w:color="auto" w:fill="auto"/>
            <w:vAlign w:val="center"/>
            <w:hideMark/>
          </w:tcPr>
          <w:p w14:paraId="19BDA0D2" w14:textId="77777777" w:rsidR="001F2126" w:rsidRPr="00A04585" w:rsidRDefault="001F2126" w:rsidP="001F2126">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 xml:space="preserve">Total de ciudadanos inscritos en el padrón electoral, por el 65% de la Unidad de Medida y Actualización </w:t>
            </w:r>
          </w:p>
        </w:tc>
      </w:tr>
      <w:tr w:rsidR="001F2126" w:rsidRPr="00A04585" w14:paraId="3A2F4990" w14:textId="77777777" w:rsidTr="00CA0924">
        <w:trPr>
          <w:trHeight w:val="422"/>
          <w:jc w:val="center"/>
        </w:trPr>
        <w:tc>
          <w:tcPr>
            <w:tcW w:w="4342"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234FADA" w14:textId="77777777" w:rsidR="001F2126" w:rsidRPr="00A04585" w:rsidRDefault="001F2126" w:rsidP="001F2126">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 xml:space="preserve">Padrón Electoral </w:t>
            </w:r>
            <w:r w:rsidRPr="00A04585">
              <w:rPr>
                <w:rFonts w:ascii="Cambria Math" w:eastAsia="Times New Roman" w:hAnsi="Cambria Math" w:cs="Cambria Math"/>
                <w:color w:val="000000"/>
                <w:sz w:val="20"/>
                <w:szCs w:val="20"/>
                <w:lang w:eastAsia="es-MX"/>
              </w:rPr>
              <w:t>①</w:t>
            </w:r>
          </w:p>
        </w:tc>
        <w:tc>
          <w:tcPr>
            <w:tcW w:w="4022" w:type="dxa"/>
            <w:tcBorders>
              <w:top w:val="single" w:sz="4" w:space="0" w:color="808080"/>
              <w:left w:val="nil"/>
              <w:bottom w:val="single" w:sz="4" w:space="0" w:color="808080"/>
              <w:right w:val="single" w:sz="8" w:space="0" w:color="808080"/>
            </w:tcBorders>
            <w:shd w:val="clear" w:color="000000" w:fill="FFFFFF"/>
            <w:noWrap/>
            <w:vAlign w:val="center"/>
            <w:hideMark/>
          </w:tcPr>
          <w:p w14:paraId="658854EF" w14:textId="77777777" w:rsidR="001F2126" w:rsidRPr="00A04585" w:rsidRDefault="001F2126" w:rsidP="001F2126">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6,302,568</w:t>
            </w:r>
          </w:p>
        </w:tc>
      </w:tr>
      <w:tr w:rsidR="001F2126" w:rsidRPr="00A04585" w14:paraId="63B06DB6" w14:textId="77777777" w:rsidTr="00CA0924">
        <w:trPr>
          <w:trHeight w:val="414"/>
          <w:jc w:val="center"/>
        </w:trPr>
        <w:tc>
          <w:tcPr>
            <w:tcW w:w="4342"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325F300" w14:textId="77777777" w:rsidR="001F2126" w:rsidRPr="00A04585" w:rsidRDefault="001F2126" w:rsidP="001F2126">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Unidad de medida y actualización UMA</w:t>
            </w:r>
            <w:r w:rsidRPr="00A04585">
              <w:rPr>
                <w:rFonts w:ascii="Cambria Math" w:eastAsia="Times New Roman" w:hAnsi="Cambria Math" w:cs="Cambria Math"/>
                <w:color w:val="000000"/>
                <w:sz w:val="20"/>
                <w:szCs w:val="20"/>
                <w:lang w:eastAsia="es-MX"/>
              </w:rPr>
              <w:t>②</w:t>
            </w:r>
          </w:p>
        </w:tc>
        <w:tc>
          <w:tcPr>
            <w:tcW w:w="4022" w:type="dxa"/>
            <w:tcBorders>
              <w:top w:val="single" w:sz="4" w:space="0" w:color="808080"/>
              <w:left w:val="nil"/>
              <w:bottom w:val="single" w:sz="4" w:space="0" w:color="808080"/>
              <w:right w:val="single" w:sz="8" w:space="0" w:color="808080"/>
            </w:tcBorders>
            <w:shd w:val="clear" w:color="auto" w:fill="auto"/>
            <w:noWrap/>
            <w:vAlign w:val="center"/>
            <w:hideMark/>
          </w:tcPr>
          <w:p w14:paraId="21E8311A" w14:textId="77777777" w:rsidR="001F2126" w:rsidRPr="00A04585" w:rsidRDefault="001F2126" w:rsidP="001F2126">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96.22</w:t>
            </w:r>
          </w:p>
        </w:tc>
      </w:tr>
      <w:tr w:rsidR="001F2126" w:rsidRPr="00A04585" w14:paraId="00C42E4E" w14:textId="77777777" w:rsidTr="00CA0924">
        <w:trPr>
          <w:trHeight w:val="278"/>
          <w:jc w:val="center"/>
        </w:trPr>
        <w:tc>
          <w:tcPr>
            <w:tcW w:w="4342"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026DD2F6" w14:textId="77777777" w:rsidR="001F2126" w:rsidRPr="00A04585" w:rsidRDefault="001F2126" w:rsidP="001F2126">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65% UMA</w:t>
            </w:r>
          </w:p>
        </w:tc>
        <w:tc>
          <w:tcPr>
            <w:tcW w:w="4022" w:type="dxa"/>
            <w:tcBorders>
              <w:top w:val="single" w:sz="4" w:space="0" w:color="808080"/>
              <w:left w:val="nil"/>
              <w:bottom w:val="single" w:sz="4" w:space="0" w:color="808080"/>
              <w:right w:val="single" w:sz="8" w:space="0" w:color="808080"/>
            </w:tcBorders>
            <w:shd w:val="clear" w:color="auto" w:fill="auto"/>
            <w:noWrap/>
            <w:vAlign w:val="center"/>
            <w:hideMark/>
          </w:tcPr>
          <w:p w14:paraId="4A42D3CD" w14:textId="77777777" w:rsidR="001F2126" w:rsidRPr="00A04585" w:rsidRDefault="001F2126" w:rsidP="001F2126">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62.5430</w:t>
            </w:r>
          </w:p>
        </w:tc>
      </w:tr>
      <w:tr w:rsidR="001F2126" w:rsidRPr="00A04585" w14:paraId="7D57D449" w14:textId="77777777" w:rsidTr="00CA0924">
        <w:trPr>
          <w:trHeight w:val="600"/>
          <w:jc w:val="center"/>
        </w:trPr>
        <w:tc>
          <w:tcPr>
            <w:tcW w:w="4342" w:type="dxa"/>
            <w:tcBorders>
              <w:top w:val="single" w:sz="4" w:space="0" w:color="808080"/>
              <w:left w:val="single" w:sz="8" w:space="0" w:color="808080"/>
              <w:bottom w:val="single" w:sz="8" w:space="0" w:color="808080"/>
              <w:right w:val="single" w:sz="4" w:space="0" w:color="808080"/>
            </w:tcBorders>
            <w:shd w:val="clear" w:color="000000" w:fill="F2F2F2"/>
            <w:noWrap/>
            <w:vAlign w:val="center"/>
            <w:hideMark/>
          </w:tcPr>
          <w:p w14:paraId="01310DC1" w14:textId="158CC188" w:rsidR="001F2126" w:rsidRPr="00A04585" w:rsidRDefault="00F74692" w:rsidP="001F2126">
            <w:pPr>
              <w:jc w:val="center"/>
              <w:rPr>
                <w:rFonts w:ascii="Trebuchet MS" w:eastAsia="Times New Roman" w:hAnsi="Trebuchet MS" w:cs="Calibri Light"/>
                <w:b/>
                <w:bCs/>
                <w:color w:val="000000"/>
                <w:szCs w:val="20"/>
                <w:lang w:eastAsia="es-MX"/>
              </w:rPr>
            </w:pPr>
            <w:r w:rsidRPr="00A04585">
              <w:rPr>
                <w:rFonts w:ascii="Trebuchet MS" w:eastAsia="Times New Roman" w:hAnsi="Trebuchet MS" w:cs="Calibri Light"/>
                <w:b/>
                <w:bCs/>
                <w:color w:val="000000"/>
                <w:sz w:val="20"/>
                <w:szCs w:val="20"/>
                <w:lang w:eastAsia="es-MX"/>
              </w:rPr>
              <w:t>BOLSA FPAO-PPL 2023</w:t>
            </w:r>
          </w:p>
        </w:tc>
        <w:tc>
          <w:tcPr>
            <w:tcW w:w="4022" w:type="dxa"/>
            <w:tcBorders>
              <w:top w:val="single" w:sz="4" w:space="0" w:color="808080"/>
              <w:left w:val="nil"/>
              <w:bottom w:val="single" w:sz="8" w:space="0" w:color="808080"/>
              <w:right w:val="single" w:sz="8" w:space="0" w:color="808080"/>
            </w:tcBorders>
            <w:shd w:val="clear" w:color="000000" w:fill="F2F2F2"/>
            <w:noWrap/>
            <w:vAlign w:val="center"/>
            <w:hideMark/>
          </w:tcPr>
          <w:p w14:paraId="51E9470E" w14:textId="77777777" w:rsidR="001F2126" w:rsidRPr="00A04585" w:rsidRDefault="001F2126" w:rsidP="001F2126">
            <w:pPr>
              <w:jc w:val="center"/>
              <w:rPr>
                <w:rFonts w:ascii="Trebuchet MS" w:eastAsia="Times New Roman" w:hAnsi="Trebuchet MS" w:cs="Calibri Light"/>
                <w:b/>
                <w:bCs/>
                <w:color w:val="000000"/>
                <w:szCs w:val="20"/>
                <w:lang w:eastAsia="es-MX"/>
              </w:rPr>
            </w:pPr>
            <w:r w:rsidRPr="00A04585">
              <w:rPr>
                <w:rFonts w:ascii="Trebuchet MS" w:eastAsia="Times New Roman" w:hAnsi="Trebuchet MS" w:cs="Calibri Light"/>
                <w:b/>
                <w:bCs/>
                <w:color w:val="000000"/>
                <w:szCs w:val="20"/>
                <w:lang w:eastAsia="es-MX"/>
              </w:rPr>
              <w:t>$394,181,510.42</w:t>
            </w:r>
          </w:p>
        </w:tc>
      </w:tr>
      <w:tr w:rsidR="001F2126" w:rsidRPr="00A04585" w14:paraId="6D6D14F4" w14:textId="77777777" w:rsidTr="00CA0924">
        <w:trPr>
          <w:trHeight w:val="300"/>
          <w:jc w:val="center"/>
        </w:trPr>
        <w:tc>
          <w:tcPr>
            <w:tcW w:w="8364" w:type="dxa"/>
            <w:gridSpan w:val="2"/>
            <w:tcBorders>
              <w:top w:val="single" w:sz="8" w:space="0" w:color="808080"/>
              <w:left w:val="nil"/>
              <w:bottom w:val="nil"/>
              <w:right w:val="nil"/>
            </w:tcBorders>
            <w:shd w:val="clear" w:color="000000" w:fill="FFFFFF"/>
            <w:noWrap/>
            <w:vAlign w:val="center"/>
            <w:hideMark/>
          </w:tcPr>
          <w:p w14:paraId="2D77F134" w14:textId="77777777" w:rsidR="001F2126" w:rsidRPr="00A04585" w:rsidRDefault="001F2126" w:rsidP="001F2126">
            <w:pPr>
              <w:rPr>
                <w:rFonts w:ascii="Trebuchet MS" w:eastAsia="Times New Roman" w:hAnsi="Trebuchet MS" w:cs="Calibri Light"/>
                <w:color w:val="000000"/>
                <w:sz w:val="16"/>
                <w:szCs w:val="16"/>
                <w:lang w:eastAsia="es-MX"/>
              </w:rPr>
            </w:pPr>
            <w:r w:rsidRPr="00A04585">
              <w:rPr>
                <w:rFonts w:ascii="Cambria Math" w:eastAsia="Times New Roman" w:hAnsi="Cambria Math" w:cs="Cambria Math"/>
                <w:color w:val="000000"/>
                <w:sz w:val="16"/>
                <w:szCs w:val="16"/>
                <w:lang w:eastAsia="es-MX"/>
              </w:rPr>
              <w:t>①</w:t>
            </w:r>
            <w:r w:rsidRPr="00A04585">
              <w:rPr>
                <w:rFonts w:ascii="Trebuchet MS" w:eastAsia="Times New Roman" w:hAnsi="Trebuchet MS" w:cs="Calibri Light"/>
                <w:color w:val="000000"/>
                <w:sz w:val="16"/>
                <w:szCs w:val="16"/>
                <w:lang w:eastAsia="es-MX"/>
              </w:rPr>
              <w:t>Padr</w:t>
            </w:r>
            <w:r w:rsidRPr="00A04585">
              <w:rPr>
                <w:rFonts w:ascii="Trebuchet MS" w:eastAsia="Times New Roman" w:hAnsi="Trebuchet MS" w:cs="Trebuchet MS"/>
                <w:color w:val="000000"/>
                <w:sz w:val="16"/>
                <w:szCs w:val="16"/>
                <w:lang w:eastAsia="es-MX"/>
              </w:rPr>
              <w:t>ó</w:t>
            </w:r>
            <w:r w:rsidRPr="00A04585">
              <w:rPr>
                <w:rFonts w:ascii="Trebuchet MS" w:eastAsia="Times New Roman" w:hAnsi="Trebuchet MS" w:cs="Calibri Light"/>
                <w:color w:val="000000"/>
                <w:sz w:val="16"/>
                <w:szCs w:val="16"/>
                <w:lang w:eastAsia="es-MX"/>
              </w:rPr>
              <w:t>n electoral en Jalisco, corte 15 de julio 2022. Oficio INE-JAL-JLE-VE-1303-2022</w:t>
            </w:r>
          </w:p>
        </w:tc>
      </w:tr>
      <w:tr w:rsidR="001F2126" w:rsidRPr="00A04585" w14:paraId="362DD1D6" w14:textId="77777777" w:rsidTr="00CA0924">
        <w:trPr>
          <w:trHeight w:val="476"/>
          <w:jc w:val="center"/>
        </w:trPr>
        <w:tc>
          <w:tcPr>
            <w:tcW w:w="8364" w:type="dxa"/>
            <w:gridSpan w:val="2"/>
            <w:tcBorders>
              <w:top w:val="nil"/>
              <w:left w:val="nil"/>
              <w:bottom w:val="nil"/>
              <w:right w:val="nil"/>
            </w:tcBorders>
            <w:shd w:val="clear" w:color="auto" w:fill="auto"/>
            <w:vAlign w:val="center"/>
            <w:hideMark/>
          </w:tcPr>
          <w:p w14:paraId="0CC9D645" w14:textId="77777777" w:rsidR="001F2126" w:rsidRPr="00A04585" w:rsidRDefault="001F2126" w:rsidP="001F2126">
            <w:pPr>
              <w:rPr>
                <w:rFonts w:ascii="Trebuchet MS" w:eastAsia="Times New Roman" w:hAnsi="Trebuchet MS" w:cs="Calibri Light"/>
                <w:color w:val="000000"/>
                <w:sz w:val="16"/>
                <w:szCs w:val="16"/>
                <w:lang w:eastAsia="es-MX"/>
              </w:rPr>
            </w:pPr>
            <w:r w:rsidRPr="00A04585">
              <w:rPr>
                <w:rFonts w:ascii="Cambria Math" w:eastAsia="Times New Roman" w:hAnsi="Cambria Math" w:cs="Cambria Math"/>
                <w:color w:val="000000"/>
                <w:sz w:val="16"/>
                <w:szCs w:val="16"/>
                <w:lang w:eastAsia="es-MX"/>
              </w:rPr>
              <w:t>②</w:t>
            </w:r>
            <w:r w:rsidRPr="00A04585">
              <w:rPr>
                <w:rFonts w:ascii="Trebuchet MS" w:eastAsia="Times New Roman" w:hAnsi="Trebuchet MS" w:cs="Calibri Light"/>
                <w:color w:val="000000"/>
                <w:sz w:val="16"/>
                <w:szCs w:val="16"/>
                <w:lang w:eastAsia="es-MX"/>
              </w:rPr>
              <w:t>Unidad de Medida y Actualizaci</w:t>
            </w:r>
            <w:r w:rsidRPr="00A04585">
              <w:rPr>
                <w:rFonts w:ascii="Trebuchet MS" w:eastAsia="Times New Roman" w:hAnsi="Trebuchet MS" w:cs="Trebuchet MS"/>
                <w:color w:val="000000"/>
                <w:sz w:val="16"/>
                <w:szCs w:val="16"/>
                <w:lang w:eastAsia="es-MX"/>
              </w:rPr>
              <w:t>ó</w:t>
            </w:r>
            <w:r w:rsidRPr="00A04585">
              <w:rPr>
                <w:rFonts w:ascii="Trebuchet MS" w:eastAsia="Times New Roman" w:hAnsi="Trebuchet MS" w:cs="Calibri Light"/>
                <w:color w:val="000000"/>
                <w:sz w:val="16"/>
                <w:szCs w:val="16"/>
                <w:lang w:eastAsia="es-MX"/>
              </w:rPr>
              <w:t>n publicada en el D.O.F., el 10 de enero de 2022.</w:t>
            </w:r>
            <w:r w:rsidRPr="00A04585">
              <w:rPr>
                <w:rFonts w:ascii="Trebuchet MS" w:eastAsia="Times New Roman" w:hAnsi="Trebuchet MS" w:cs="Calibri Light"/>
                <w:color w:val="000000"/>
                <w:sz w:val="16"/>
                <w:szCs w:val="16"/>
                <w:lang w:eastAsia="es-MX"/>
              </w:rPr>
              <w:br/>
              <w:t>https://dof.gob.mx/nota_detalle.php?codigo=5640427&amp;fecha=10/01/2022#gsc.tab=0</w:t>
            </w:r>
          </w:p>
        </w:tc>
      </w:tr>
    </w:tbl>
    <w:p w14:paraId="2EA03533" w14:textId="77777777" w:rsidR="00AC6282" w:rsidRPr="00A04585" w:rsidRDefault="00AC6282" w:rsidP="002E7CFF">
      <w:pPr>
        <w:pStyle w:val="Sinespaciado"/>
        <w:jc w:val="both"/>
        <w:rPr>
          <w:rFonts w:ascii="Trebuchet MS" w:hAnsi="Trebuchet MS"/>
          <w:color w:val="000000"/>
          <w:sz w:val="24"/>
          <w:szCs w:val="24"/>
          <w:lang w:val="es-ES_tradnl" w:eastAsia="es-MX"/>
        </w:rPr>
      </w:pPr>
    </w:p>
    <w:p w14:paraId="332FA070" w14:textId="77777777" w:rsidR="00F040EE" w:rsidRPr="00A04585" w:rsidRDefault="00F040EE" w:rsidP="002E7CFF">
      <w:pPr>
        <w:pStyle w:val="Sinespaciado"/>
        <w:jc w:val="both"/>
        <w:rPr>
          <w:rFonts w:ascii="Trebuchet MS" w:hAnsi="Trebuchet MS"/>
          <w:color w:val="000000"/>
          <w:sz w:val="24"/>
          <w:szCs w:val="24"/>
          <w:lang w:val="es-ES_tradnl" w:eastAsia="es-MX"/>
        </w:rPr>
      </w:pPr>
    </w:p>
    <w:p w14:paraId="197AD47E" w14:textId="2513B9A2" w:rsidR="007E3B2E" w:rsidRPr="00A04585" w:rsidRDefault="007E3B2E"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Como regla general, para la distribución de ambas bolsas, se establece que el </w:t>
      </w:r>
      <w:r w:rsidR="00A26906"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de cada una será distribuida en partes iguales entre los </w:t>
      </w:r>
      <w:r w:rsidR="00324146" w:rsidRPr="00A04585">
        <w:rPr>
          <w:rFonts w:ascii="Trebuchet MS" w:hAnsi="Trebuchet MS"/>
          <w:color w:val="000000"/>
          <w:sz w:val="24"/>
          <w:szCs w:val="24"/>
          <w:lang w:val="es-ES_tradnl" w:eastAsia="es-MX"/>
        </w:rPr>
        <w:t>partidos políticos con derecho a recibir financiamiento público</w:t>
      </w:r>
      <w:r w:rsidR="008606D8"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y el restante </w:t>
      </w:r>
      <w:r w:rsidR="00A26906" w:rsidRPr="00242547">
        <w:rPr>
          <w:rFonts w:ascii="Trebuchet MS" w:hAnsi="Trebuchet MS"/>
          <w:color w:val="000000"/>
          <w:sz w:val="24"/>
          <w:szCs w:val="24"/>
          <w:lang w:val="es-ES_tradnl" w:eastAsia="es-MX"/>
        </w:rPr>
        <w:t>setenta por ciento</w:t>
      </w:r>
      <w:r w:rsidRPr="00242547">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w:t>
      </w:r>
      <w:r w:rsidR="00324146" w:rsidRPr="00A04585">
        <w:rPr>
          <w:rFonts w:ascii="Trebuchet MS" w:hAnsi="Trebuchet MS"/>
          <w:color w:val="000000"/>
          <w:sz w:val="24"/>
          <w:szCs w:val="24"/>
          <w:lang w:val="es-ES_tradnl" w:eastAsia="es-MX"/>
        </w:rPr>
        <w:t xml:space="preserve">se distribuirá </w:t>
      </w:r>
      <w:r w:rsidRPr="00A04585">
        <w:rPr>
          <w:rFonts w:ascii="Trebuchet MS" w:hAnsi="Trebuchet MS"/>
          <w:color w:val="000000"/>
          <w:sz w:val="24"/>
          <w:szCs w:val="24"/>
          <w:lang w:val="es-ES_tradnl" w:eastAsia="es-MX"/>
        </w:rPr>
        <w:t xml:space="preserve">de acuerdo </w:t>
      </w:r>
      <w:r w:rsidR="00324146" w:rsidRPr="00A04585">
        <w:rPr>
          <w:rFonts w:ascii="Trebuchet MS" w:hAnsi="Trebuchet MS"/>
          <w:color w:val="000000"/>
          <w:sz w:val="24"/>
          <w:szCs w:val="24"/>
          <w:lang w:val="es-ES_tradnl" w:eastAsia="es-MX"/>
        </w:rPr>
        <w:t xml:space="preserve">con </w:t>
      </w:r>
      <w:r w:rsidRPr="00A04585">
        <w:rPr>
          <w:rFonts w:ascii="Trebuchet MS" w:hAnsi="Trebuchet MS"/>
          <w:color w:val="000000"/>
          <w:sz w:val="24"/>
          <w:szCs w:val="24"/>
          <w:lang w:val="es-ES_tradnl" w:eastAsia="es-MX"/>
        </w:rPr>
        <w:t>la cantidad de votos válidos que cada uno obtuvo en la última elección de diputaciones de mayoría relativa.</w:t>
      </w:r>
    </w:p>
    <w:p w14:paraId="303E7AD9" w14:textId="67FB9971" w:rsidR="007A386C" w:rsidRPr="00A04585" w:rsidRDefault="007A386C" w:rsidP="002E7CFF">
      <w:pPr>
        <w:pStyle w:val="Sinespaciado"/>
        <w:jc w:val="both"/>
        <w:rPr>
          <w:rFonts w:ascii="Trebuchet MS" w:hAnsi="Trebuchet MS"/>
          <w:color w:val="000000"/>
          <w:sz w:val="24"/>
          <w:szCs w:val="24"/>
          <w:lang w:val="es-ES_tradnl" w:eastAsia="es-MX"/>
        </w:rPr>
      </w:pPr>
    </w:p>
    <w:p w14:paraId="3A3A703F" w14:textId="541743A5" w:rsidR="007A386C" w:rsidRPr="00A04585" w:rsidRDefault="00324146"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atención </w:t>
      </w:r>
      <w:r w:rsidR="007A386C" w:rsidRPr="00A04585">
        <w:rPr>
          <w:rFonts w:ascii="Trebuchet MS" w:hAnsi="Trebuchet MS"/>
          <w:color w:val="000000"/>
          <w:sz w:val="24"/>
          <w:szCs w:val="24"/>
          <w:lang w:val="es-ES_tradnl" w:eastAsia="es-MX"/>
        </w:rPr>
        <w:t xml:space="preserve">a que se trata de dos bolsas de financiamiento, </w:t>
      </w:r>
      <w:r w:rsidRPr="00A04585">
        <w:rPr>
          <w:rFonts w:ascii="Trebuchet MS" w:hAnsi="Trebuchet MS"/>
          <w:color w:val="000000"/>
          <w:sz w:val="24"/>
          <w:szCs w:val="24"/>
          <w:lang w:val="es-ES_tradnl" w:eastAsia="es-MX"/>
        </w:rPr>
        <w:t>las reglas antes mencionadas serán aplicadas a cada una de las bolsas</w:t>
      </w:r>
      <w:r w:rsidR="008606D8" w:rsidRPr="00A04585">
        <w:rPr>
          <w:rFonts w:ascii="Trebuchet MS" w:hAnsi="Trebuchet MS"/>
          <w:color w:val="000000"/>
          <w:sz w:val="24"/>
          <w:szCs w:val="24"/>
          <w:lang w:val="es-ES_tradnl" w:eastAsia="es-MX"/>
        </w:rPr>
        <w:t>.</w:t>
      </w:r>
    </w:p>
    <w:p w14:paraId="65F7C32A" w14:textId="77777777" w:rsidR="00FB65D9" w:rsidRPr="00242547" w:rsidRDefault="00FB65D9" w:rsidP="002E7CFF">
      <w:pPr>
        <w:pStyle w:val="Sinespaciado"/>
        <w:jc w:val="both"/>
        <w:rPr>
          <w:rFonts w:ascii="Trebuchet MS" w:hAnsi="Trebuchet MS"/>
          <w:color w:val="000000"/>
          <w:sz w:val="24"/>
          <w:szCs w:val="24"/>
          <w:lang w:val="es-ES_tradnl" w:eastAsia="es-MX"/>
        </w:rPr>
      </w:pPr>
    </w:p>
    <w:p w14:paraId="3426B8DF" w14:textId="44490474" w:rsidR="00FB65D9" w:rsidRPr="00A04585" w:rsidRDefault="00FB65D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Ahora bien, el artículo 52, párrafo 1, de la Ley General de Partidos Políticos, precisa que para que un partido político nacional cuente con recursos públicos locales deberá haber obtenido el tres por ciento de la votación válida emitida en el proceso electoral anterior en la entidad federativa que se trate. </w:t>
      </w:r>
    </w:p>
    <w:p w14:paraId="255ED664" w14:textId="77777777" w:rsidR="00FB65D9" w:rsidRPr="00242547" w:rsidRDefault="00FB65D9" w:rsidP="002E7CFF">
      <w:pPr>
        <w:pStyle w:val="Sinespaciado"/>
        <w:jc w:val="both"/>
        <w:rPr>
          <w:rFonts w:ascii="Trebuchet MS" w:hAnsi="Trebuchet MS"/>
          <w:color w:val="000000"/>
          <w:sz w:val="24"/>
          <w:szCs w:val="24"/>
          <w:lang w:val="es-ES_tradnl" w:eastAsia="es-MX"/>
        </w:rPr>
      </w:pPr>
    </w:p>
    <w:p w14:paraId="6740B9C3" w14:textId="75830A03" w:rsidR="00FB65D9" w:rsidRPr="00A04585" w:rsidRDefault="00FB65D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Por su parte, el artículo 13, fracción II de la Constitución local establece que para que un partido mantenga su registro deberá obtener la votación que señala la Ley General de Partidos Políticos, es decir, cuando menos el </w:t>
      </w:r>
      <w:r w:rsidR="00A26906" w:rsidRPr="00242547">
        <w:rPr>
          <w:rFonts w:ascii="Trebuchet MS" w:hAnsi="Trebuchet MS"/>
          <w:color w:val="000000"/>
          <w:sz w:val="24"/>
          <w:szCs w:val="24"/>
          <w:lang w:val="es-ES_tradnl" w:eastAsia="es-MX"/>
        </w:rPr>
        <w:t>tres por ciento</w:t>
      </w:r>
      <w:r w:rsidRPr="00A04585">
        <w:rPr>
          <w:rFonts w:ascii="Trebuchet MS" w:hAnsi="Trebuchet MS"/>
          <w:color w:val="000000"/>
          <w:sz w:val="24"/>
          <w:szCs w:val="24"/>
          <w:lang w:val="es-ES_tradnl" w:eastAsia="es-MX"/>
        </w:rPr>
        <w:t xml:space="preserve"> de la votación válida estatal de cualquiera de las elecciones locales celebradas en el último proceso electoral, y en concordancia con ese ordenamiento, la norma estatal reitera </w:t>
      </w:r>
      <w:r w:rsidR="00495F5C" w:rsidRPr="00A04585">
        <w:rPr>
          <w:rFonts w:ascii="Trebuchet MS" w:hAnsi="Trebuchet MS"/>
          <w:color w:val="000000"/>
          <w:sz w:val="24"/>
          <w:szCs w:val="24"/>
          <w:lang w:val="es-ES_tradnl" w:eastAsia="es-MX"/>
        </w:rPr>
        <w:t xml:space="preserve">como parámetro para mantener </w:t>
      </w:r>
      <w:r w:rsidRPr="00A04585">
        <w:rPr>
          <w:rFonts w:ascii="Trebuchet MS" w:hAnsi="Trebuchet MS"/>
          <w:color w:val="000000"/>
          <w:sz w:val="24"/>
          <w:szCs w:val="24"/>
          <w:lang w:val="es-ES_tradnl" w:eastAsia="es-MX"/>
        </w:rPr>
        <w:t>su</w:t>
      </w:r>
      <w:r w:rsidR="00495F5C" w:rsidRPr="00A04585">
        <w:rPr>
          <w:rFonts w:ascii="Trebuchet MS" w:hAnsi="Trebuchet MS"/>
          <w:color w:val="000000"/>
          <w:sz w:val="24"/>
          <w:szCs w:val="24"/>
          <w:lang w:val="es-ES_tradnl" w:eastAsia="es-MX"/>
        </w:rPr>
        <w:t xml:space="preserve"> derecho a </w:t>
      </w:r>
      <w:r w:rsidR="00E45BD3" w:rsidRPr="00A04585">
        <w:rPr>
          <w:rFonts w:ascii="Trebuchet MS" w:hAnsi="Trebuchet MS"/>
          <w:color w:val="000000"/>
          <w:sz w:val="24"/>
          <w:szCs w:val="24"/>
          <w:lang w:val="es-ES_tradnl" w:eastAsia="es-MX"/>
        </w:rPr>
        <w:t xml:space="preserve">recibir </w:t>
      </w:r>
      <w:r w:rsidRPr="00A04585">
        <w:rPr>
          <w:rFonts w:ascii="Trebuchet MS" w:hAnsi="Trebuchet MS"/>
          <w:color w:val="000000"/>
          <w:sz w:val="24"/>
          <w:szCs w:val="24"/>
          <w:lang w:val="es-ES_tradnl" w:eastAsia="es-MX"/>
        </w:rPr>
        <w:t>financiamiento y prerrogativas estatales</w:t>
      </w:r>
      <w:r w:rsidR="00495F5C" w:rsidRPr="00A04585">
        <w:rPr>
          <w:rFonts w:ascii="Trebuchet MS" w:hAnsi="Trebuchet MS"/>
          <w:color w:val="000000"/>
          <w:sz w:val="24"/>
          <w:szCs w:val="24"/>
          <w:lang w:val="es-ES_tradnl" w:eastAsia="es-MX"/>
        </w:rPr>
        <w:t xml:space="preserve"> que cada partido nacional</w:t>
      </w:r>
      <w:r w:rsidRPr="00A04585">
        <w:rPr>
          <w:rFonts w:ascii="Trebuchet MS" w:hAnsi="Trebuchet MS"/>
          <w:color w:val="000000"/>
          <w:sz w:val="24"/>
          <w:szCs w:val="24"/>
          <w:lang w:val="es-ES_tradnl" w:eastAsia="es-MX"/>
        </w:rPr>
        <w:t xml:space="preserve">, debe obtener, </w:t>
      </w:r>
      <w:r w:rsidR="008606D8" w:rsidRPr="00A04585">
        <w:rPr>
          <w:rFonts w:ascii="Trebuchet MS" w:hAnsi="Trebuchet MS"/>
          <w:color w:val="000000"/>
          <w:sz w:val="24"/>
          <w:szCs w:val="24"/>
          <w:lang w:val="es-ES_tradnl" w:eastAsia="es-MX"/>
        </w:rPr>
        <w:t>como mínimo,</w:t>
      </w:r>
      <w:r w:rsidRPr="00A04585">
        <w:rPr>
          <w:rFonts w:ascii="Trebuchet MS" w:hAnsi="Trebuchet MS"/>
          <w:color w:val="000000"/>
          <w:sz w:val="24"/>
          <w:szCs w:val="24"/>
          <w:lang w:val="es-ES_tradnl" w:eastAsia="es-MX"/>
        </w:rPr>
        <w:t xml:space="preserve"> el tres por ciento de la votación válida </w:t>
      </w:r>
      <w:r w:rsidR="00E45BD3" w:rsidRPr="00A04585">
        <w:rPr>
          <w:rFonts w:ascii="Trebuchet MS" w:hAnsi="Trebuchet MS"/>
          <w:color w:val="000000"/>
          <w:sz w:val="24"/>
          <w:szCs w:val="24"/>
          <w:lang w:val="es-ES_tradnl" w:eastAsia="es-MX"/>
        </w:rPr>
        <w:t xml:space="preserve">emitida </w:t>
      </w:r>
      <w:r w:rsidRPr="00A04585">
        <w:rPr>
          <w:rFonts w:ascii="Trebuchet MS" w:hAnsi="Trebuchet MS"/>
          <w:color w:val="000000"/>
          <w:sz w:val="24"/>
          <w:szCs w:val="24"/>
          <w:lang w:val="es-ES_tradnl" w:eastAsia="es-MX"/>
        </w:rPr>
        <w:t xml:space="preserve">de la </w:t>
      </w:r>
      <w:r w:rsidR="00CC3C43" w:rsidRPr="00A04585">
        <w:rPr>
          <w:rFonts w:ascii="Trebuchet MS" w:hAnsi="Trebuchet MS"/>
          <w:color w:val="000000"/>
          <w:sz w:val="24"/>
          <w:szCs w:val="24"/>
          <w:lang w:val="es-ES_tradnl" w:eastAsia="es-MX"/>
        </w:rPr>
        <w:t xml:space="preserve">última </w:t>
      </w:r>
      <w:r w:rsidRPr="00A04585">
        <w:rPr>
          <w:rFonts w:ascii="Trebuchet MS" w:hAnsi="Trebuchet MS"/>
          <w:color w:val="000000"/>
          <w:sz w:val="24"/>
          <w:szCs w:val="24"/>
          <w:lang w:val="es-ES_tradnl" w:eastAsia="es-MX"/>
        </w:rPr>
        <w:t>elección de diputaciones por el principio de mayoría relativa.</w:t>
      </w:r>
    </w:p>
    <w:p w14:paraId="513B33D8" w14:textId="77777777" w:rsidR="00FB65D9" w:rsidRPr="00242547" w:rsidRDefault="00FB65D9" w:rsidP="002E7CFF">
      <w:pPr>
        <w:pStyle w:val="Sinespaciado"/>
        <w:jc w:val="both"/>
        <w:rPr>
          <w:rFonts w:ascii="Trebuchet MS" w:hAnsi="Trebuchet MS"/>
          <w:color w:val="000000"/>
          <w:sz w:val="24"/>
          <w:szCs w:val="24"/>
          <w:lang w:val="es-ES_tradnl" w:eastAsia="es-MX"/>
        </w:rPr>
      </w:pPr>
    </w:p>
    <w:p w14:paraId="5A1C72BA" w14:textId="08F7E6CB" w:rsidR="00E6743E" w:rsidRPr="00A04585" w:rsidRDefault="00495F5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relación con lo anterior, es necesario precisar que c</w:t>
      </w:r>
      <w:r w:rsidR="00E6743E" w:rsidRPr="00A04585">
        <w:rPr>
          <w:rFonts w:ascii="Trebuchet MS" w:hAnsi="Trebuchet MS"/>
          <w:color w:val="000000"/>
          <w:sz w:val="24"/>
          <w:szCs w:val="24"/>
          <w:lang w:val="es-ES_tradnl" w:eastAsia="es-MX"/>
        </w:rPr>
        <w:t xml:space="preserve">onforme al artículo 15, párrafo 1, fracciones I y II del Código Electoral del Estado de Jalisco, la votación total emitida es la suma de todos los sufragios emitidos en la elección correspondiente y, la votación válida emitida es la que resulta de deducir </w:t>
      </w:r>
      <w:r w:rsidRPr="00A04585">
        <w:rPr>
          <w:rFonts w:ascii="Trebuchet MS" w:hAnsi="Trebuchet MS"/>
          <w:color w:val="000000"/>
          <w:sz w:val="24"/>
          <w:szCs w:val="24"/>
          <w:lang w:val="es-ES_tradnl" w:eastAsia="es-MX"/>
        </w:rPr>
        <w:t xml:space="preserve">a </w:t>
      </w:r>
      <w:r w:rsidR="00E6743E" w:rsidRPr="00A04585">
        <w:rPr>
          <w:rFonts w:ascii="Trebuchet MS" w:hAnsi="Trebuchet MS"/>
          <w:color w:val="000000"/>
          <w:sz w:val="24"/>
          <w:szCs w:val="24"/>
          <w:lang w:val="es-ES_tradnl" w:eastAsia="es-MX"/>
        </w:rPr>
        <w:t>la votación total emitida</w:t>
      </w:r>
      <w:r w:rsidRPr="00A04585">
        <w:rPr>
          <w:rFonts w:ascii="Trebuchet MS" w:hAnsi="Trebuchet MS"/>
          <w:color w:val="000000"/>
          <w:sz w:val="24"/>
          <w:szCs w:val="24"/>
          <w:lang w:val="es-ES_tradnl" w:eastAsia="es-MX"/>
        </w:rPr>
        <w:t>,</w:t>
      </w:r>
      <w:r w:rsidR="00E6743E" w:rsidRPr="00A04585">
        <w:rPr>
          <w:rFonts w:ascii="Trebuchet MS" w:hAnsi="Trebuchet MS"/>
          <w:color w:val="000000"/>
          <w:sz w:val="24"/>
          <w:szCs w:val="24"/>
          <w:lang w:val="es-ES_tradnl" w:eastAsia="es-MX"/>
        </w:rPr>
        <w:t xml:space="preserve"> los votos nulos y los de candidaturas no registradas.</w:t>
      </w:r>
    </w:p>
    <w:p w14:paraId="69F2601D" w14:textId="125E287B" w:rsidR="006C7412" w:rsidRPr="00A04585" w:rsidRDefault="006C7412" w:rsidP="002E7CFF">
      <w:pPr>
        <w:pStyle w:val="Sinespaciado"/>
        <w:jc w:val="both"/>
        <w:rPr>
          <w:rFonts w:ascii="Trebuchet MS" w:hAnsi="Trebuchet MS"/>
          <w:color w:val="000000"/>
          <w:sz w:val="24"/>
          <w:szCs w:val="24"/>
          <w:lang w:val="es-ES_tradnl" w:eastAsia="es-MX"/>
        </w:rPr>
      </w:pPr>
    </w:p>
    <w:p w14:paraId="4C4CB5B2" w14:textId="20000265" w:rsidR="006C7412" w:rsidRPr="00A04585" w:rsidRDefault="006C7412"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lo anterior se colige que los partidos nacionales que no sean de nueva </w:t>
      </w:r>
      <w:r w:rsidR="0066708A" w:rsidRPr="00A04585">
        <w:rPr>
          <w:rFonts w:ascii="Trebuchet MS" w:hAnsi="Trebuchet MS"/>
          <w:color w:val="000000"/>
          <w:sz w:val="24"/>
          <w:szCs w:val="24"/>
          <w:lang w:val="es-ES_tradnl" w:eastAsia="es-MX"/>
        </w:rPr>
        <w:t>creación</w:t>
      </w:r>
      <w:r w:rsidRPr="00A04585">
        <w:rPr>
          <w:rFonts w:ascii="Trebuchet MS" w:hAnsi="Trebuchet MS"/>
          <w:color w:val="000000"/>
          <w:sz w:val="24"/>
          <w:szCs w:val="24"/>
          <w:lang w:val="es-ES_tradnl" w:eastAsia="es-MX"/>
        </w:rPr>
        <w:t xml:space="preserve"> tienen derecho a participar del financiamiento estatal para actividades ordinarias, en la bolsa correspondiente, siempre que reúnan al menos el tres por ciento de la</w:t>
      </w:r>
      <w:r w:rsidR="0066708A" w:rsidRPr="00A04585">
        <w:rPr>
          <w:rFonts w:ascii="Trebuchet MS" w:hAnsi="Trebuchet MS"/>
          <w:color w:val="000000"/>
          <w:sz w:val="24"/>
          <w:szCs w:val="24"/>
          <w:lang w:val="es-ES_tradnl" w:eastAsia="es-MX"/>
        </w:rPr>
        <w:t xml:space="preserve"> votación válida emitida en la</w:t>
      </w:r>
      <w:r w:rsidRPr="00A04585">
        <w:rPr>
          <w:rFonts w:ascii="Trebuchet MS" w:hAnsi="Trebuchet MS"/>
          <w:color w:val="000000"/>
          <w:sz w:val="24"/>
          <w:szCs w:val="24"/>
          <w:lang w:val="es-ES_tradnl" w:eastAsia="es-MX"/>
        </w:rPr>
        <w:t xml:space="preserve"> última elección de diputaciones locales. En tanto que</w:t>
      </w:r>
      <w:r w:rsidR="00CC3C43" w:rsidRPr="00A04585">
        <w:rPr>
          <w:rFonts w:ascii="Trebuchet MS" w:hAnsi="Trebuchet MS"/>
          <w:color w:val="000000"/>
          <w:sz w:val="24"/>
          <w:szCs w:val="24"/>
          <w:lang w:val="es-ES_tradnl" w:eastAsia="es-MX"/>
        </w:rPr>
        <w:t>, para gozar de dicha prerrogativa,</w:t>
      </w:r>
      <w:r w:rsidRPr="00A04585">
        <w:rPr>
          <w:rFonts w:ascii="Trebuchet MS" w:hAnsi="Trebuchet MS"/>
          <w:color w:val="000000"/>
          <w:sz w:val="24"/>
          <w:szCs w:val="24"/>
          <w:lang w:val="es-ES_tradnl" w:eastAsia="es-MX"/>
        </w:rPr>
        <w:t xml:space="preserve"> los partidos políticos locales deben de contar con registro estatal.</w:t>
      </w:r>
    </w:p>
    <w:p w14:paraId="4BCD4442" w14:textId="1CC07CD5" w:rsidR="006C7412" w:rsidRPr="00242547" w:rsidRDefault="006C7412" w:rsidP="002E7CFF">
      <w:pPr>
        <w:pStyle w:val="Sinespaciado"/>
        <w:jc w:val="both"/>
        <w:rPr>
          <w:rFonts w:ascii="Trebuchet MS" w:hAnsi="Trebuchet MS"/>
          <w:color w:val="000000"/>
          <w:sz w:val="24"/>
          <w:szCs w:val="24"/>
          <w:lang w:val="es-ES_tradnl" w:eastAsia="es-MX"/>
        </w:rPr>
      </w:pPr>
    </w:p>
    <w:p w14:paraId="46D93CB8" w14:textId="3D7EF51F" w:rsidR="009E769B" w:rsidRPr="00A04585" w:rsidRDefault="00CC3C4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el caso</w:t>
      </w:r>
      <w:r w:rsidR="00495F5C" w:rsidRPr="00A04585">
        <w:rPr>
          <w:rFonts w:ascii="Trebuchet MS" w:hAnsi="Trebuchet MS"/>
          <w:color w:val="000000"/>
          <w:sz w:val="24"/>
          <w:szCs w:val="24"/>
          <w:lang w:val="es-ES_tradnl" w:eastAsia="es-MX"/>
        </w:rPr>
        <w:t xml:space="preserve"> concreto</w:t>
      </w:r>
      <w:r w:rsidRPr="00A04585">
        <w:rPr>
          <w:rFonts w:ascii="Trebuchet MS" w:hAnsi="Trebuchet MS"/>
          <w:color w:val="000000"/>
          <w:sz w:val="24"/>
          <w:szCs w:val="24"/>
          <w:lang w:val="es-ES_tradnl" w:eastAsia="es-MX"/>
        </w:rPr>
        <w:t xml:space="preserve">, todos los partidos políticos que obtuvieron una votación mayor al </w:t>
      </w:r>
      <w:r w:rsidR="00A26906" w:rsidRPr="00242547">
        <w:rPr>
          <w:rFonts w:ascii="Trebuchet MS" w:hAnsi="Trebuchet MS"/>
          <w:color w:val="000000"/>
          <w:sz w:val="24"/>
          <w:szCs w:val="24"/>
          <w:lang w:val="es-ES_tradnl" w:eastAsia="es-MX"/>
        </w:rPr>
        <w:t>tres por ciento</w:t>
      </w:r>
      <w:r w:rsidRPr="00A04585">
        <w:rPr>
          <w:rFonts w:ascii="Trebuchet MS" w:hAnsi="Trebuchet MS"/>
          <w:color w:val="000000"/>
          <w:sz w:val="24"/>
          <w:szCs w:val="24"/>
          <w:lang w:val="es-ES_tradnl" w:eastAsia="es-MX"/>
        </w:rPr>
        <w:t xml:space="preserve"> en la elección de diputaciones locales, cuentan con representación en el Congreso del Estado, razón por la que a ninguno de ellos le aplicará la</w:t>
      </w:r>
      <w:r w:rsidR="00AC7AB7"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regla</w:t>
      </w:r>
      <w:r w:rsidR="00AC7AB7" w:rsidRPr="00A04585">
        <w:rPr>
          <w:rFonts w:ascii="Trebuchet MS" w:hAnsi="Trebuchet MS"/>
          <w:color w:val="000000"/>
          <w:sz w:val="24"/>
          <w:szCs w:val="24"/>
          <w:lang w:val="es-ES_tradnl" w:eastAsia="es-MX"/>
        </w:rPr>
        <w:t xml:space="preserve"> señalada en el artículo 51 párrafo 2 de la Ley General de Partidos Políticos,</w:t>
      </w:r>
      <w:r w:rsidRPr="00A04585">
        <w:rPr>
          <w:rFonts w:ascii="Trebuchet MS" w:hAnsi="Trebuchet MS"/>
          <w:color w:val="000000"/>
          <w:sz w:val="24"/>
          <w:szCs w:val="24"/>
          <w:lang w:val="es-ES_tradnl" w:eastAsia="es-MX"/>
        </w:rPr>
        <w:t xml:space="preserve"> consistente en la </w:t>
      </w:r>
      <w:r w:rsidR="00A26906" w:rsidRPr="00A04585">
        <w:rPr>
          <w:rFonts w:ascii="Trebuchet MS" w:hAnsi="Trebuchet MS"/>
          <w:color w:val="000000"/>
          <w:sz w:val="24"/>
          <w:szCs w:val="24"/>
          <w:lang w:val="es-ES_tradnl" w:eastAsia="es-MX"/>
        </w:rPr>
        <w:t xml:space="preserve">asignación del equivalente al </w:t>
      </w:r>
      <w:r w:rsidR="00A26906" w:rsidRPr="00242547">
        <w:rPr>
          <w:rFonts w:ascii="Trebuchet MS" w:hAnsi="Trebuchet MS"/>
          <w:color w:val="000000"/>
          <w:sz w:val="24"/>
          <w:szCs w:val="24"/>
          <w:lang w:val="es-ES_tradnl" w:eastAsia="es-MX"/>
        </w:rPr>
        <w:t>dos por ciento</w:t>
      </w:r>
      <w:r w:rsidRPr="00A04585">
        <w:rPr>
          <w:rFonts w:ascii="Trebuchet MS" w:hAnsi="Trebuchet MS"/>
          <w:color w:val="000000"/>
          <w:sz w:val="24"/>
          <w:szCs w:val="24"/>
          <w:lang w:val="es-ES_tradnl" w:eastAsia="es-MX"/>
        </w:rPr>
        <w:t xml:space="preserve"> de la bolsa respectiva.</w:t>
      </w:r>
    </w:p>
    <w:p w14:paraId="6A1A95AC" w14:textId="77777777" w:rsidR="006F0B9A" w:rsidRPr="00A04585" w:rsidRDefault="006F0B9A" w:rsidP="002E7CFF">
      <w:pPr>
        <w:pStyle w:val="Sinespaciado"/>
        <w:jc w:val="both"/>
        <w:rPr>
          <w:rFonts w:ascii="Trebuchet MS" w:hAnsi="Trebuchet MS"/>
          <w:color w:val="000000"/>
          <w:sz w:val="24"/>
          <w:szCs w:val="24"/>
          <w:lang w:val="es-ES_tradnl" w:eastAsia="es-MX"/>
        </w:rPr>
      </w:pPr>
    </w:p>
    <w:p w14:paraId="3C983BD2" w14:textId="62F396CF" w:rsidR="009E769B" w:rsidRPr="00A04585" w:rsidRDefault="009E769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 continuación, se ilustra el porcentaje de votación válida de cada partido político nacional y local en la elección de diputaciones locales por el principio</w:t>
      </w:r>
      <w:r w:rsidR="00C72509" w:rsidRPr="00A04585">
        <w:rPr>
          <w:rFonts w:ascii="Trebuchet MS" w:hAnsi="Trebuchet MS"/>
          <w:color w:val="000000"/>
          <w:sz w:val="24"/>
          <w:szCs w:val="24"/>
          <w:lang w:val="es-ES_tradnl" w:eastAsia="es-MX"/>
        </w:rPr>
        <w:t xml:space="preserve"> de mayoría relativa durante el proceso electoral local ordinario 2020-2021</w:t>
      </w:r>
      <w:r w:rsidR="00AC6282" w:rsidRPr="00A04585">
        <w:rPr>
          <w:rFonts w:ascii="Trebuchet MS" w:hAnsi="Trebuchet MS"/>
          <w:color w:val="000000"/>
          <w:sz w:val="24"/>
          <w:szCs w:val="24"/>
          <w:lang w:val="es-ES_tradnl" w:eastAsia="es-MX"/>
        </w:rPr>
        <w:t>, conforme la tabla siguiente</w:t>
      </w:r>
      <w:r w:rsidRPr="00A04585">
        <w:rPr>
          <w:rFonts w:ascii="Trebuchet MS" w:hAnsi="Trebuchet MS"/>
          <w:color w:val="000000"/>
          <w:sz w:val="24"/>
          <w:szCs w:val="24"/>
          <w:lang w:val="es-ES_tradnl" w:eastAsia="es-MX"/>
        </w:rPr>
        <w:t>:</w:t>
      </w:r>
    </w:p>
    <w:p w14:paraId="4A8E7F34" w14:textId="77777777" w:rsidR="00A26906" w:rsidRPr="00A04585" w:rsidRDefault="00A26906" w:rsidP="002E7CFF">
      <w:pPr>
        <w:pStyle w:val="Sinespaciado"/>
        <w:jc w:val="both"/>
        <w:rPr>
          <w:rFonts w:ascii="Trebuchet MS" w:hAnsi="Trebuchet MS"/>
          <w:color w:val="000000"/>
          <w:sz w:val="24"/>
          <w:szCs w:val="24"/>
          <w:lang w:val="es-ES_tradnl" w:eastAsia="es-MX"/>
        </w:rPr>
      </w:pPr>
    </w:p>
    <w:p w14:paraId="57B2B8AB" w14:textId="77777777" w:rsidR="00A26906" w:rsidRPr="00A04585" w:rsidRDefault="00A26906" w:rsidP="002E7CFF">
      <w:pPr>
        <w:pStyle w:val="Sinespaciado"/>
        <w:jc w:val="both"/>
        <w:rPr>
          <w:rFonts w:ascii="Trebuchet MS" w:hAnsi="Trebuchet MS"/>
          <w:color w:val="000000"/>
          <w:sz w:val="24"/>
          <w:szCs w:val="24"/>
          <w:lang w:val="es-ES_tradnl" w:eastAsia="es-MX"/>
        </w:rPr>
      </w:pPr>
    </w:p>
    <w:p w14:paraId="7C00C573" w14:textId="77777777" w:rsidR="00C72509" w:rsidRPr="00242547" w:rsidRDefault="00C72509" w:rsidP="002E7CFF">
      <w:pPr>
        <w:pStyle w:val="Sinespaciado"/>
        <w:jc w:val="both"/>
        <w:rPr>
          <w:rFonts w:ascii="Trebuchet MS" w:hAnsi="Trebuchet MS"/>
          <w:color w:val="000000"/>
          <w:sz w:val="24"/>
          <w:szCs w:val="24"/>
          <w:lang w:val="es-ES_tradnl" w:eastAsia="es-MX"/>
        </w:rPr>
      </w:pPr>
    </w:p>
    <w:tbl>
      <w:tblPr>
        <w:tblW w:w="9062" w:type="dxa"/>
        <w:tblLayout w:type="fixed"/>
        <w:tblCellMar>
          <w:left w:w="70" w:type="dxa"/>
          <w:right w:w="70" w:type="dxa"/>
        </w:tblCellMar>
        <w:tblLook w:val="04A0" w:firstRow="1" w:lastRow="0" w:firstColumn="1" w:lastColumn="0" w:noHBand="0" w:noVBand="1"/>
      </w:tblPr>
      <w:tblGrid>
        <w:gridCol w:w="3068"/>
        <w:gridCol w:w="1445"/>
        <w:gridCol w:w="1673"/>
        <w:gridCol w:w="771"/>
        <w:gridCol w:w="688"/>
        <w:gridCol w:w="1417"/>
      </w:tblGrid>
      <w:tr w:rsidR="00CA0924" w:rsidRPr="00A04585" w14:paraId="1FDE827D" w14:textId="77777777" w:rsidTr="00AC6282">
        <w:trPr>
          <w:trHeight w:val="293"/>
        </w:trPr>
        <w:tc>
          <w:tcPr>
            <w:tcW w:w="9062" w:type="dxa"/>
            <w:gridSpan w:val="6"/>
            <w:vMerge w:val="restart"/>
            <w:tcBorders>
              <w:top w:val="single" w:sz="8" w:space="0" w:color="808080"/>
              <w:left w:val="single" w:sz="8" w:space="0" w:color="808080"/>
              <w:bottom w:val="single" w:sz="4" w:space="0" w:color="808080"/>
              <w:right w:val="single" w:sz="8" w:space="0" w:color="808080"/>
            </w:tcBorders>
            <w:shd w:val="clear" w:color="auto" w:fill="auto"/>
            <w:vAlign w:val="center"/>
            <w:hideMark/>
          </w:tcPr>
          <w:p w14:paraId="0E1A3E8E" w14:textId="5DD52439" w:rsidR="00CA0924" w:rsidRPr="00A04585" w:rsidRDefault="00AC6282" w:rsidP="00AC6282">
            <w:pPr>
              <w:jc w:val="center"/>
              <w:rPr>
                <w:rFonts w:ascii="Trebuchet MS" w:eastAsia="Times New Roman" w:hAnsi="Trebuchet MS" w:cs="Calibri"/>
                <w:b/>
                <w:bCs/>
                <w:sz w:val="20"/>
                <w:szCs w:val="20"/>
                <w:lang w:eastAsia="es-MX"/>
              </w:rPr>
            </w:pPr>
            <w:r w:rsidRPr="00A04585">
              <w:rPr>
                <w:rFonts w:ascii="Trebuchet MS" w:eastAsia="Times New Roman" w:hAnsi="Trebuchet MS" w:cs="Calibri"/>
                <w:b/>
                <w:bCs/>
                <w:sz w:val="20"/>
                <w:szCs w:val="20"/>
                <w:lang w:eastAsia="es-MX"/>
              </w:rPr>
              <w:t xml:space="preserve">PARTIDOS POLÍTICOS CON DERECHO A FINANCIAMIENTO PÚBLICO  </w:t>
            </w:r>
            <w:r w:rsidR="00CA0924" w:rsidRPr="00A04585">
              <w:rPr>
                <w:rFonts w:ascii="Trebuchet MS" w:eastAsia="Times New Roman" w:hAnsi="Trebuchet MS" w:cs="Calibri"/>
                <w:b/>
                <w:bCs/>
                <w:sz w:val="20"/>
                <w:szCs w:val="20"/>
                <w:lang w:eastAsia="es-MX"/>
              </w:rPr>
              <w:br/>
              <w:t>Artículos 13, base II, de la Constitución Política del Estado de Jalisco y 46 del Código Electoral del Estado de Jalisco.</w:t>
            </w:r>
          </w:p>
        </w:tc>
      </w:tr>
      <w:tr w:rsidR="00CA0924" w:rsidRPr="00A04585" w14:paraId="6AFA8E5B" w14:textId="77777777" w:rsidTr="00AC6282">
        <w:trPr>
          <w:trHeight w:val="293"/>
        </w:trPr>
        <w:tc>
          <w:tcPr>
            <w:tcW w:w="9062" w:type="dxa"/>
            <w:gridSpan w:val="6"/>
            <w:vMerge/>
            <w:tcBorders>
              <w:top w:val="single" w:sz="8" w:space="0" w:color="808080"/>
              <w:left w:val="single" w:sz="8" w:space="0" w:color="808080"/>
              <w:bottom w:val="single" w:sz="4" w:space="0" w:color="808080"/>
              <w:right w:val="single" w:sz="8" w:space="0" w:color="808080"/>
            </w:tcBorders>
            <w:vAlign w:val="center"/>
            <w:hideMark/>
          </w:tcPr>
          <w:p w14:paraId="3640B207" w14:textId="77777777" w:rsidR="00CA0924" w:rsidRPr="00A04585" w:rsidRDefault="00CA0924" w:rsidP="00AC6282">
            <w:pPr>
              <w:jc w:val="center"/>
              <w:rPr>
                <w:rFonts w:ascii="Trebuchet MS" w:eastAsia="Times New Roman" w:hAnsi="Trebuchet MS" w:cs="Calibri"/>
                <w:b/>
                <w:bCs/>
                <w:sz w:val="20"/>
                <w:szCs w:val="20"/>
                <w:lang w:eastAsia="es-MX"/>
              </w:rPr>
            </w:pPr>
          </w:p>
        </w:tc>
      </w:tr>
      <w:tr w:rsidR="00CA0924" w:rsidRPr="00A04585" w14:paraId="52D918D8" w14:textId="77777777" w:rsidTr="00AC6282">
        <w:trPr>
          <w:trHeight w:val="293"/>
        </w:trPr>
        <w:tc>
          <w:tcPr>
            <w:tcW w:w="9062" w:type="dxa"/>
            <w:gridSpan w:val="6"/>
            <w:vMerge/>
            <w:tcBorders>
              <w:top w:val="single" w:sz="8" w:space="0" w:color="808080"/>
              <w:left w:val="single" w:sz="8" w:space="0" w:color="808080"/>
              <w:bottom w:val="single" w:sz="4" w:space="0" w:color="808080"/>
              <w:right w:val="single" w:sz="8" w:space="0" w:color="808080"/>
            </w:tcBorders>
            <w:vAlign w:val="center"/>
            <w:hideMark/>
          </w:tcPr>
          <w:p w14:paraId="293434C4" w14:textId="77777777" w:rsidR="00CA0924" w:rsidRPr="00A04585" w:rsidRDefault="00CA0924" w:rsidP="00AC6282">
            <w:pPr>
              <w:jc w:val="center"/>
              <w:rPr>
                <w:rFonts w:ascii="Trebuchet MS" w:eastAsia="Times New Roman" w:hAnsi="Trebuchet MS" w:cs="Calibri"/>
                <w:b/>
                <w:bCs/>
                <w:sz w:val="20"/>
                <w:szCs w:val="20"/>
                <w:lang w:eastAsia="es-MX"/>
              </w:rPr>
            </w:pPr>
          </w:p>
        </w:tc>
      </w:tr>
      <w:tr w:rsidR="00CA0924" w:rsidRPr="00A04585" w14:paraId="6F8B4FA1" w14:textId="77777777" w:rsidTr="00AC6282">
        <w:trPr>
          <w:trHeight w:val="293"/>
        </w:trPr>
        <w:tc>
          <w:tcPr>
            <w:tcW w:w="9062" w:type="dxa"/>
            <w:gridSpan w:val="6"/>
            <w:vMerge/>
            <w:tcBorders>
              <w:top w:val="single" w:sz="8" w:space="0" w:color="808080"/>
              <w:left w:val="single" w:sz="8" w:space="0" w:color="808080"/>
              <w:bottom w:val="single" w:sz="4" w:space="0" w:color="808080"/>
              <w:right w:val="single" w:sz="8" w:space="0" w:color="808080"/>
            </w:tcBorders>
            <w:vAlign w:val="center"/>
            <w:hideMark/>
          </w:tcPr>
          <w:p w14:paraId="6D9B07E8" w14:textId="77777777" w:rsidR="00CA0924" w:rsidRPr="00A04585" w:rsidRDefault="00CA0924" w:rsidP="00AC6282">
            <w:pPr>
              <w:jc w:val="center"/>
              <w:rPr>
                <w:rFonts w:ascii="Trebuchet MS" w:eastAsia="Times New Roman" w:hAnsi="Trebuchet MS" w:cs="Calibri"/>
                <w:b/>
                <w:bCs/>
                <w:sz w:val="20"/>
                <w:szCs w:val="20"/>
                <w:lang w:eastAsia="es-MX"/>
              </w:rPr>
            </w:pPr>
          </w:p>
        </w:tc>
      </w:tr>
      <w:tr w:rsidR="00CA0924" w:rsidRPr="00A04585" w14:paraId="0CB54831" w14:textId="77777777" w:rsidTr="00AC6282">
        <w:trPr>
          <w:trHeight w:val="293"/>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2F2F2"/>
            <w:noWrap/>
            <w:vAlign w:val="center"/>
            <w:hideMark/>
          </w:tcPr>
          <w:p w14:paraId="4E7AD989"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Partido Político</w:t>
            </w:r>
          </w:p>
        </w:tc>
        <w:tc>
          <w:tcPr>
            <w:tcW w:w="3118" w:type="dxa"/>
            <w:gridSpan w:val="2"/>
            <w:vMerge w:val="restart"/>
            <w:tcBorders>
              <w:top w:val="single" w:sz="8" w:space="0" w:color="808080"/>
              <w:left w:val="single" w:sz="8" w:space="0" w:color="808080"/>
              <w:bottom w:val="single" w:sz="8" w:space="0" w:color="808080"/>
              <w:right w:val="single" w:sz="8" w:space="0" w:color="808080"/>
            </w:tcBorders>
            <w:shd w:val="clear" w:color="000000" w:fill="F2F2F2"/>
            <w:noWrap/>
            <w:vAlign w:val="center"/>
            <w:hideMark/>
          </w:tcPr>
          <w:p w14:paraId="59F834F5" w14:textId="77777777" w:rsidR="00CA0924" w:rsidRPr="00A04585" w:rsidRDefault="00CA0924" w:rsidP="00AC6282">
            <w:pPr>
              <w:jc w:val="center"/>
              <w:rPr>
                <w:rFonts w:ascii="Trebuchet MS" w:eastAsia="Times New Roman" w:hAnsi="Trebuchet MS" w:cs="Calibri"/>
                <w:b/>
                <w:bCs/>
                <w:color w:val="000000"/>
                <w:sz w:val="18"/>
                <w:szCs w:val="20"/>
                <w:lang w:eastAsia="es-MX"/>
              </w:rPr>
            </w:pPr>
            <w:r w:rsidRPr="00A04585">
              <w:rPr>
                <w:rFonts w:ascii="Trebuchet MS" w:eastAsia="Times New Roman" w:hAnsi="Trebuchet MS" w:cs="Calibri"/>
                <w:b/>
                <w:bCs/>
                <w:color w:val="000000"/>
                <w:sz w:val="18"/>
                <w:szCs w:val="20"/>
                <w:lang w:eastAsia="es-MX"/>
              </w:rPr>
              <w:t>Votación</w:t>
            </w:r>
          </w:p>
        </w:tc>
        <w:tc>
          <w:tcPr>
            <w:tcW w:w="1459" w:type="dxa"/>
            <w:gridSpan w:val="2"/>
            <w:vMerge w:val="restart"/>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22149331" w14:textId="77777777" w:rsidR="00CA0924" w:rsidRPr="00A04585" w:rsidRDefault="00CA0924" w:rsidP="00AC6282">
            <w:pPr>
              <w:jc w:val="center"/>
              <w:rPr>
                <w:rFonts w:ascii="Trebuchet MS" w:eastAsia="Times New Roman" w:hAnsi="Trebuchet MS" w:cs="Calibri"/>
                <w:b/>
                <w:bCs/>
                <w:color w:val="000000"/>
                <w:sz w:val="18"/>
                <w:szCs w:val="20"/>
                <w:lang w:eastAsia="es-MX"/>
              </w:rPr>
            </w:pPr>
            <w:r w:rsidRPr="00A04585">
              <w:rPr>
                <w:rFonts w:ascii="Trebuchet MS" w:eastAsia="Times New Roman" w:hAnsi="Trebuchet MS" w:cs="Calibri"/>
                <w:b/>
                <w:bCs/>
                <w:color w:val="000000"/>
                <w:sz w:val="18"/>
                <w:szCs w:val="20"/>
                <w:lang w:eastAsia="es-MX"/>
              </w:rPr>
              <w:t>Con derecho a financiamiento público</w:t>
            </w:r>
          </w:p>
        </w:tc>
        <w:tc>
          <w:tcPr>
            <w:tcW w:w="1417" w:type="dxa"/>
            <w:vMerge w:val="restart"/>
            <w:tcBorders>
              <w:top w:val="single" w:sz="8" w:space="0" w:color="808080"/>
              <w:left w:val="nil"/>
              <w:bottom w:val="single" w:sz="8" w:space="0" w:color="808080"/>
              <w:right w:val="single" w:sz="8" w:space="0" w:color="808080"/>
            </w:tcBorders>
            <w:shd w:val="clear" w:color="000000" w:fill="F2F2F2"/>
            <w:vAlign w:val="center"/>
            <w:hideMark/>
          </w:tcPr>
          <w:p w14:paraId="0A5F7FC4" w14:textId="77777777" w:rsidR="00CA0924" w:rsidRPr="00A04585" w:rsidRDefault="00CA0924" w:rsidP="00AC6282">
            <w:pPr>
              <w:jc w:val="center"/>
              <w:rPr>
                <w:rFonts w:ascii="Trebuchet MS" w:eastAsia="Times New Roman" w:hAnsi="Trebuchet MS" w:cs="Calibri"/>
                <w:b/>
                <w:bCs/>
                <w:color w:val="000000"/>
                <w:sz w:val="18"/>
                <w:szCs w:val="20"/>
                <w:lang w:eastAsia="es-MX"/>
              </w:rPr>
            </w:pPr>
            <w:r w:rsidRPr="00A04585">
              <w:rPr>
                <w:rFonts w:ascii="Trebuchet MS" w:eastAsia="Times New Roman" w:hAnsi="Trebuchet MS" w:cs="Calibri"/>
                <w:b/>
                <w:bCs/>
                <w:color w:val="000000"/>
                <w:sz w:val="18"/>
                <w:szCs w:val="20"/>
                <w:lang w:eastAsia="es-MX"/>
              </w:rPr>
              <w:t>Porcentaje de la votación total emitida</w:t>
            </w:r>
          </w:p>
        </w:tc>
      </w:tr>
      <w:tr w:rsidR="00CA0924" w:rsidRPr="00A04585" w14:paraId="397BDCDA" w14:textId="77777777" w:rsidTr="00AC6282">
        <w:trPr>
          <w:trHeight w:val="293"/>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219F25F1"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3118" w:type="dxa"/>
            <w:gridSpan w:val="2"/>
            <w:vMerge/>
            <w:tcBorders>
              <w:top w:val="single" w:sz="8" w:space="0" w:color="808080"/>
              <w:left w:val="single" w:sz="8" w:space="0" w:color="808080"/>
              <w:bottom w:val="single" w:sz="8" w:space="0" w:color="808080"/>
              <w:right w:val="single" w:sz="8" w:space="0" w:color="808080"/>
            </w:tcBorders>
            <w:vAlign w:val="center"/>
            <w:hideMark/>
          </w:tcPr>
          <w:p w14:paraId="717F537B"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59" w:type="dxa"/>
            <w:gridSpan w:val="2"/>
            <w:vMerge/>
            <w:tcBorders>
              <w:top w:val="single" w:sz="8" w:space="0" w:color="808080"/>
              <w:left w:val="single" w:sz="8" w:space="0" w:color="808080"/>
              <w:bottom w:val="single" w:sz="8" w:space="0" w:color="808080"/>
              <w:right w:val="single" w:sz="8" w:space="0" w:color="808080"/>
            </w:tcBorders>
            <w:vAlign w:val="center"/>
            <w:hideMark/>
          </w:tcPr>
          <w:p w14:paraId="3CB29A15"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17" w:type="dxa"/>
            <w:vMerge/>
            <w:tcBorders>
              <w:top w:val="single" w:sz="8" w:space="0" w:color="808080"/>
              <w:left w:val="nil"/>
              <w:bottom w:val="single" w:sz="8" w:space="0" w:color="808080"/>
              <w:right w:val="single" w:sz="8" w:space="0" w:color="808080"/>
            </w:tcBorders>
            <w:vAlign w:val="center"/>
            <w:hideMark/>
          </w:tcPr>
          <w:p w14:paraId="2ACDEFF9"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r>
      <w:tr w:rsidR="00CA0924" w:rsidRPr="00A04585" w14:paraId="6F65EBAD" w14:textId="77777777" w:rsidTr="00AC6282">
        <w:trPr>
          <w:trHeight w:val="293"/>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5FD47647"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F2F2F2"/>
            <w:noWrap/>
            <w:vAlign w:val="center"/>
            <w:hideMark/>
          </w:tcPr>
          <w:p w14:paraId="74CA6EE3" w14:textId="77777777" w:rsidR="00CA0924" w:rsidRPr="00A04585" w:rsidRDefault="00CA0924" w:rsidP="00AC6282">
            <w:pPr>
              <w:jc w:val="center"/>
              <w:rPr>
                <w:rFonts w:ascii="Trebuchet MS" w:eastAsia="Times New Roman" w:hAnsi="Trebuchet MS" w:cs="Calibri"/>
                <w:b/>
                <w:bCs/>
                <w:color w:val="000000"/>
                <w:sz w:val="18"/>
                <w:szCs w:val="20"/>
                <w:lang w:eastAsia="es-MX"/>
              </w:rPr>
            </w:pPr>
            <w:r w:rsidRPr="00A04585">
              <w:rPr>
                <w:rFonts w:ascii="Trebuchet MS" w:eastAsia="Times New Roman" w:hAnsi="Trebuchet MS" w:cs="Calibri"/>
                <w:b/>
                <w:bCs/>
                <w:color w:val="000000"/>
                <w:sz w:val="18"/>
                <w:szCs w:val="20"/>
                <w:lang w:eastAsia="es-MX"/>
              </w:rPr>
              <w:t>Votos obtenidos</w:t>
            </w:r>
          </w:p>
        </w:tc>
        <w:tc>
          <w:tcPr>
            <w:tcW w:w="1673" w:type="dxa"/>
            <w:vMerge w:val="restart"/>
            <w:tcBorders>
              <w:top w:val="nil"/>
              <w:left w:val="single" w:sz="8" w:space="0" w:color="808080"/>
              <w:bottom w:val="single" w:sz="8" w:space="0" w:color="808080"/>
              <w:right w:val="single" w:sz="8" w:space="0" w:color="808080"/>
            </w:tcBorders>
            <w:shd w:val="clear" w:color="000000" w:fill="F2F2F2"/>
            <w:vAlign w:val="center"/>
            <w:hideMark/>
          </w:tcPr>
          <w:p w14:paraId="150CE64A" w14:textId="77777777" w:rsidR="00CA0924" w:rsidRPr="00A04585" w:rsidRDefault="00CA0924" w:rsidP="00AC6282">
            <w:pPr>
              <w:jc w:val="center"/>
              <w:rPr>
                <w:rFonts w:ascii="Trebuchet MS" w:eastAsia="Times New Roman" w:hAnsi="Trebuchet MS" w:cs="Calibri"/>
                <w:b/>
                <w:bCs/>
                <w:color w:val="000000"/>
                <w:sz w:val="18"/>
                <w:szCs w:val="20"/>
                <w:lang w:eastAsia="es-MX"/>
              </w:rPr>
            </w:pPr>
            <w:r w:rsidRPr="00A04585">
              <w:rPr>
                <w:rFonts w:ascii="Trebuchet MS" w:eastAsia="Times New Roman" w:hAnsi="Trebuchet MS" w:cs="Calibri"/>
                <w:b/>
                <w:bCs/>
                <w:color w:val="000000"/>
                <w:sz w:val="18"/>
                <w:szCs w:val="20"/>
                <w:lang w:eastAsia="es-MX"/>
              </w:rPr>
              <w:t>Porcentaje de la votación valida</w:t>
            </w:r>
          </w:p>
        </w:tc>
        <w:tc>
          <w:tcPr>
            <w:tcW w:w="1459" w:type="dxa"/>
            <w:gridSpan w:val="2"/>
            <w:vMerge/>
            <w:tcBorders>
              <w:top w:val="nil"/>
              <w:left w:val="single" w:sz="8" w:space="0" w:color="808080"/>
              <w:bottom w:val="single" w:sz="8" w:space="0" w:color="808080"/>
              <w:right w:val="single" w:sz="8" w:space="0" w:color="808080"/>
            </w:tcBorders>
            <w:vAlign w:val="center"/>
            <w:hideMark/>
          </w:tcPr>
          <w:p w14:paraId="2AEB670C"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17" w:type="dxa"/>
            <w:vMerge/>
            <w:tcBorders>
              <w:top w:val="single" w:sz="8" w:space="0" w:color="808080"/>
              <w:left w:val="nil"/>
              <w:bottom w:val="single" w:sz="8" w:space="0" w:color="808080"/>
              <w:right w:val="single" w:sz="8" w:space="0" w:color="808080"/>
            </w:tcBorders>
            <w:vAlign w:val="center"/>
            <w:hideMark/>
          </w:tcPr>
          <w:p w14:paraId="23DCF9BF"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r>
      <w:tr w:rsidR="00CA0924" w:rsidRPr="00A04585" w14:paraId="01B6E6AA" w14:textId="77777777" w:rsidTr="00AC6282">
        <w:trPr>
          <w:trHeight w:val="293"/>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340F3D24"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47A95A21"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673" w:type="dxa"/>
            <w:vMerge/>
            <w:tcBorders>
              <w:top w:val="nil"/>
              <w:left w:val="single" w:sz="8" w:space="0" w:color="808080"/>
              <w:bottom w:val="single" w:sz="8" w:space="0" w:color="808080"/>
              <w:right w:val="single" w:sz="8" w:space="0" w:color="808080"/>
            </w:tcBorders>
            <w:vAlign w:val="center"/>
            <w:hideMark/>
          </w:tcPr>
          <w:p w14:paraId="46F38BD7"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59" w:type="dxa"/>
            <w:gridSpan w:val="2"/>
            <w:vMerge/>
            <w:tcBorders>
              <w:top w:val="nil"/>
              <w:left w:val="single" w:sz="8" w:space="0" w:color="808080"/>
              <w:bottom w:val="single" w:sz="8" w:space="0" w:color="808080"/>
              <w:right w:val="single" w:sz="8" w:space="0" w:color="808080"/>
            </w:tcBorders>
            <w:vAlign w:val="center"/>
            <w:hideMark/>
          </w:tcPr>
          <w:p w14:paraId="08488782"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17" w:type="dxa"/>
            <w:vMerge/>
            <w:tcBorders>
              <w:top w:val="single" w:sz="8" w:space="0" w:color="808080"/>
              <w:left w:val="nil"/>
              <w:bottom w:val="single" w:sz="8" w:space="0" w:color="808080"/>
              <w:right w:val="single" w:sz="8" w:space="0" w:color="808080"/>
            </w:tcBorders>
            <w:vAlign w:val="center"/>
            <w:hideMark/>
          </w:tcPr>
          <w:p w14:paraId="618335E1"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r>
      <w:tr w:rsidR="00CA0924" w:rsidRPr="00A04585" w14:paraId="06E73059" w14:textId="77777777" w:rsidTr="00AC6282">
        <w:trPr>
          <w:trHeight w:val="293"/>
        </w:trPr>
        <w:tc>
          <w:tcPr>
            <w:tcW w:w="3068" w:type="dxa"/>
            <w:vMerge w:val="restart"/>
            <w:tcBorders>
              <w:top w:val="nil"/>
              <w:left w:val="single" w:sz="8" w:space="0" w:color="808080"/>
              <w:bottom w:val="single" w:sz="4" w:space="0" w:color="808080"/>
              <w:right w:val="single" w:sz="4" w:space="0" w:color="808080"/>
            </w:tcBorders>
            <w:shd w:val="clear" w:color="auto" w:fill="auto"/>
            <w:noWrap/>
            <w:vAlign w:val="center"/>
            <w:hideMark/>
          </w:tcPr>
          <w:p w14:paraId="60BBA6C7"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PAN</w:t>
            </w:r>
          </w:p>
        </w:tc>
        <w:tc>
          <w:tcPr>
            <w:tcW w:w="1445"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19FA01C8"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371,381</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72305D6"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12.9515%</w:t>
            </w:r>
          </w:p>
        </w:tc>
        <w:tc>
          <w:tcPr>
            <w:tcW w:w="1459" w:type="dxa"/>
            <w:gridSpan w:val="2"/>
            <w:vMerge w:val="restart"/>
            <w:tcBorders>
              <w:top w:val="nil"/>
              <w:left w:val="single" w:sz="4" w:space="0" w:color="808080"/>
              <w:bottom w:val="single" w:sz="4" w:space="0" w:color="808080"/>
              <w:right w:val="single" w:sz="4" w:space="0" w:color="808080"/>
            </w:tcBorders>
            <w:shd w:val="clear" w:color="auto" w:fill="auto"/>
            <w:vAlign w:val="center"/>
            <w:hideMark/>
          </w:tcPr>
          <w:p w14:paraId="05A3B4B8"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74589F61"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12.6729%</w:t>
            </w:r>
          </w:p>
        </w:tc>
      </w:tr>
      <w:tr w:rsidR="00CA0924" w:rsidRPr="00A04585" w14:paraId="446D75D7" w14:textId="77777777" w:rsidTr="00AC6282">
        <w:trPr>
          <w:trHeight w:val="293"/>
        </w:trPr>
        <w:tc>
          <w:tcPr>
            <w:tcW w:w="3068" w:type="dxa"/>
            <w:vMerge/>
            <w:tcBorders>
              <w:top w:val="nil"/>
              <w:left w:val="single" w:sz="8" w:space="0" w:color="808080"/>
              <w:bottom w:val="single" w:sz="4" w:space="0" w:color="808080"/>
              <w:right w:val="single" w:sz="4" w:space="0" w:color="808080"/>
            </w:tcBorders>
            <w:vAlign w:val="center"/>
            <w:hideMark/>
          </w:tcPr>
          <w:p w14:paraId="6E366D38"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nil"/>
              <w:left w:val="single" w:sz="4" w:space="0" w:color="808080"/>
              <w:bottom w:val="single" w:sz="4" w:space="0" w:color="808080"/>
              <w:right w:val="single" w:sz="4" w:space="0" w:color="808080"/>
            </w:tcBorders>
            <w:vAlign w:val="center"/>
            <w:hideMark/>
          </w:tcPr>
          <w:p w14:paraId="3908E199"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24C385EC"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nil"/>
              <w:left w:val="single" w:sz="4" w:space="0" w:color="808080"/>
              <w:bottom w:val="single" w:sz="4" w:space="0" w:color="808080"/>
              <w:right w:val="single" w:sz="4" w:space="0" w:color="808080"/>
            </w:tcBorders>
            <w:vAlign w:val="center"/>
            <w:hideMark/>
          </w:tcPr>
          <w:p w14:paraId="7BF57251"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122F877D"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6AA7AADA"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364E921F"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PRI</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7F488101"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367,139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1B8A0A16"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12.8035%</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19B1B840"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51F622F3"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12.5282%</w:t>
            </w:r>
          </w:p>
        </w:tc>
      </w:tr>
      <w:tr w:rsidR="00CA0924" w:rsidRPr="00A04585" w14:paraId="10077370"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3D526096"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1C5029D8"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4A6204A8"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2D597BEC"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5CF3CCD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0098C3D8"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08E43CCC"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PRD</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6FD1EEC"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21,940</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27982225"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0.7651%</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262BA30"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708D879F"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0.7487%</w:t>
            </w:r>
          </w:p>
        </w:tc>
      </w:tr>
      <w:tr w:rsidR="00CA0924" w:rsidRPr="00A04585" w14:paraId="53334896"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7F9DEA4A"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68321B42"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54C9A73"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46CE280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6DE3B212"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607EB378"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717479A2"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PT</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1C6B1F36"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43,886</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549908B2"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1.5305%</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0DEF89B5"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39828D97"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1.4976%</w:t>
            </w:r>
          </w:p>
        </w:tc>
      </w:tr>
      <w:tr w:rsidR="00CA0924" w:rsidRPr="00A04585" w14:paraId="53079492"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77B7E5B9"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64F4CFF5"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1EDADD9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4D74DAA7"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16F513DC"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36DAF8B0"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64DB80F9"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PVEM</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3EFCBCA"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94,973</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3169DD79"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3.3121%</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56243AC"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65CAF9B8"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3.2408%</w:t>
            </w:r>
          </w:p>
        </w:tc>
      </w:tr>
      <w:tr w:rsidR="00CA0924" w:rsidRPr="00A04585" w14:paraId="2C5EB1C1"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0983408C"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0B4FEEB7"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14858A45"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2163DD9"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0A4FA44C"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0EFED509"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47D61127"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MC</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7A5CEF6A"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965,089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5A59A513"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33.6563%</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3C1EB593"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0128A2EB"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32.9324%</w:t>
            </w:r>
          </w:p>
        </w:tc>
      </w:tr>
      <w:tr w:rsidR="00CA0924" w:rsidRPr="00A04585" w14:paraId="67FAFE31"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613F6E92"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5981B423"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5FE883D2"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7615F8B6"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43F34DC3"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7BA65061"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2F67B2A"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MORENA</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4DFBA2B"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618,777</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75F6017F"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21.5791%</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9A46B55"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33B68202"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21.1150%</w:t>
            </w:r>
          </w:p>
        </w:tc>
      </w:tr>
      <w:tr w:rsidR="00CA0924" w:rsidRPr="00A04585" w14:paraId="589CD3C8"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36668848"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1687137E"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57037A60"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3B7A9828"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692C03DB"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02E1080B"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137576BA"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PES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1C587399"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45,659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085766A3"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1.5923%</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1C093B95"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293F77BB"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1.5581%</w:t>
            </w:r>
          </w:p>
        </w:tc>
      </w:tr>
      <w:tr w:rsidR="00CA0924" w:rsidRPr="00A04585" w14:paraId="3AF4771C"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0DFE4FF0"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704D57AB"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22935C7"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200FA78"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5A95AC01"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58213EB1"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4F8A315B"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RSP</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03945524"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20,784</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C92FAD3"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0.7248%</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DAD6C0F"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61175B95"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0.7092%</w:t>
            </w:r>
          </w:p>
        </w:tc>
      </w:tr>
      <w:tr w:rsidR="00CA0924" w:rsidRPr="00A04585" w14:paraId="2450C005"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0E6EE4CB"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4F4C0714"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32B8611C"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67236A7"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46A78972"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37A84AD8"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48E33EFB" w14:textId="0AFD0ABE" w:rsidR="00CA0924" w:rsidRPr="00A04585" w:rsidRDefault="00AC6282" w:rsidP="00AC6282">
            <w:pPr>
              <w:jc w:val="center"/>
              <w:rPr>
                <w:rFonts w:ascii="Trebuchet MS" w:eastAsia="Times New Roman" w:hAnsi="Trebuchet MS" w:cs="Calibri"/>
                <w:b/>
                <w:bCs/>
                <w:color w:val="000000"/>
                <w:sz w:val="20"/>
                <w:szCs w:val="20"/>
                <w:lang w:eastAsia="es-MX"/>
              </w:rPr>
            </w:pPr>
            <w:proofErr w:type="spellStart"/>
            <w:r w:rsidRPr="00A04585">
              <w:rPr>
                <w:rFonts w:ascii="Trebuchet MS" w:eastAsia="Times New Roman" w:hAnsi="Trebuchet MS" w:cs="Calibri"/>
                <w:b/>
                <w:bCs/>
                <w:color w:val="000000"/>
                <w:sz w:val="20"/>
                <w:szCs w:val="20"/>
                <w:lang w:eastAsia="es-MX"/>
              </w:rPr>
              <w:t>FxM</w:t>
            </w:r>
            <w:proofErr w:type="spellEnd"/>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50F401BE"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39,206</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3BF3B8B4"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1.3673%</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1001B3B3"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2C57997E"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1.3379%</w:t>
            </w:r>
          </w:p>
        </w:tc>
      </w:tr>
      <w:tr w:rsidR="00CA0924" w:rsidRPr="00A04585" w14:paraId="5515ABAF"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4E4C12AA"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5774E790"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3AE4570E"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4EC8276"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6055C28E"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796FA767"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3B683A35"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SOMOS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88DD0BB"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9,199</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638D68BA"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0.3208%</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2F79CC2"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NO</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30459B9D"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0.3139%</w:t>
            </w:r>
          </w:p>
        </w:tc>
      </w:tr>
      <w:tr w:rsidR="00CA0924" w:rsidRPr="00A04585" w14:paraId="587C1AE8"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4B7624A9"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0E69462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77B623EE"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218D5DC5"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47530F3B"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34A79FC6"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noWrap/>
            <w:vAlign w:val="center"/>
            <w:hideMark/>
          </w:tcPr>
          <w:p w14:paraId="2C211345"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HAGAMOS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0BED0181"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140,225</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1E5F77A0"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4.8902%</w:t>
            </w:r>
          </w:p>
        </w:tc>
        <w:tc>
          <w:tcPr>
            <w:tcW w:w="1459" w:type="dxa"/>
            <w:gridSpan w:val="2"/>
            <w:vMerge w:val="restart"/>
            <w:tcBorders>
              <w:top w:val="single" w:sz="4" w:space="0" w:color="808080"/>
              <w:left w:val="single" w:sz="4" w:space="0" w:color="808080"/>
              <w:bottom w:val="single" w:sz="4" w:space="0" w:color="808080"/>
              <w:right w:val="single" w:sz="4" w:space="0" w:color="808080"/>
            </w:tcBorders>
            <w:shd w:val="clear" w:color="000000" w:fill="E7E6E6"/>
            <w:vAlign w:val="center"/>
            <w:hideMark/>
          </w:tcPr>
          <w:p w14:paraId="4F7CECB9"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000000" w:fill="E7E6E6"/>
            <w:noWrap/>
            <w:vAlign w:val="center"/>
            <w:hideMark/>
          </w:tcPr>
          <w:p w14:paraId="06924682"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4.7850%</w:t>
            </w:r>
          </w:p>
        </w:tc>
      </w:tr>
      <w:tr w:rsidR="00CA0924" w:rsidRPr="00A04585" w14:paraId="0F5A5C3C"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1DA951C3"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03B26FB9"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F74C36D"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single" w:sz="4" w:space="0" w:color="808080"/>
              <w:left w:val="single" w:sz="4" w:space="0" w:color="808080"/>
              <w:bottom w:val="single" w:sz="4" w:space="0" w:color="808080"/>
              <w:right w:val="single" w:sz="4" w:space="0" w:color="808080"/>
            </w:tcBorders>
            <w:vAlign w:val="center"/>
            <w:hideMark/>
          </w:tcPr>
          <w:p w14:paraId="6D7A27C7"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0254EED0"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CA0924" w:rsidRPr="00A04585" w14:paraId="5199CB55" w14:textId="77777777" w:rsidTr="00AC6282">
        <w:trPr>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189125E5"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FUTURO</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367803C"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122,163</w:t>
            </w:r>
          </w:p>
        </w:tc>
        <w:tc>
          <w:tcPr>
            <w:tcW w:w="1673" w:type="dxa"/>
            <w:vMerge w:val="restart"/>
            <w:tcBorders>
              <w:top w:val="nil"/>
              <w:left w:val="single" w:sz="4" w:space="0" w:color="808080"/>
              <w:bottom w:val="single" w:sz="4" w:space="0" w:color="808080"/>
              <w:right w:val="single" w:sz="4" w:space="0" w:color="808080"/>
            </w:tcBorders>
            <w:shd w:val="clear" w:color="auto" w:fill="auto"/>
            <w:noWrap/>
            <w:vAlign w:val="center"/>
            <w:hideMark/>
          </w:tcPr>
          <w:p w14:paraId="04AF4090"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4.2603%</w:t>
            </w:r>
          </w:p>
        </w:tc>
        <w:tc>
          <w:tcPr>
            <w:tcW w:w="1459" w:type="dxa"/>
            <w:gridSpan w:val="2"/>
            <w:vMerge w:val="restart"/>
            <w:tcBorders>
              <w:top w:val="nil"/>
              <w:left w:val="single" w:sz="4" w:space="0" w:color="808080"/>
              <w:bottom w:val="single" w:sz="4" w:space="0" w:color="808080"/>
              <w:right w:val="single" w:sz="4" w:space="0" w:color="808080"/>
            </w:tcBorders>
            <w:shd w:val="clear" w:color="auto" w:fill="auto"/>
            <w:vAlign w:val="center"/>
            <w:hideMark/>
          </w:tcPr>
          <w:p w14:paraId="524C81B8"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SI</w:t>
            </w:r>
          </w:p>
        </w:tc>
        <w:tc>
          <w:tcPr>
            <w:tcW w:w="1417" w:type="dxa"/>
            <w:vMerge w:val="restart"/>
            <w:tcBorders>
              <w:top w:val="nil"/>
              <w:left w:val="single" w:sz="4" w:space="0" w:color="808080"/>
              <w:bottom w:val="single" w:sz="4" w:space="0" w:color="808080"/>
              <w:right w:val="single" w:sz="8" w:space="0" w:color="808080"/>
            </w:tcBorders>
            <w:shd w:val="clear" w:color="auto" w:fill="auto"/>
            <w:noWrap/>
            <w:vAlign w:val="center"/>
            <w:hideMark/>
          </w:tcPr>
          <w:p w14:paraId="5C194C87"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4.1687%</w:t>
            </w:r>
          </w:p>
        </w:tc>
      </w:tr>
      <w:tr w:rsidR="00CA0924" w:rsidRPr="00A04585" w14:paraId="3893E4EA" w14:textId="77777777" w:rsidTr="00AC6282">
        <w:trPr>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141A5220"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50CD4BB9"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6EDED797"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59" w:type="dxa"/>
            <w:gridSpan w:val="2"/>
            <w:vMerge/>
            <w:tcBorders>
              <w:top w:val="nil"/>
              <w:left w:val="single" w:sz="4" w:space="0" w:color="808080"/>
              <w:bottom w:val="single" w:sz="4" w:space="0" w:color="808080"/>
              <w:right w:val="single" w:sz="4" w:space="0" w:color="808080"/>
            </w:tcBorders>
            <w:vAlign w:val="center"/>
            <w:hideMark/>
          </w:tcPr>
          <w:p w14:paraId="76019E75"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417" w:type="dxa"/>
            <w:vMerge/>
            <w:tcBorders>
              <w:top w:val="nil"/>
              <w:left w:val="single" w:sz="4" w:space="0" w:color="808080"/>
              <w:bottom w:val="single" w:sz="4" w:space="0" w:color="808080"/>
              <w:right w:val="single" w:sz="8" w:space="0" w:color="808080"/>
            </w:tcBorders>
            <w:vAlign w:val="center"/>
            <w:hideMark/>
          </w:tcPr>
          <w:p w14:paraId="3728F035"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r>
      <w:tr w:rsidR="004F7D76" w:rsidRPr="00A04585" w14:paraId="31C3DFDF" w14:textId="77777777" w:rsidTr="00AC6282">
        <w:trPr>
          <w:gridAfter w:val="3"/>
          <w:wAfter w:w="2876" w:type="dxa"/>
          <w:trHeight w:val="293"/>
        </w:trPr>
        <w:tc>
          <w:tcPr>
            <w:tcW w:w="3068" w:type="dxa"/>
            <w:vMerge w:val="restart"/>
            <w:tcBorders>
              <w:top w:val="single" w:sz="4" w:space="0" w:color="808080"/>
              <w:left w:val="single" w:sz="8" w:space="0" w:color="808080"/>
              <w:bottom w:val="single" w:sz="4" w:space="0" w:color="808080"/>
              <w:right w:val="single" w:sz="4" w:space="0" w:color="808080"/>
            </w:tcBorders>
            <w:shd w:val="clear" w:color="000000" w:fill="E7E6E6"/>
            <w:vAlign w:val="center"/>
            <w:hideMark/>
          </w:tcPr>
          <w:p w14:paraId="1CC1BFAC" w14:textId="77777777" w:rsidR="004F7D76" w:rsidRPr="00A04585" w:rsidRDefault="004F7D76"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Votos candidaturas Independientes</w:t>
            </w:r>
          </w:p>
        </w:tc>
        <w:tc>
          <w:tcPr>
            <w:tcW w:w="1445" w:type="dxa"/>
            <w:vMerge w:val="restart"/>
            <w:tcBorders>
              <w:top w:val="single" w:sz="4" w:space="0" w:color="808080"/>
              <w:left w:val="single" w:sz="4" w:space="0" w:color="808080"/>
              <w:bottom w:val="single" w:sz="4" w:space="0" w:color="808080"/>
              <w:right w:val="single" w:sz="4" w:space="0" w:color="808080"/>
            </w:tcBorders>
            <w:shd w:val="clear" w:color="000000" w:fill="E7E6E6"/>
            <w:noWrap/>
            <w:vAlign w:val="center"/>
            <w:hideMark/>
          </w:tcPr>
          <w:p w14:paraId="4FE2FB15" w14:textId="77777777" w:rsidR="004F7D76" w:rsidRPr="00A04585" w:rsidRDefault="004F7D76"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7,059</w:t>
            </w:r>
          </w:p>
        </w:tc>
        <w:tc>
          <w:tcPr>
            <w:tcW w:w="1673" w:type="dxa"/>
            <w:vMerge w:val="restart"/>
            <w:tcBorders>
              <w:top w:val="nil"/>
              <w:left w:val="single" w:sz="4" w:space="0" w:color="808080"/>
              <w:bottom w:val="single" w:sz="4" w:space="0" w:color="808080"/>
              <w:right w:val="single" w:sz="4" w:space="0" w:color="808080"/>
            </w:tcBorders>
            <w:shd w:val="clear" w:color="000000" w:fill="E7E6E6"/>
            <w:noWrap/>
            <w:vAlign w:val="center"/>
            <w:hideMark/>
          </w:tcPr>
          <w:p w14:paraId="51C7270D" w14:textId="77777777" w:rsidR="004F7D76" w:rsidRPr="00A04585" w:rsidRDefault="004F7D76"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0.2462%</w:t>
            </w:r>
          </w:p>
        </w:tc>
      </w:tr>
      <w:tr w:rsidR="004F7D76" w:rsidRPr="00A04585" w14:paraId="5B85752F" w14:textId="77777777" w:rsidTr="00AC6282">
        <w:trPr>
          <w:gridAfter w:val="3"/>
          <w:wAfter w:w="2876" w:type="dxa"/>
          <w:trHeight w:val="293"/>
        </w:trPr>
        <w:tc>
          <w:tcPr>
            <w:tcW w:w="3068" w:type="dxa"/>
            <w:vMerge/>
            <w:tcBorders>
              <w:top w:val="single" w:sz="4" w:space="0" w:color="808080"/>
              <w:left w:val="single" w:sz="8" w:space="0" w:color="808080"/>
              <w:bottom w:val="single" w:sz="4" w:space="0" w:color="808080"/>
              <w:right w:val="single" w:sz="4" w:space="0" w:color="808080"/>
            </w:tcBorders>
            <w:vAlign w:val="center"/>
            <w:hideMark/>
          </w:tcPr>
          <w:p w14:paraId="42703D36" w14:textId="77777777" w:rsidR="004F7D76" w:rsidRPr="00A04585" w:rsidRDefault="004F7D76" w:rsidP="00AC6282">
            <w:pPr>
              <w:jc w:val="center"/>
              <w:rPr>
                <w:rFonts w:ascii="Trebuchet MS" w:eastAsia="Times New Roman" w:hAnsi="Trebuchet MS" w:cs="Calibri"/>
                <w:b/>
                <w:bCs/>
                <w:color w:val="000000"/>
                <w:sz w:val="20"/>
                <w:szCs w:val="20"/>
                <w:lang w:eastAsia="es-MX"/>
              </w:rPr>
            </w:pPr>
          </w:p>
        </w:tc>
        <w:tc>
          <w:tcPr>
            <w:tcW w:w="1445" w:type="dxa"/>
            <w:vMerge/>
            <w:tcBorders>
              <w:top w:val="single" w:sz="4" w:space="0" w:color="808080"/>
              <w:left w:val="single" w:sz="4" w:space="0" w:color="808080"/>
              <w:bottom w:val="single" w:sz="4" w:space="0" w:color="808080"/>
              <w:right w:val="single" w:sz="4" w:space="0" w:color="808080"/>
            </w:tcBorders>
            <w:vAlign w:val="center"/>
            <w:hideMark/>
          </w:tcPr>
          <w:p w14:paraId="66E91A3B" w14:textId="77777777" w:rsidR="004F7D76" w:rsidRPr="00A04585" w:rsidRDefault="004F7D76"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single" w:sz="4" w:space="0" w:color="808080"/>
              <w:bottom w:val="single" w:sz="4" w:space="0" w:color="808080"/>
              <w:right w:val="single" w:sz="4" w:space="0" w:color="808080"/>
            </w:tcBorders>
            <w:vAlign w:val="center"/>
            <w:hideMark/>
          </w:tcPr>
          <w:p w14:paraId="17A02C91" w14:textId="77777777" w:rsidR="004F7D76" w:rsidRPr="00A04585" w:rsidRDefault="004F7D76" w:rsidP="00AC6282">
            <w:pPr>
              <w:jc w:val="center"/>
              <w:rPr>
                <w:rFonts w:ascii="Trebuchet MS" w:eastAsia="Times New Roman" w:hAnsi="Trebuchet MS" w:cs="Calibri"/>
                <w:bCs/>
                <w:color w:val="000000"/>
                <w:sz w:val="20"/>
                <w:szCs w:val="20"/>
                <w:lang w:eastAsia="es-MX"/>
              </w:rPr>
            </w:pPr>
          </w:p>
        </w:tc>
      </w:tr>
      <w:tr w:rsidR="00CA0924" w:rsidRPr="00A04585" w14:paraId="524BFE3B" w14:textId="77777777" w:rsidTr="00AC6282">
        <w:trPr>
          <w:trHeight w:val="254"/>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29ED7679"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Votos Nulos</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15E6D71A"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61,128</w:t>
            </w:r>
          </w:p>
        </w:tc>
        <w:tc>
          <w:tcPr>
            <w:tcW w:w="1673" w:type="dxa"/>
            <w:vMerge w:val="restart"/>
            <w:tcBorders>
              <w:top w:val="single" w:sz="8" w:space="0" w:color="808080"/>
              <w:left w:val="nil"/>
              <w:bottom w:val="single" w:sz="8" w:space="0" w:color="808080"/>
              <w:right w:val="single" w:sz="8" w:space="0" w:color="808080"/>
            </w:tcBorders>
            <w:shd w:val="clear" w:color="auto" w:fill="auto"/>
            <w:noWrap/>
            <w:vAlign w:val="center"/>
            <w:hideMark/>
          </w:tcPr>
          <w:p w14:paraId="53D6BD70"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2.1318%</w:t>
            </w:r>
          </w:p>
        </w:tc>
        <w:tc>
          <w:tcPr>
            <w:tcW w:w="771" w:type="dxa"/>
            <w:tcBorders>
              <w:top w:val="nil"/>
              <w:left w:val="nil"/>
              <w:bottom w:val="nil"/>
              <w:right w:val="nil"/>
            </w:tcBorders>
            <w:shd w:val="clear" w:color="auto" w:fill="auto"/>
            <w:noWrap/>
            <w:vAlign w:val="center"/>
            <w:hideMark/>
          </w:tcPr>
          <w:p w14:paraId="702E45FB"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3A3F9549"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344EE8F6"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322E8389" w14:textId="77777777" w:rsidTr="00AC6282">
        <w:trPr>
          <w:trHeight w:val="265"/>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4865079B"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66E1ADE8"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single" w:sz="8" w:space="0" w:color="808080"/>
              <w:left w:val="nil"/>
              <w:bottom w:val="single" w:sz="8" w:space="0" w:color="808080"/>
              <w:right w:val="single" w:sz="8" w:space="0" w:color="808080"/>
            </w:tcBorders>
            <w:vAlign w:val="center"/>
            <w:hideMark/>
          </w:tcPr>
          <w:p w14:paraId="7AD98CF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07030C2D"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688" w:type="dxa"/>
            <w:tcBorders>
              <w:top w:val="nil"/>
              <w:left w:val="nil"/>
              <w:bottom w:val="nil"/>
              <w:right w:val="nil"/>
            </w:tcBorders>
            <w:shd w:val="clear" w:color="auto" w:fill="auto"/>
            <w:noWrap/>
            <w:vAlign w:val="center"/>
            <w:hideMark/>
          </w:tcPr>
          <w:p w14:paraId="1AF6BF71"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071B0229"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2F4DC16D" w14:textId="77777777" w:rsidTr="00AC6282">
        <w:trPr>
          <w:trHeight w:val="254"/>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E7E6E6"/>
            <w:vAlign w:val="center"/>
            <w:hideMark/>
          </w:tcPr>
          <w:p w14:paraId="3D78F1CA"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Votos de Candidatos No Registrados</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63E0B61C"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1,903</w:t>
            </w:r>
          </w:p>
        </w:tc>
        <w:tc>
          <w:tcPr>
            <w:tcW w:w="1673" w:type="dxa"/>
            <w:vMerge w:val="restart"/>
            <w:tcBorders>
              <w:top w:val="nil"/>
              <w:left w:val="nil"/>
              <w:bottom w:val="single" w:sz="8" w:space="0" w:color="808080"/>
              <w:right w:val="single" w:sz="8" w:space="0" w:color="808080"/>
            </w:tcBorders>
            <w:shd w:val="clear" w:color="000000" w:fill="E7E6E6"/>
            <w:noWrap/>
            <w:vAlign w:val="center"/>
            <w:hideMark/>
          </w:tcPr>
          <w:p w14:paraId="3EB7474F"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0.0664%</w:t>
            </w:r>
          </w:p>
        </w:tc>
        <w:tc>
          <w:tcPr>
            <w:tcW w:w="771" w:type="dxa"/>
            <w:tcBorders>
              <w:top w:val="nil"/>
              <w:left w:val="nil"/>
              <w:bottom w:val="nil"/>
              <w:right w:val="nil"/>
            </w:tcBorders>
            <w:shd w:val="clear" w:color="auto" w:fill="auto"/>
            <w:noWrap/>
            <w:vAlign w:val="center"/>
            <w:hideMark/>
          </w:tcPr>
          <w:p w14:paraId="18377433"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22717B7B"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769AE4F0"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6D8CDA71" w14:textId="77777777" w:rsidTr="00AC6282">
        <w:trPr>
          <w:trHeight w:val="265"/>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55023E59"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521ECEAC"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02EB7D5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1F3553AB"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688" w:type="dxa"/>
            <w:tcBorders>
              <w:top w:val="nil"/>
              <w:left w:val="nil"/>
              <w:bottom w:val="nil"/>
              <w:right w:val="nil"/>
            </w:tcBorders>
            <w:shd w:val="clear" w:color="auto" w:fill="auto"/>
            <w:noWrap/>
            <w:vAlign w:val="center"/>
            <w:hideMark/>
          </w:tcPr>
          <w:p w14:paraId="5BD79CC4"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79A5ED48"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1EC51903" w14:textId="77777777" w:rsidTr="00AC6282">
        <w:trPr>
          <w:trHeight w:val="254"/>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4FA5017C"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Votación Total Emitida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0836C333"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2,930,511</w:t>
            </w:r>
          </w:p>
        </w:tc>
        <w:tc>
          <w:tcPr>
            <w:tcW w:w="1673" w:type="dxa"/>
            <w:vMerge w:val="restart"/>
            <w:tcBorders>
              <w:top w:val="nil"/>
              <w:left w:val="nil"/>
              <w:bottom w:val="single" w:sz="8" w:space="0" w:color="808080"/>
              <w:right w:val="single" w:sz="8" w:space="0" w:color="808080"/>
            </w:tcBorders>
            <w:shd w:val="clear" w:color="auto" w:fill="auto"/>
            <w:noWrap/>
            <w:vAlign w:val="center"/>
            <w:hideMark/>
          </w:tcPr>
          <w:p w14:paraId="37EB2424" w14:textId="0180FEA3" w:rsidR="00CA0924" w:rsidRPr="00A04585" w:rsidRDefault="00CA0924" w:rsidP="00AC6282">
            <w:pPr>
              <w:jc w:val="center"/>
              <w:rPr>
                <w:rFonts w:ascii="Trebuchet MS" w:eastAsia="Times New Roman" w:hAnsi="Trebuchet MS" w:cs="Calibri"/>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52D63DC9"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000D3784"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16178139"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1EA48DEB" w14:textId="77777777" w:rsidTr="00AC6282">
        <w:trPr>
          <w:trHeight w:val="265"/>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0A5D5D28"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3ACB795C"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2AFB903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0FD981DA"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688" w:type="dxa"/>
            <w:tcBorders>
              <w:top w:val="nil"/>
              <w:left w:val="nil"/>
              <w:bottom w:val="nil"/>
              <w:right w:val="nil"/>
            </w:tcBorders>
            <w:shd w:val="clear" w:color="auto" w:fill="auto"/>
            <w:noWrap/>
            <w:vAlign w:val="center"/>
            <w:hideMark/>
          </w:tcPr>
          <w:p w14:paraId="26574E2E"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7E5F0736"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6A541D32" w14:textId="77777777" w:rsidTr="00AC6282">
        <w:trPr>
          <w:trHeight w:val="254"/>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E7E6E6"/>
            <w:vAlign w:val="center"/>
            <w:hideMark/>
          </w:tcPr>
          <w:p w14:paraId="29E5280B"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Votación Válida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573E0643"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2,867,480</w:t>
            </w:r>
          </w:p>
        </w:tc>
        <w:tc>
          <w:tcPr>
            <w:tcW w:w="1673" w:type="dxa"/>
            <w:vMerge w:val="restart"/>
            <w:tcBorders>
              <w:top w:val="nil"/>
              <w:left w:val="nil"/>
              <w:bottom w:val="single" w:sz="8" w:space="0" w:color="808080"/>
              <w:right w:val="single" w:sz="8" w:space="0" w:color="808080"/>
            </w:tcBorders>
            <w:shd w:val="clear" w:color="000000" w:fill="E7E6E6"/>
            <w:noWrap/>
            <w:vAlign w:val="center"/>
            <w:hideMark/>
          </w:tcPr>
          <w:p w14:paraId="01831122"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100.00%</w:t>
            </w:r>
          </w:p>
        </w:tc>
        <w:tc>
          <w:tcPr>
            <w:tcW w:w="771" w:type="dxa"/>
            <w:tcBorders>
              <w:top w:val="nil"/>
              <w:left w:val="nil"/>
              <w:bottom w:val="nil"/>
              <w:right w:val="nil"/>
            </w:tcBorders>
            <w:shd w:val="clear" w:color="auto" w:fill="auto"/>
            <w:noWrap/>
            <w:vAlign w:val="center"/>
            <w:hideMark/>
          </w:tcPr>
          <w:p w14:paraId="1C350232"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38A1FE86"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39AE2F29"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5AAFDEEF" w14:textId="77777777" w:rsidTr="00AC6282">
        <w:trPr>
          <w:trHeight w:val="265"/>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37F0F72F"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32478EC1"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7E3C634B"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6DBA24A3"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688" w:type="dxa"/>
            <w:tcBorders>
              <w:top w:val="nil"/>
              <w:left w:val="nil"/>
              <w:bottom w:val="nil"/>
              <w:right w:val="nil"/>
            </w:tcBorders>
            <w:shd w:val="clear" w:color="auto" w:fill="auto"/>
            <w:noWrap/>
            <w:vAlign w:val="center"/>
            <w:hideMark/>
          </w:tcPr>
          <w:p w14:paraId="191C6CBD"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72845B4F"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39BA791D" w14:textId="77777777" w:rsidTr="00AC6282">
        <w:trPr>
          <w:trHeight w:val="254"/>
        </w:trPr>
        <w:tc>
          <w:tcPr>
            <w:tcW w:w="3068" w:type="dxa"/>
            <w:vMerge w:val="restart"/>
            <w:tcBorders>
              <w:top w:val="single" w:sz="8" w:space="0" w:color="808080"/>
              <w:left w:val="single" w:sz="8" w:space="0" w:color="808080"/>
              <w:bottom w:val="single" w:sz="8" w:space="0" w:color="808080"/>
              <w:right w:val="single" w:sz="4" w:space="0" w:color="808080"/>
            </w:tcBorders>
            <w:shd w:val="clear" w:color="000000" w:fill="FFFFFF"/>
            <w:vAlign w:val="center"/>
            <w:hideMark/>
          </w:tcPr>
          <w:p w14:paraId="28084CC5"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Votos Equivalentes al 3% de Votación Válida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auto" w:fill="auto"/>
            <w:noWrap/>
            <w:vAlign w:val="center"/>
            <w:hideMark/>
          </w:tcPr>
          <w:p w14:paraId="6175E227"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86,024</w:t>
            </w:r>
          </w:p>
        </w:tc>
        <w:tc>
          <w:tcPr>
            <w:tcW w:w="1673" w:type="dxa"/>
            <w:vMerge w:val="restart"/>
            <w:tcBorders>
              <w:top w:val="nil"/>
              <w:left w:val="nil"/>
              <w:bottom w:val="single" w:sz="8" w:space="0" w:color="808080"/>
              <w:right w:val="single" w:sz="8" w:space="0" w:color="808080"/>
            </w:tcBorders>
            <w:shd w:val="clear" w:color="auto" w:fill="auto"/>
            <w:noWrap/>
            <w:vAlign w:val="center"/>
            <w:hideMark/>
          </w:tcPr>
          <w:p w14:paraId="0271E20A"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3.00%</w:t>
            </w:r>
          </w:p>
        </w:tc>
        <w:tc>
          <w:tcPr>
            <w:tcW w:w="771" w:type="dxa"/>
            <w:tcBorders>
              <w:top w:val="nil"/>
              <w:left w:val="nil"/>
              <w:bottom w:val="nil"/>
              <w:right w:val="nil"/>
            </w:tcBorders>
            <w:shd w:val="clear" w:color="auto" w:fill="auto"/>
            <w:noWrap/>
            <w:vAlign w:val="center"/>
            <w:hideMark/>
          </w:tcPr>
          <w:p w14:paraId="65F95460"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2926D04E"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5111FA41"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3294ACCC" w14:textId="77777777" w:rsidTr="00AC6282">
        <w:trPr>
          <w:trHeight w:val="265"/>
        </w:trPr>
        <w:tc>
          <w:tcPr>
            <w:tcW w:w="3068" w:type="dxa"/>
            <w:vMerge/>
            <w:tcBorders>
              <w:top w:val="single" w:sz="8" w:space="0" w:color="808080"/>
              <w:left w:val="single" w:sz="8" w:space="0" w:color="808080"/>
              <w:bottom w:val="single" w:sz="8" w:space="0" w:color="808080"/>
              <w:right w:val="single" w:sz="4" w:space="0" w:color="808080"/>
            </w:tcBorders>
            <w:vAlign w:val="center"/>
            <w:hideMark/>
          </w:tcPr>
          <w:p w14:paraId="41C51DC9"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4214701A"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251D653F"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73C1E685"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688" w:type="dxa"/>
            <w:tcBorders>
              <w:top w:val="nil"/>
              <w:left w:val="nil"/>
              <w:bottom w:val="nil"/>
              <w:right w:val="nil"/>
            </w:tcBorders>
            <w:shd w:val="clear" w:color="auto" w:fill="auto"/>
            <w:noWrap/>
            <w:vAlign w:val="center"/>
            <w:hideMark/>
          </w:tcPr>
          <w:p w14:paraId="70B564D7"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79EA74ED"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6E530643" w14:textId="77777777" w:rsidTr="00AC6282">
        <w:trPr>
          <w:trHeight w:val="254"/>
        </w:trPr>
        <w:tc>
          <w:tcPr>
            <w:tcW w:w="3068" w:type="dxa"/>
            <w:vMerge w:val="restart"/>
            <w:tcBorders>
              <w:top w:val="nil"/>
              <w:left w:val="single" w:sz="8" w:space="0" w:color="808080"/>
              <w:bottom w:val="single" w:sz="8" w:space="0" w:color="808080"/>
              <w:right w:val="single" w:sz="4" w:space="0" w:color="808080"/>
            </w:tcBorders>
            <w:shd w:val="clear" w:color="000000" w:fill="E7E6E6"/>
            <w:vAlign w:val="center"/>
            <w:hideMark/>
          </w:tcPr>
          <w:p w14:paraId="0CB5DBF7" w14:textId="77777777" w:rsidR="00CA0924" w:rsidRPr="00A04585" w:rsidRDefault="00CA0924" w:rsidP="00AC6282">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Votación de Partidos Políticos que No Alcanzaron el 3% de Votación Válida</w:t>
            </w:r>
          </w:p>
        </w:tc>
        <w:tc>
          <w:tcPr>
            <w:tcW w:w="1445" w:type="dxa"/>
            <w:vMerge w:val="restart"/>
            <w:tcBorders>
              <w:top w:val="single" w:sz="8" w:space="0" w:color="808080"/>
              <w:left w:val="single" w:sz="8" w:space="0" w:color="808080"/>
              <w:bottom w:val="single" w:sz="8" w:space="0" w:color="808080"/>
              <w:right w:val="single" w:sz="8" w:space="0" w:color="808080"/>
            </w:tcBorders>
            <w:shd w:val="clear" w:color="000000" w:fill="E7E6E6"/>
            <w:noWrap/>
            <w:vAlign w:val="center"/>
            <w:hideMark/>
          </w:tcPr>
          <w:p w14:paraId="37C43BA4"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180,674</w:t>
            </w:r>
          </w:p>
        </w:tc>
        <w:tc>
          <w:tcPr>
            <w:tcW w:w="1673" w:type="dxa"/>
            <w:vMerge w:val="restart"/>
            <w:tcBorders>
              <w:top w:val="nil"/>
              <w:left w:val="nil"/>
              <w:bottom w:val="single" w:sz="8" w:space="0" w:color="808080"/>
              <w:right w:val="single" w:sz="8" w:space="0" w:color="808080"/>
            </w:tcBorders>
            <w:shd w:val="clear" w:color="000000" w:fill="E7E6E6"/>
            <w:noWrap/>
            <w:vAlign w:val="center"/>
            <w:hideMark/>
          </w:tcPr>
          <w:p w14:paraId="7E30E328" w14:textId="77777777" w:rsidR="00CA0924" w:rsidRPr="00A04585" w:rsidRDefault="00CA0924" w:rsidP="00AC6282">
            <w:pPr>
              <w:jc w:val="center"/>
              <w:rPr>
                <w:rFonts w:ascii="Trebuchet MS" w:eastAsia="Times New Roman" w:hAnsi="Trebuchet MS" w:cs="Calibri"/>
                <w:bCs/>
                <w:color w:val="000000"/>
                <w:sz w:val="20"/>
                <w:szCs w:val="20"/>
                <w:lang w:eastAsia="es-MX"/>
              </w:rPr>
            </w:pPr>
            <w:r w:rsidRPr="00A04585">
              <w:rPr>
                <w:rFonts w:ascii="Trebuchet MS" w:eastAsia="Times New Roman" w:hAnsi="Trebuchet MS" w:cs="Calibri"/>
                <w:bCs/>
                <w:color w:val="000000"/>
                <w:sz w:val="20"/>
                <w:szCs w:val="20"/>
                <w:lang w:eastAsia="es-MX"/>
              </w:rPr>
              <w:t>6.30%</w:t>
            </w:r>
          </w:p>
        </w:tc>
        <w:tc>
          <w:tcPr>
            <w:tcW w:w="771" w:type="dxa"/>
            <w:tcBorders>
              <w:top w:val="nil"/>
              <w:left w:val="nil"/>
              <w:bottom w:val="nil"/>
              <w:right w:val="nil"/>
            </w:tcBorders>
            <w:shd w:val="clear" w:color="auto" w:fill="auto"/>
            <w:noWrap/>
            <w:vAlign w:val="center"/>
            <w:hideMark/>
          </w:tcPr>
          <w:p w14:paraId="34877AE8" w14:textId="77777777" w:rsidR="00CA0924" w:rsidRPr="00A04585" w:rsidRDefault="00CA0924" w:rsidP="00AC6282">
            <w:pPr>
              <w:jc w:val="center"/>
              <w:rPr>
                <w:rFonts w:ascii="Trebuchet MS" w:eastAsia="Times New Roman" w:hAnsi="Trebuchet MS" w:cs="Calibri"/>
                <w:bCs/>
                <w:color w:val="000000"/>
                <w:sz w:val="20"/>
                <w:szCs w:val="20"/>
                <w:lang w:eastAsia="es-MX"/>
              </w:rPr>
            </w:pPr>
          </w:p>
        </w:tc>
        <w:tc>
          <w:tcPr>
            <w:tcW w:w="688" w:type="dxa"/>
            <w:tcBorders>
              <w:top w:val="nil"/>
              <w:left w:val="nil"/>
              <w:bottom w:val="nil"/>
              <w:right w:val="nil"/>
            </w:tcBorders>
            <w:shd w:val="clear" w:color="auto" w:fill="auto"/>
            <w:noWrap/>
            <w:vAlign w:val="center"/>
            <w:hideMark/>
          </w:tcPr>
          <w:p w14:paraId="4C82D60B"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525A53F0" w14:textId="77777777" w:rsidR="00CA0924" w:rsidRPr="00A04585" w:rsidRDefault="00CA0924" w:rsidP="00AC6282">
            <w:pPr>
              <w:jc w:val="center"/>
              <w:rPr>
                <w:rFonts w:ascii="Trebuchet MS" w:eastAsia="Times New Roman" w:hAnsi="Trebuchet MS" w:cs="Times New Roman"/>
                <w:sz w:val="20"/>
                <w:szCs w:val="20"/>
                <w:lang w:eastAsia="es-MX"/>
              </w:rPr>
            </w:pPr>
          </w:p>
        </w:tc>
      </w:tr>
      <w:tr w:rsidR="00CA0924" w:rsidRPr="00A04585" w14:paraId="4DEF349E" w14:textId="77777777" w:rsidTr="00AC6282">
        <w:trPr>
          <w:trHeight w:val="415"/>
        </w:trPr>
        <w:tc>
          <w:tcPr>
            <w:tcW w:w="3068" w:type="dxa"/>
            <w:vMerge/>
            <w:tcBorders>
              <w:top w:val="nil"/>
              <w:left w:val="single" w:sz="8" w:space="0" w:color="808080"/>
              <w:bottom w:val="single" w:sz="8" w:space="0" w:color="808080"/>
              <w:right w:val="single" w:sz="4" w:space="0" w:color="808080"/>
            </w:tcBorders>
            <w:vAlign w:val="center"/>
            <w:hideMark/>
          </w:tcPr>
          <w:p w14:paraId="02241DA6"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445" w:type="dxa"/>
            <w:vMerge/>
            <w:tcBorders>
              <w:top w:val="single" w:sz="8" w:space="0" w:color="808080"/>
              <w:left w:val="single" w:sz="8" w:space="0" w:color="808080"/>
              <w:bottom w:val="single" w:sz="8" w:space="0" w:color="808080"/>
              <w:right w:val="single" w:sz="8" w:space="0" w:color="808080"/>
            </w:tcBorders>
            <w:vAlign w:val="center"/>
            <w:hideMark/>
          </w:tcPr>
          <w:p w14:paraId="3E920C99"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1673" w:type="dxa"/>
            <w:vMerge/>
            <w:tcBorders>
              <w:top w:val="nil"/>
              <w:left w:val="nil"/>
              <w:bottom w:val="single" w:sz="8" w:space="0" w:color="808080"/>
              <w:right w:val="single" w:sz="8" w:space="0" w:color="808080"/>
            </w:tcBorders>
            <w:vAlign w:val="center"/>
            <w:hideMark/>
          </w:tcPr>
          <w:p w14:paraId="03FA1245" w14:textId="77777777" w:rsidR="00CA0924" w:rsidRPr="00A04585" w:rsidRDefault="00CA0924" w:rsidP="00AC6282">
            <w:pPr>
              <w:jc w:val="center"/>
              <w:rPr>
                <w:rFonts w:ascii="Trebuchet MS" w:eastAsia="Times New Roman" w:hAnsi="Trebuchet MS" w:cs="Calibri"/>
                <w:b/>
                <w:bCs/>
                <w:color w:val="000000"/>
                <w:sz w:val="20"/>
                <w:szCs w:val="20"/>
                <w:lang w:eastAsia="es-MX"/>
              </w:rPr>
            </w:pPr>
          </w:p>
        </w:tc>
        <w:tc>
          <w:tcPr>
            <w:tcW w:w="771" w:type="dxa"/>
            <w:tcBorders>
              <w:top w:val="nil"/>
              <w:left w:val="nil"/>
              <w:bottom w:val="nil"/>
              <w:right w:val="nil"/>
            </w:tcBorders>
            <w:shd w:val="clear" w:color="auto" w:fill="auto"/>
            <w:noWrap/>
            <w:vAlign w:val="center"/>
            <w:hideMark/>
          </w:tcPr>
          <w:p w14:paraId="2B9B8C87"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688" w:type="dxa"/>
            <w:tcBorders>
              <w:top w:val="nil"/>
              <w:left w:val="nil"/>
              <w:bottom w:val="nil"/>
              <w:right w:val="nil"/>
            </w:tcBorders>
            <w:shd w:val="clear" w:color="auto" w:fill="auto"/>
            <w:noWrap/>
            <w:vAlign w:val="center"/>
            <w:hideMark/>
          </w:tcPr>
          <w:p w14:paraId="096AD802" w14:textId="77777777" w:rsidR="00CA0924" w:rsidRPr="00A04585" w:rsidRDefault="00CA0924" w:rsidP="00AC6282">
            <w:pPr>
              <w:jc w:val="center"/>
              <w:rPr>
                <w:rFonts w:ascii="Trebuchet MS" w:eastAsia="Times New Roman" w:hAnsi="Trebuchet MS" w:cs="Times New Roman"/>
                <w:sz w:val="20"/>
                <w:szCs w:val="20"/>
                <w:lang w:eastAsia="es-MX"/>
              </w:rPr>
            </w:pPr>
          </w:p>
        </w:tc>
        <w:tc>
          <w:tcPr>
            <w:tcW w:w="1417" w:type="dxa"/>
            <w:tcBorders>
              <w:top w:val="nil"/>
              <w:left w:val="nil"/>
              <w:bottom w:val="nil"/>
              <w:right w:val="nil"/>
            </w:tcBorders>
            <w:shd w:val="clear" w:color="auto" w:fill="auto"/>
            <w:noWrap/>
            <w:vAlign w:val="center"/>
            <w:hideMark/>
          </w:tcPr>
          <w:p w14:paraId="62ED8AB5" w14:textId="77777777" w:rsidR="00CA0924" w:rsidRPr="00A04585" w:rsidRDefault="00CA0924" w:rsidP="00AC6282">
            <w:pPr>
              <w:jc w:val="center"/>
              <w:rPr>
                <w:rFonts w:ascii="Trebuchet MS" w:eastAsia="Times New Roman" w:hAnsi="Trebuchet MS" w:cs="Times New Roman"/>
                <w:sz w:val="20"/>
                <w:szCs w:val="20"/>
                <w:lang w:eastAsia="es-MX"/>
              </w:rPr>
            </w:pPr>
          </w:p>
        </w:tc>
      </w:tr>
    </w:tbl>
    <w:p w14:paraId="053B2960" w14:textId="6662B8E1" w:rsidR="009E769B" w:rsidRPr="00242547" w:rsidRDefault="009E769B" w:rsidP="002E7CFF">
      <w:pPr>
        <w:pStyle w:val="Sinespaciado"/>
        <w:jc w:val="center"/>
        <w:rPr>
          <w:rFonts w:ascii="Trebuchet MS" w:hAnsi="Trebuchet MS"/>
          <w:color w:val="000000"/>
          <w:sz w:val="24"/>
          <w:szCs w:val="24"/>
          <w:lang w:val="es-ES_tradnl" w:eastAsia="es-MX"/>
        </w:rPr>
      </w:pPr>
    </w:p>
    <w:p w14:paraId="54AA6F8A" w14:textId="2985DD4C" w:rsidR="003667F1" w:rsidRPr="00242547" w:rsidRDefault="003667F1" w:rsidP="002E7CFF">
      <w:pPr>
        <w:pStyle w:val="Sinespaciado"/>
        <w:rPr>
          <w:rFonts w:ascii="Trebuchet MS" w:hAnsi="Trebuchet MS"/>
          <w:color w:val="000000"/>
          <w:sz w:val="24"/>
          <w:szCs w:val="24"/>
          <w:lang w:val="es-ES_tradnl" w:eastAsia="es-MX"/>
        </w:rPr>
      </w:pPr>
    </w:p>
    <w:p w14:paraId="3A9CB47C" w14:textId="44E449AD" w:rsidR="005A213D" w:rsidRPr="00A04585" w:rsidRDefault="005A213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La tabla que antecede muestra cuáles fueron los partidos nacionales que compitieron en la mencionada elección</w:t>
      </w:r>
      <w:r w:rsidR="00343C1A" w:rsidRPr="00A04585">
        <w:rPr>
          <w:rFonts w:ascii="Trebuchet MS" w:hAnsi="Trebuchet MS"/>
          <w:color w:val="000000"/>
          <w:sz w:val="24"/>
          <w:szCs w:val="24"/>
          <w:lang w:val="es-ES_tradnl" w:eastAsia="es-MX"/>
        </w:rPr>
        <w:t xml:space="preserve"> y</w:t>
      </w:r>
      <w:r w:rsidRPr="00A04585">
        <w:rPr>
          <w:rFonts w:ascii="Trebuchet MS" w:hAnsi="Trebuchet MS"/>
          <w:color w:val="000000"/>
          <w:sz w:val="24"/>
          <w:szCs w:val="24"/>
          <w:lang w:val="es-ES_tradnl" w:eastAsia="es-MX"/>
        </w:rPr>
        <w:t xml:space="preserve"> consiguieron al menos el </w:t>
      </w:r>
      <w:r w:rsidR="00A26906" w:rsidRPr="00242547">
        <w:rPr>
          <w:rFonts w:ascii="Trebuchet MS" w:hAnsi="Trebuchet MS"/>
          <w:color w:val="000000"/>
          <w:sz w:val="24"/>
          <w:szCs w:val="24"/>
          <w:lang w:val="es-ES_tradnl" w:eastAsia="es-MX"/>
        </w:rPr>
        <w:t>tres por ciento</w:t>
      </w:r>
      <w:r w:rsidR="00A26906"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de la votación válida</w:t>
      </w:r>
      <w:r w:rsidR="00343C1A" w:rsidRPr="00A04585">
        <w:rPr>
          <w:rFonts w:ascii="Trebuchet MS" w:hAnsi="Trebuchet MS"/>
          <w:color w:val="000000"/>
          <w:sz w:val="24"/>
          <w:szCs w:val="24"/>
          <w:lang w:val="es-ES_tradnl" w:eastAsia="es-MX"/>
        </w:rPr>
        <w:t xml:space="preserve"> en la elección de </w:t>
      </w:r>
      <w:r w:rsidR="00C72509" w:rsidRPr="00A04585">
        <w:rPr>
          <w:rFonts w:ascii="Trebuchet MS" w:hAnsi="Trebuchet MS"/>
          <w:color w:val="000000"/>
          <w:sz w:val="24"/>
          <w:szCs w:val="24"/>
          <w:lang w:val="es-ES_tradnl" w:eastAsia="es-MX"/>
        </w:rPr>
        <w:t>diputaciones</w:t>
      </w:r>
      <w:r w:rsidRPr="00A04585">
        <w:rPr>
          <w:rFonts w:ascii="Trebuchet MS" w:hAnsi="Trebuchet MS"/>
          <w:color w:val="000000"/>
          <w:sz w:val="24"/>
          <w:szCs w:val="24"/>
          <w:lang w:val="es-ES_tradnl" w:eastAsia="es-MX"/>
        </w:rPr>
        <w:t>. En esa tónica, también destaca que hubo dos institutos políticos locales que cumplieron con las condiciones necesarias para conservar su registro.</w:t>
      </w:r>
    </w:p>
    <w:p w14:paraId="6B3064EC" w14:textId="77777777" w:rsidR="005A213D" w:rsidRPr="00242547" w:rsidRDefault="005A213D" w:rsidP="002E7CFF">
      <w:pPr>
        <w:pStyle w:val="Sinespaciado"/>
        <w:jc w:val="both"/>
        <w:rPr>
          <w:rFonts w:ascii="Trebuchet MS" w:hAnsi="Trebuchet MS"/>
          <w:color w:val="000000"/>
          <w:sz w:val="24"/>
          <w:szCs w:val="24"/>
          <w:lang w:val="es-ES_tradnl" w:eastAsia="es-MX"/>
        </w:rPr>
      </w:pPr>
    </w:p>
    <w:p w14:paraId="3937E36D" w14:textId="0544D54E" w:rsidR="006F0B9A" w:rsidRPr="00A04585" w:rsidRDefault="006F0B9A"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Es importante esclarecer que los partidos nacionales con representación en el Congreso local que cuenten con al menos el </w:t>
      </w:r>
      <w:r w:rsidR="00A26906" w:rsidRPr="00242547">
        <w:rPr>
          <w:rFonts w:ascii="Trebuchet MS" w:hAnsi="Trebuchet MS"/>
          <w:color w:val="000000"/>
          <w:sz w:val="24"/>
          <w:szCs w:val="24"/>
          <w:lang w:val="es-ES_tradnl" w:eastAsia="es-MX"/>
        </w:rPr>
        <w:t>tres por ciento</w:t>
      </w:r>
      <w:r w:rsidR="00A26906"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 xml:space="preserve">de la votación válida de la elección de diputaciones locales inmediata anterior, tienen derecho a participar en el financiamiento estatal con base en los parámetros de </w:t>
      </w:r>
      <w:r w:rsidR="00A26906" w:rsidRPr="00A04585">
        <w:rPr>
          <w:rFonts w:ascii="Trebuchet MS" w:hAnsi="Trebuchet MS"/>
          <w:color w:val="000000"/>
          <w:sz w:val="24"/>
          <w:szCs w:val="24"/>
          <w:lang w:val="es-ES_tradnl" w:eastAsia="es-MX"/>
        </w:rPr>
        <w:t xml:space="preserve">distribución previstos para el </w:t>
      </w:r>
      <w:r w:rsidR="00A26906" w:rsidRPr="00242547">
        <w:rPr>
          <w:rFonts w:ascii="Trebuchet MS" w:hAnsi="Trebuchet MS"/>
          <w:color w:val="000000"/>
          <w:sz w:val="24"/>
          <w:szCs w:val="24"/>
          <w:lang w:val="es-ES_tradnl" w:eastAsia="es-MX"/>
        </w:rPr>
        <w:t xml:space="preserve">treinta </w:t>
      </w:r>
      <w:r w:rsidRPr="00242547">
        <w:rPr>
          <w:rFonts w:ascii="Trebuchet MS" w:hAnsi="Trebuchet MS"/>
          <w:color w:val="000000"/>
          <w:sz w:val="24"/>
          <w:szCs w:val="24"/>
          <w:lang w:val="es-ES_tradnl" w:eastAsia="es-MX"/>
        </w:rPr>
        <w:t>y e</w:t>
      </w:r>
      <w:r w:rsidR="00FF70A9" w:rsidRPr="00242547">
        <w:rPr>
          <w:rFonts w:ascii="Trebuchet MS" w:hAnsi="Trebuchet MS"/>
          <w:color w:val="000000"/>
          <w:sz w:val="24"/>
          <w:szCs w:val="24"/>
          <w:lang w:val="es-ES_tradnl" w:eastAsia="es-MX"/>
        </w:rPr>
        <w:t>l</w:t>
      </w:r>
      <w:r w:rsidRPr="00242547">
        <w:rPr>
          <w:rFonts w:ascii="Trebuchet MS" w:hAnsi="Trebuchet MS"/>
          <w:color w:val="000000"/>
          <w:sz w:val="24"/>
          <w:szCs w:val="24"/>
          <w:lang w:val="es-ES_tradnl" w:eastAsia="es-MX"/>
        </w:rPr>
        <w:t xml:space="preserve"> </w:t>
      </w:r>
      <w:r w:rsidR="00A26906" w:rsidRPr="00242547">
        <w:rPr>
          <w:rFonts w:ascii="Trebuchet MS" w:hAnsi="Trebuchet MS"/>
          <w:color w:val="000000"/>
          <w:sz w:val="24"/>
          <w:szCs w:val="24"/>
          <w:lang w:val="es-ES_tradnl" w:eastAsia="es-MX"/>
        </w:rPr>
        <w:t>setenta por ciento</w:t>
      </w:r>
      <w:r w:rsidR="00A26906"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de la bolsa respectiva. En tanto que los partidos locales con registro que cuenten con alguna diputación en la legislatura local, también tendr</w:t>
      </w:r>
      <w:r w:rsidR="006176C3" w:rsidRPr="00A04585">
        <w:rPr>
          <w:rFonts w:ascii="Trebuchet MS" w:hAnsi="Trebuchet MS"/>
          <w:color w:val="000000"/>
          <w:sz w:val="24"/>
          <w:szCs w:val="24"/>
          <w:lang w:val="es-ES_tradnl" w:eastAsia="es-MX"/>
        </w:rPr>
        <w:t>án ese derecho, pero respecto a la bolsa destinada</w:t>
      </w:r>
      <w:r w:rsidRPr="00A04585">
        <w:rPr>
          <w:rFonts w:ascii="Trebuchet MS" w:hAnsi="Trebuchet MS"/>
          <w:color w:val="000000"/>
          <w:sz w:val="24"/>
          <w:szCs w:val="24"/>
          <w:lang w:val="es-ES_tradnl" w:eastAsia="es-MX"/>
        </w:rPr>
        <w:t xml:space="preserve"> a los </w:t>
      </w:r>
      <w:r w:rsidR="00E113E4" w:rsidRPr="00A04585">
        <w:rPr>
          <w:rFonts w:ascii="Trebuchet MS" w:hAnsi="Trebuchet MS"/>
          <w:color w:val="000000"/>
          <w:sz w:val="24"/>
          <w:szCs w:val="24"/>
          <w:lang w:val="es-ES_tradnl" w:eastAsia="es-MX"/>
        </w:rPr>
        <w:t xml:space="preserve">partidos </w:t>
      </w:r>
      <w:r w:rsidRPr="00A04585">
        <w:rPr>
          <w:rFonts w:ascii="Trebuchet MS" w:hAnsi="Trebuchet MS"/>
          <w:color w:val="000000"/>
          <w:sz w:val="24"/>
          <w:szCs w:val="24"/>
          <w:lang w:val="es-ES_tradnl" w:eastAsia="es-MX"/>
        </w:rPr>
        <w:t>políticos estatales.</w:t>
      </w:r>
    </w:p>
    <w:p w14:paraId="2FC87B88" w14:textId="77777777" w:rsidR="006F0B9A" w:rsidRPr="00A04585" w:rsidRDefault="006F0B9A" w:rsidP="002E7CFF">
      <w:pPr>
        <w:pStyle w:val="Sinespaciado"/>
        <w:jc w:val="both"/>
        <w:rPr>
          <w:rFonts w:ascii="Trebuchet MS" w:hAnsi="Trebuchet MS"/>
          <w:color w:val="000000"/>
          <w:sz w:val="24"/>
          <w:szCs w:val="24"/>
          <w:lang w:val="es-ES_tradnl" w:eastAsia="es-MX"/>
        </w:rPr>
      </w:pPr>
    </w:p>
    <w:p w14:paraId="2B5B5C1A" w14:textId="71BE28F4" w:rsidR="00346B10" w:rsidRPr="00A04585" w:rsidRDefault="005E0C8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De lo anterior, se advierte que</w:t>
      </w:r>
      <w:r w:rsidR="00346B10" w:rsidRPr="00A04585">
        <w:rPr>
          <w:rFonts w:ascii="Trebuchet MS" w:hAnsi="Trebuchet MS"/>
          <w:color w:val="000000"/>
          <w:sz w:val="24"/>
          <w:szCs w:val="24"/>
          <w:lang w:val="es-ES_tradnl" w:eastAsia="es-MX"/>
        </w:rPr>
        <w:t xml:space="preserve"> conforme a las reglas ya citadas, los partidos políticos nacionales con acreditación en la entidad federativa que tienen derecho a participar</w:t>
      </w:r>
      <w:r w:rsidRPr="00A04585">
        <w:rPr>
          <w:rFonts w:ascii="Trebuchet MS" w:hAnsi="Trebuchet MS"/>
          <w:color w:val="000000"/>
          <w:sz w:val="24"/>
          <w:szCs w:val="24"/>
          <w:lang w:val="es-ES_tradnl" w:eastAsia="es-MX"/>
        </w:rPr>
        <w:t xml:space="preserve"> por financiamiento local son:</w:t>
      </w:r>
      <w:r w:rsidR="000A1914" w:rsidRPr="00A04585">
        <w:rPr>
          <w:rFonts w:ascii="Trebuchet MS" w:hAnsi="Trebuchet MS"/>
          <w:color w:val="000000"/>
          <w:sz w:val="24"/>
          <w:szCs w:val="24"/>
          <w:lang w:val="es-ES_tradnl" w:eastAsia="es-MX"/>
        </w:rPr>
        <w:t xml:space="preserve"> Partido Acción Nacional,</w:t>
      </w:r>
      <w:r w:rsidR="00346B10" w:rsidRPr="00A04585">
        <w:rPr>
          <w:rFonts w:ascii="Trebuchet MS" w:hAnsi="Trebuchet MS"/>
          <w:color w:val="000000"/>
          <w:sz w:val="24"/>
          <w:szCs w:val="24"/>
          <w:lang w:val="es-ES_tradnl" w:eastAsia="es-MX"/>
        </w:rPr>
        <w:t xml:space="preserve"> Partido </w:t>
      </w:r>
      <w:r w:rsidR="006059F5" w:rsidRPr="00A04585">
        <w:rPr>
          <w:rFonts w:ascii="Trebuchet MS" w:hAnsi="Trebuchet MS"/>
          <w:color w:val="000000"/>
          <w:sz w:val="24"/>
          <w:szCs w:val="24"/>
          <w:lang w:val="es-ES_tradnl" w:eastAsia="es-MX"/>
        </w:rPr>
        <w:t>Revolucionario Institucional,</w:t>
      </w:r>
      <w:r w:rsidR="00346B10" w:rsidRPr="00A04585">
        <w:rPr>
          <w:rFonts w:ascii="Trebuchet MS" w:hAnsi="Trebuchet MS"/>
          <w:color w:val="000000"/>
          <w:sz w:val="24"/>
          <w:szCs w:val="24"/>
          <w:lang w:val="es-ES_tradnl" w:eastAsia="es-MX"/>
        </w:rPr>
        <w:t xml:space="preserve"> Partido Verde Ecologista de México, Movimiento Ciudadano y Morena, ya que obtuvieron una cantidad de votos mayor al equivalente al </w:t>
      </w:r>
      <w:r w:rsidR="00A26906" w:rsidRPr="00242547">
        <w:rPr>
          <w:rFonts w:ascii="Trebuchet MS" w:hAnsi="Trebuchet MS"/>
          <w:color w:val="000000"/>
          <w:sz w:val="24"/>
          <w:szCs w:val="24"/>
          <w:lang w:val="es-ES_tradnl" w:eastAsia="es-MX"/>
        </w:rPr>
        <w:t>tres por ciento</w:t>
      </w:r>
      <w:r w:rsidR="00A26906" w:rsidRPr="00A04585">
        <w:rPr>
          <w:rFonts w:ascii="Trebuchet MS" w:hAnsi="Trebuchet MS"/>
          <w:color w:val="000000"/>
          <w:sz w:val="24"/>
          <w:szCs w:val="24"/>
          <w:lang w:val="es-ES_tradnl" w:eastAsia="es-MX"/>
        </w:rPr>
        <w:t xml:space="preserve"> </w:t>
      </w:r>
      <w:r w:rsidR="00346B10" w:rsidRPr="00A04585">
        <w:rPr>
          <w:rFonts w:ascii="Trebuchet MS" w:hAnsi="Trebuchet MS"/>
          <w:color w:val="000000"/>
          <w:sz w:val="24"/>
          <w:szCs w:val="24"/>
          <w:lang w:val="es-ES_tradnl" w:eastAsia="es-MX"/>
        </w:rPr>
        <w:t>de la votación válida</w:t>
      </w:r>
      <w:r w:rsidR="00E113E4" w:rsidRPr="00A04585">
        <w:rPr>
          <w:rFonts w:ascii="Trebuchet MS" w:hAnsi="Trebuchet MS"/>
          <w:color w:val="000000"/>
          <w:sz w:val="24"/>
          <w:szCs w:val="24"/>
          <w:lang w:val="es-ES_tradnl" w:eastAsia="es-MX"/>
        </w:rPr>
        <w:t xml:space="preserve"> emitida</w:t>
      </w:r>
      <w:r w:rsidR="00346B10" w:rsidRPr="00A04585">
        <w:rPr>
          <w:rFonts w:ascii="Trebuchet MS" w:hAnsi="Trebuchet MS"/>
          <w:color w:val="000000"/>
          <w:sz w:val="24"/>
          <w:szCs w:val="24"/>
          <w:lang w:val="es-ES_tradnl" w:eastAsia="es-MX"/>
        </w:rPr>
        <w:t>.</w:t>
      </w:r>
    </w:p>
    <w:p w14:paraId="6F9BEE59" w14:textId="4C13B4C8" w:rsidR="00346B10" w:rsidRPr="00A04585" w:rsidRDefault="00346B10" w:rsidP="002E7CFF">
      <w:pPr>
        <w:pStyle w:val="Sinespaciado"/>
        <w:jc w:val="both"/>
        <w:rPr>
          <w:rFonts w:ascii="Trebuchet MS" w:hAnsi="Trebuchet MS"/>
          <w:color w:val="000000"/>
          <w:sz w:val="24"/>
          <w:szCs w:val="24"/>
          <w:lang w:val="es-ES_tradnl" w:eastAsia="es-MX"/>
        </w:rPr>
      </w:pPr>
    </w:p>
    <w:p w14:paraId="2B0B3E97" w14:textId="7E0BF0C3" w:rsidR="00346B10" w:rsidRPr="00A04585" w:rsidRDefault="00346B10"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Por su parte, los partidos políticos locales que rebasaron ese </w:t>
      </w:r>
      <w:r w:rsidR="009D1188" w:rsidRPr="00A04585">
        <w:rPr>
          <w:rFonts w:ascii="Trebuchet MS" w:hAnsi="Trebuchet MS"/>
          <w:color w:val="000000"/>
          <w:sz w:val="24"/>
          <w:szCs w:val="24"/>
          <w:lang w:val="es-ES_tradnl" w:eastAsia="es-MX"/>
        </w:rPr>
        <w:t>porcentaje</w:t>
      </w:r>
      <w:r w:rsidRPr="00A04585">
        <w:rPr>
          <w:rFonts w:ascii="Trebuchet MS" w:hAnsi="Trebuchet MS"/>
          <w:color w:val="000000"/>
          <w:sz w:val="24"/>
          <w:szCs w:val="24"/>
          <w:lang w:val="es-ES_tradnl" w:eastAsia="es-MX"/>
        </w:rPr>
        <w:t xml:space="preserve"> fueron Hagamos y Futuro, de forma que conservarán su registro y tienen derecho a que se les otorgue financiamiento público</w:t>
      </w:r>
      <w:r w:rsidR="005E0C89" w:rsidRPr="00A04585">
        <w:rPr>
          <w:rFonts w:ascii="Trebuchet MS" w:hAnsi="Trebuchet MS"/>
          <w:color w:val="000000"/>
          <w:sz w:val="24"/>
          <w:szCs w:val="24"/>
          <w:lang w:val="es-ES_tradnl" w:eastAsia="es-MX"/>
        </w:rPr>
        <w:t xml:space="preserve"> en el año</w:t>
      </w:r>
      <w:r w:rsidRPr="00A04585">
        <w:rPr>
          <w:rFonts w:ascii="Trebuchet MS" w:hAnsi="Trebuchet MS"/>
          <w:color w:val="000000"/>
          <w:sz w:val="24"/>
          <w:szCs w:val="24"/>
          <w:lang w:val="es-ES_tradnl" w:eastAsia="es-MX"/>
        </w:rPr>
        <w:t xml:space="preserve"> dos mil veinti</w:t>
      </w:r>
      <w:r w:rsidR="00C72509" w:rsidRPr="00A04585">
        <w:rPr>
          <w:rFonts w:ascii="Trebuchet MS" w:hAnsi="Trebuchet MS"/>
          <w:color w:val="000000"/>
          <w:sz w:val="24"/>
          <w:szCs w:val="24"/>
          <w:lang w:val="es-ES_tradnl" w:eastAsia="es-MX"/>
        </w:rPr>
        <w:t>trés</w:t>
      </w:r>
      <w:r w:rsidRPr="00A04585">
        <w:rPr>
          <w:rFonts w:ascii="Trebuchet MS" w:hAnsi="Trebuchet MS"/>
          <w:color w:val="000000"/>
          <w:sz w:val="24"/>
          <w:szCs w:val="24"/>
          <w:lang w:val="es-ES_tradnl" w:eastAsia="es-MX"/>
        </w:rPr>
        <w:t>.</w:t>
      </w:r>
    </w:p>
    <w:p w14:paraId="1359F0AE" w14:textId="7C72F449" w:rsidR="00346B10" w:rsidRPr="00242547" w:rsidRDefault="00346B10" w:rsidP="002E7CFF">
      <w:pPr>
        <w:pStyle w:val="Sinespaciado"/>
        <w:jc w:val="both"/>
        <w:rPr>
          <w:rFonts w:ascii="Trebuchet MS" w:hAnsi="Trebuchet MS"/>
          <w:color w:val="000000"/>
          <w:sz w:val="24"/>
          <w:szCs w:val="24"/>
          <w:lang w:val="es-ES_tradnl" w:eastAsia="es-MX"/>
        </w:rPr>
      </w:pPr>
    </w:p>
    <w:p w14:paraId="24F6F503" w14:textId="1A529CBC" w:rsidR="005A213D" w:rsidRPr="00A04585" w:rsidRDefault="00FF70A9" w:rsidP="002E7CFF">
      <w:pPr>
        <w:pStyle w:val="Sinespaciado"/>
        <w:jc w:val="both"/>
        <w:rPr>
          <w:rFonts w:ascii="Trebuchet MS" w:hAnsi="Trebuchet MS"/>
          <w:sz w:val="24"/>
          <w:szCs w:val="24"/>
          <w:lang w:val="es-ES_tradnl" w:eastAsia="es-MX"/>
        </w:rPr>
      </w:pPr>
      <w:r w:rsidRPr="00A04585">
        <w:rPr>
          <w:rFonts w:ascii="Trebuchet MS" w:hAnsi="Trebuchet MS"/>
          <w:b/>
          <w:sz w:val="24"/>
          <w:szCs w:val="24"/>
          <w:lang w:val="es-ES_tradnl" w:eastAsia="es-MX"/>
        </w:rPr>
        <w:t>A. Parámetros para aplicar la fórmula de distribución de financiamiento.</w:t>
      </w:r>
      <w:r w:rsidR="00AF61D0" w:rsidRPr="00A04585">
        <w:rPr>
          <w:rFonts w:ascii="Trebuchet MS" w:hAnsi="Trebuchet MS"/>
          <w:b/>
          <w:sz w:val="24"/>
          <w:szCs w:val="24"/>
          <w:lang w:val="es-ES_tradnl" w:eastAsia="es-MX"/>
        </w:rPr>
        <w:t xml:space="preserve"> </w:t>
      </w:r>
      <w:r w:rsidR="00684648" w:rsidRPr="00A04585">
        <w:rPr>
          <w:rFonts w:ascii="Trebuchet MS" w:hAnsi="Trebuchet MS"/>
          <w:sz w:val="24"/>
          <w:szCs w:val="24"/>
          <w:lang w:val="es-ES_tradnl" w:eastAsia="es-MX"/>
        </w:rPr>
        <w:t>De lo explicado con antelación se advierte con claridad que</w:t>
      </w:r>
      <w:r w:rsidR="00FF55FC" w:rsidRPr="00A04585">
        <w:rPr>
          <w:rFonts w:ascii="Trebuchet MS" w:hAnsi="Trebuchet MS"/>
          <w:sz w:val="24"/>
          <w:szCs w:val="24"/>
          <w:lang w:val="es-ES_tradnl" w:eastAsia="es-MX"/>
        </w:rPr>
        <w:t>,</w:t>
      </w:r>
      <w:r w:rsidR="00684648" w:rsidRPr="00A04585">
        <w:rPr>
          <w:rFonts w:ascii="Trebuchet MS" w:hAnsi="Trebuchet MS"/>
          <w:sz w:val="24"/>
          <w:szCs w:val="24"/>
          <w:lang w:val="es-ES_tradnl" w:eastAsia="es-MX"/>
        </w:rPr>
        <w:t xml:space="preserve"> el sistema</w:t>
      </w:r>
      <w:r w:rsidR="00FF55FC" w:rsidRPr="00A04585">
        <w:rPr>
          <w:rFonts w:ascii="Trebuchet MS" w:hAnsi="Trebuchet MS"/>
          <w:sz w:val="24"/>
          <w:szCs w:val="24"/>
          <w:lang w:val="es-ES_tradnl" w:eastAsia="es-MX"/>
        </w:rPr>
        <w:t xml:space="preserve"> local</w:t>
      </w:r>
      <w:r w:rsidR="00684648" w:rsidRPr="00A04585">
        <w:rPr>
          <w:rFonts w:ascii="Trebuchet MS" w:hAnsi="Trebuchet MS"/>
          <w:sz w:val="24"/>
          <w:szCs w:val="24"/>
          <w:lang w:val="es-ES_tradnl" w:eastAsia="es-MX"/>
        </w:rPr>
        <w:t xml:space="preserve"> de distribución de financiamiento público para los partidos políticos</w:t>
      </w:r>
      <w:r w:rsidR="00E113E4" w:rsidRPr="00A04585">
        <w:rPr>
          <w:rFonts w:ascii="Trebuchet MS" w:hAnsi="Trebuchet MS"/>
          <w:sz w:val="24"/>
          <w:szCs w:val="24"/>
          <w:lang w:val="es-ES_tradnl" w:eastAsia="es-MX"/>
        </w:rPr>
        <w:t xml:space="preserve"> en Jalisco</w:t>
      </w:r>
      <w:r w:rsidR="00684648" w:rsidRPr="00A04585">
        <w:rPr>
          <w:rFonts w:ascii="Trebuchet MS" w:hAnsi="Trebuchet MS"/>
          <w:sz w:val="24"/>
          <w:szCs w:val="24"/>
          <w:lang w:val="es-ES_tradnl" w:eastAsia="es-MX"/>
        </w:rPr>
        <w:t xml:space="preserve"> prevé la existencia de dos bolsas que tienen diferente base de cálculo, </w:t>
      </w:r>
      <w:r w:rsidR="00C7419F" w:rsidRPr="00A04585">
        <w:rPr>
          <w:rFonts w:ascii="Trebuchet MS" w:hAnsi="Trebuchet MS"/>
          <w:sz w:val="24"/>
          <w:szCs w:val="24"/>
          <w:lang w:val="es-ES_tradnl" w:eastAsia="es-MX"/>
        </w:rPr>
        <w:t>por lo cual</w:t>
      </w:r>
      <w:r w:rsidR="00684648" w:rsidRPr="00A04585">
        <w:rPr>
          <w:rFonts w:ascii="Trebuchet MS" w:hAnsi="Trebuchet MS"/>
          <w:sz w:val="24"/>
          <w:szCs w:val="24"/>
          <w:lang w:val="es-ES_tradnl" w:eastAsia="es-MX"/>
        </w:rPr>
        <w:t xml:space="preserve"> una de ellas será destinada para otorgar recursos a los partidos políticos nac</w:t>
      </w:r>
      <w:r w:rsidR="00BE393A" w:rsidRPr="00A04585">
        <w:rPr>
          <w:rFonts w:ascii="Trebuchet MS" w:hAnsi="Trebuchet MS"/>
          <w:sz w:val="24"/>
          <w:szCs w:val="24"/>
          <w:lang w:val="es-ES_tradnl" w:eastAsia="es-MX"/>
        </w:rPr>
        <w:t>ionales con acreditación en el e</w:t>
      </w:r>
      <w:r w:rsidR="00684648" w:rsidRPr="00A04585">
        <w:rPr>
          <w:rFonts w:ascii="Trebuchet MS" w:hAnsi="Trebuchet MS"/>
          <w:sz w:val="24"/>
          <w:szCs w:val="24"/>
          <w:lang w:val="es-ES_tradnl" w:eastAsia="es-MX"/>
        </w:rPr>
        <w:t>stado y, la otra, a los partidos políticos locales con registro en la entidad federativa.</w:t>
      </w:r>
    </w:p>
    <w:p w14:paraId="3CE43446" w14:textId="77777777" w:rsidR="00684648" w:rsidRPr="00A04585" w:rsidRDefault="00684648" w:rsidP="002E7CFF">
      <w:pPr>
        <w:pStyle w:val="Sinespaciado"/>
        <w:jc w:val="both"/>
        <w:rPr>
          <w:rFonts w:ascii="Trebuchet MS" w:hAnsi="Trebuchet MS"/>
          <w:sz w:val="24"/>
          <w:szCs w:val="24"/>
          <w:lang w:val="es-ES_tradnl" w:eastAsia="es-MX"/>
        </w:rPr>
      </w:pPr>
    </w:p>
    <w:p w14:paraId="19B64529" w14:textId="6E3313D6" w:rsidR="00684648" w:rsidRPr="00A04585" w:rsidRDefault="00684648" w:rsidP="002E7CFF">
      <w:pPr>
        <w:pStyle w:val="Sinespaciado"/>
        <w:jc w:val="both"/>
        <w:rPr>
          <w:rFonts w:ascii="Trebuchet MS" w:hAnsi="Trebuchet MS"/>
          <w:color w:val="000000"/>
          <w:sz w:val="24"/>
          <w:szCs w:val="24"/>
          <w:lang w:val="es-ES_tradnl" w:eastAsia="es-MX"/>
        </w:rPr>
      </w:pPr>
      <w:r w:rsidRPr="00A04585">
        <w:rPr>
          <w:rFonts w:ascii="Trebuchet MS" w:hAnsi="Trebuchet MS"/>
          <w:sz w:val="24"/>
          <w:szCs w:val="24"/>
          <w:lang w:val="es-ES_tradnl" w:eastAsia="es-MX"/>
        </w:rPr>
        <w:t xml:space="preserve">En relación de lo anterior, en los precedentes judiciales citados y, en específico </w:t>
      </w:r>
      <w:r w:rsidR="00FF55FC" w:rsidRPr="00A04585">
        <w:rPr>
          <w:rFonts w:ascii="Trebuchet MS" w:hAnsi="Trebuchet MS"/>
          <w:sz w:val="24"/>
          <w:szCs w:val="24"/>
          <w:lang w:val="es-ES_tradnl" w:eastAsia="es-MX"/>
        </w:rPr>
        <w:t>en</w:t>
      </w:r>
      <w:r w:rsidRPr="00A04585">
        <w:rPr>
          <w:rFonts w:ascii="Trebuchet MS" w:hAnsi="Trebuchet MS"/>
          <w:sz w:val="24"/>
          <w:szCs w:val="24"/>
          <w:lang w:val="es-ES_tradnl" w:eastAsia="es-MX"/>
        </w:rPr>
        <w:t xml:space="preserve"> la sentencia emitida por la Suprema Corte de Justicia de la Nación en las acciones de inconstitucionalidad 165/2020 y acumuladas –</w:t>
      </w:r>
      <w:r w:rsidRPr="00A04585">
        <w:rPr>
          <w:rFonts w:ascii="Trebuchet MS" w:hAnsi="Trebuchet MS"/>
          <w:i/>
          <w:iCs/>
          <w:sz w:val="24"/>
          <w:szCs w:val="24"/>
          <w:lang w:val="es-ES_tradnl" w:eastAsia="es-MX"/>
        </w:rPr>
        <w:t>cuyo efecto y contenido fue descrito en la parte que inter</w:t>
      </w:r>
      <w:r w:rsidR="00FF55FC" w:rsidRPr="00A04585">
        <w:rPr>
          <w:rFonts w:ascii="Trebuchet MS" w:hAnsi="Trebuchet MS"/>
          <w:i/>
          <w:iCs/>
          <w:sz w:val="24"/>
          <w:szCs w:val="24"/>
          <w:lang w:val="es-ES_tradnl" w:eastAsia="es-MX"/>
        </w:rPr>
        <w:t>esa</w:t>
      </w:r>
      <w:r w:rsidRPr="00A04585">
        <w:rPr>
          <w:rFonts w:ascii="Trebuchet MS" w:hAnsi="Trebuchet MS"/>
          <w:sz w:val="24"/>
          <w:szCs w:val="24"/>
          <w:lang w:val="es-ES_tradnl" w:eastAsia="es-MX"/>
        </w:rPr>
        <w:t xml:space="preserve">- </w:t>
      </w:r>
      <w:r w:rsidR="00FF55FC" w:rsidRPr="00A04585">
        <w:rPr>
          <w:rFonts w:ascii="Trebuchet MS" w:hAnsi="Trebuchet MS"/>
          <w:sz w:val="24"/>
          <w:szCs w:val="24"/>
          <w:lang w:val="es-ES_tradnl" w:eastAsia="es-MX"/>
        </w:rPr>
        <w:t xml:space="preserve">el alto </w:t>
      </w:r>
      <w:r w:rsidR="009D1188" w:rsidRPr="00A04585">
        <w:rPr>
          <w:rFonts w:ascii="Trebuchet MS" w:hAnsi="Trebuchet MS"/>
          <w:sz w:val="24"/>
          <w:szCs w:val="24"/>
          <w:lang w:val="es-ES_tradnl" w:eastAsia="es-MX"/>
        </w:rPr>
        <w:t>tribunal</w:t>
      </w:r>
      <w:r w:rsidR="00FF55FC" w:rsidRPr="00A04585">
        <w:rPr>
          <w:rFonts w:ascii="Trebuchet MS" w:hAnsi="Trebuchet MS"/>
          <w:sz w:val="24"/>
          <w:szCs w:val="24"/>
          <w:lang w:val="es-ES_tradnl" w:eastAsia="es-MX"/>
        </w:rPr>
        <w:t xml:space="preserve"> </w:t>
      </w:r>
      <w:r w:rsidRPr="00A04585">
        <w:rPr>
          <w:rFonts w:ascii="Trebuchet MS" w:hAnsi="Trebuchet MS"/>
          <w:sz w:val="24"/>
          <w:szCs w:val="24"/>
          <w:lang w:val="es-ES_tradnl" w:eastAsia="es-MX"/>
        </w:rPr>
        <w:t>definió que para calcular el monto de financiamiento público que deben recibir los institutos políticos en la entidad federativa resulta aplicable el contenido del artículo 51, párrafo 1, inciso a) de la Ley General de Partidos Políticos en lo que toca a los partidos estatales y, el diverso numeral 13, fracción IV, inciso a) de la Constitución Política del Estado de Jalisco</w:t>
      </w:r>
      <w:r w:rsidR="00FF55FC" w:rsidRPr="00A04585">
        <w:rPr>
          <w:rFonts w:ascii="Trebuchet MS" w:hAnsi="Trebuchet MS"/>
          <w:sz w:val="24"/>
          <w:szCs w:val="24"/>
          <w:lang w:val="es-ES_tradnl" w:eastAsia="es-MX"/>
        </w:rPr>
        <w:t xml:space="preserve"> respecto de los</w:t>
      </w:r>
      <w:r w:rsidR="00C7419F" w:rsidRPr="00A04585">
        <w:rPr>
          <w:rFonts w:ascii="Trebuchet MS" w:hAnsi="Trebuchet MS"/>
          <w:sz w:val="24"/>
          <w:szCs w:val="24"/>
          <w:lang w:val="es-ES_tradnl" w:eastAsia="es-MX"/>
        </w:rPr>
        <w:t xml:space="preserve"> partidos</w:t>
      </w:r>
      <w:r w:rsidR="00FF55FC" w:rsidRPr="00A04585">
        <w:rPr>
          <w:rFonts w:ascii="Trebuchet MS" w:hAnsi="Trebuchet MS"/>
          <w:sz w:val="24"/>
          <w:szCs w:val="24"/>
          <w:lang w:val="es-ES_tradnl" w:eastAsia="es-MX"/>
        </w:rPr>
        <w:t xml:space="preserve"> nacionales</w:t>
      </w:r>
      <w:r w:rsidR="00C7419F" w:rsidRPr="00A04585">
        <w:rPr>
          <w:rFonts w:ascii="Trebuchet MS" w:hAnsi="Trebuchet MS"/>
          <w:sz w:val="24"/>
          <w:szCs w:val="24"/>
          <w:lang w:val="es-ES_tradnl" w:eastAsia="es-MX"/>
        </w:rPr>
        <w:t xml:space="preserve"> con registro en la entidad</w:t>
      </w:r>
      <w:r w:rsidR="00FF55FC" w:rsidRPr="00A04585">
        <w:rPr>
          <w:rFonts w:ascii="Trebuchet MS" w:hAnsi="Trebuchet MS"/>
          <w:sz w:val="24"/>
          <w:szCs w:val="24"/>
          <w:lang w:val="es-ES_tradnl" w:eastAsia="es-MX"/>
        </w:rPr>
        <w:t>.</w:t>
      </w:r>
    </w:p>
    <w:p w14:paraId="5E3A3601" w14:textId="7A36A026" w:rsidR="00BC0DA6" w:rsidRPr="00242547" w:rsidRDefault="00BC0DA6" w:rsidP="002E7CFF">
      <w:pPr>
        <w:pStyle w:val="Sinespaciado"/>
        <w:jc w:val="both"/>
        <w:rPr>
          <w:rFonts w:ascii="Trebuchet MS" w:hAnsi="Trebuchet MS"/>
          <w:color w:val="000000"/>
          <w:sz w:val="24"/>
          <w:szCs w:val="24"/>
          <w:lang w:val="es-ES_tradnl" w:eastAsia="es-MX"/>
        </w:rPr>
      </w:pPr>
    </w:p>
    <w:p w14:paraId="33EF1CF2" w14:textId="0D4B94EB" w:rsidR="00D97FC9" w:rsidRPr="00A04585" w:rsidRDefault="00C7419F"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w:t>
      </w:r>
      <w:r w:rsidR="00BC0DA6" w:rsidRPr="00A04585">
        <w:rPr>
          <w:rFonts w:ascii="Trebuchet MS" w:hAnsi="Trebuchet MS"/>
          <w:color w:val="000000"/>
          <w:sz w:val="24"/>
          <w:szCs w:val="24"/>
          <w:lang w:val="es-ES_tradnl" w:eastAsia="es-MX"/>
        </w:rPr>
        <w:t xml:space="preserve">la distribución de financiamiento </w:t>
      </w:r>
      <w:r w:rsidR="000D26DC" w:rsidRPr="00A04585">
        <w:rPr>
          <w:rFonts w:ascii="Trebuchet MS" w:hAnsi="Trebuchet MS"/>
          <w:color w:val="000000"/>
          <w:sz w:val="24"/>
          <w:szCs w:val="24"/>
          <w:lang w:val="es-ES_tradnl" w:eastAsia="es-MX"/>
        </w:rPr>
        <w:t xml:space="preserve">se advierte que ambas fórmulas, es decir, tanto la prevista en </w:t>
      </w:r>
      <w:r w:rsidR="00D97FC9" w:rsidRPr="00A04585">
        <w:rPr>
          <w:rFonts w:ascii="Trebuchet MS" w:hAnsi="Trebuchet MS"/>
          <w:color w:val="000000"/>
          <w:sz w:val="24"/>
          <w:szCs w:val="24"/>
          <w:lang w:val="es-ES_tradnl" w:eastAsia="es-MX"/>
        </w:rPr>
        <w:t xml:space="preserve">la ley general referida, como </w:t>
      </w:r>
      <w:r w:rsidRPr="00A04585">
        <w:rPr>
          <w:rFonts w:ascii="Trebuchet MS" w:hAnsi="Trebuchet MS"/>
          <w:color w:val="000000"/>
          <w:sz w:val="24"/>
          <w:szCs w:val="24"/>
          <w:lang w:val="es-ES_tradnl" w:eastAsia="es-MX"/>
        </w:rPr>
        <w:t xml:space="preserve">la señalada </w:t>
      </w:r>
      <w:r w:rsidR="00D97FC9" w:rsidRPr="00A04585">
        <w:rPr>
          <w:rFonts w:ascii="Trebuchet MS" w:hAnsi="Trebuchet MS"/>
          <w:color w:val="000000"/>
          <w:sz w:val="24"/>
          <w:szCs w:val="24"/>
          <w:lang w:val="es-ES_tradnl" w:eastAsia="es-MX"/>
        </w:rPr>
        <w:t xml:space="preserve">en la constitución local, contienen dos componentes fundamentales. El primero es que el </w:t>
      </w:r>
      <w:r w:rsidR="00A26906" w:rsidRPr="00242547">
        <w:rPr>
          <w:rFonts w:ascii="Trebuchet MS" w:hAnsi="Trebuchet MS"/>
          <w:color w:val="000000"/>
          <w:sz w:val="24"/>
          <w:szCs w:val="24"/>
          <w:lang w:val="es-ES_tradnl" w:eastAsia="es-MX"/>
        </w:rPr>
        <w:t>treinta por ciento</w:t>
      </w:r>
      <w:r w:rsidR="00D97FC9" w:rsidRPr="00A04585">
        <w:rPr>
          <w:rFonts w:ascii="Trebuchet MS" w:hAnsi="Trebuchet MS"/>
          <w:color w:val="000000"/>
          <w:sz w:val="24"/>
          <w:szCs w:val="24"/>
          <w:lang w:val="es-ES_tradnl" w:eastAsia="es-MX"/>
        </w:rPr>
        <w:t xml:space="preserve"> de cada bolsa debe ser repartido de una forma igualitaria y, el segundo, consistente en que el </w:t>
      </w:r>
      <w:r w:rsidR="00A26906" w:rsidRPr="00242547">
        <w:rPr>
          <w:rFonts w:ascii="Trebuchet MS" w:hAnsi="Trebuchet MS"/>
          <w:color w:val="000000"/>
          <w:sz w:val="24"/>
          <w:szCs w:val="24"/>
          <w:lang w:val="es-ES_tradnl" w:eastAsia="es-MX"/>
        </w:rPr>
        <w:t>setenta por ciento</w:t>
      </w:r>
      <w:r w:rsidR="00D97FC9" w:rsidRPr="00A04585">
        <w:rPr>
          <w:rFonts w:ascii="Trebuchet MS" w:hAnsi="Trebuchet MS"/>
          <w:color w:val="000000"/>
          <w:sz w:val="24"/>
          <w:szCs w:val="24"/>
          <w:lang w:val="es-ES_tradnl" w:eastAsia="es-MX"/>
        </w:rPr>
        <w:t xml:space="preserve"> debe distribuirse con base en el porcentaje de votación que obtuvo cada instituto político que participó en la más reciente elección de diputaciones de mayoría relativa.</w:t>
      </w:r>
    </w:p>
    <w:p w14:paraId="4AA33F6A" w14:textId="77777777" w:rsidR="00D353A6" w:rsidRPr="00A04585" w:rsidRDefault="00D353A6" w:rsidP="002E7CFF">
      <w:pPr>
        <w:pStyle w:val="Sinespaciado"/>
        <w:jc w:val="both"/>
        <w:rPr>
          <w:rFonts w:ascii="Trebuchet MS" w:hAnsi="Trebuchet MS"/>
          <w:color w:val="000000"/>
          <w:sz w:val="24"/>
          <w:szCs w:val="24"/>
          <w:lang w:val="es-ES_tradnl" w:eastAsia="es-MX"/>
        </w:rPr>
      </w:pPr>
    </w:p>
    <w:p w14:paraId="6888F1AE" w14:textId="7D6C61D6" w:rsidR="002044A9" w:rsidRPr="00A04585" w:rsidRDefault="00D353A6"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Es decir,</w:t>
      </w:r>
      <w:r w:rsidR="00C7419F" w:rsidRPr="00A04585">
        <w:rPr>
          <w:rFonts w:ascii="Trebuchet MS" w:hAnsi="Trebuchet MS"/>
          <w:color w:val="000000"/>
          <w:sz w:val="24"/>
          <w:szCs w:val="24"/>
          <w:lang w:val="es-ES_tradnl" w:eastAsia="es-MX"/>
        </w:rPr>
        <w:t xml:space="preserve"> las normas vigentes </w:t>
      </w:r>
      <w:r w:rsidRPr="00A04585">
        <w:rPr>
          <w:rFonts w:ascii="Trebuchet MS" w:hAnsi="Trebuchet MS"/>
          <w:color w:val="000000"/>
          <w:sz w:val="24"/>
          <w:szCs w:val="24"/>
          <w:lang w:val="es-ES_tradnl" w:eastAsia="es-MX"/>
        </w:rPr>
        <w:t>establecen</w:t>
      </w:r>
      <w:r w:rsidR="00C7419F" w:rsidRPr="00A04585">
        <w:rPr>
          <w:rFonts w:ascii="Trebuchet MS" w:hAnsi="Trebuchet MS"/>
          <w:color w:val="000000"/>
          <w:sz w:val="24"/>
          <w:szCs w:val="24"/>
          <w:lang w:val="es-ES_tradnl" w:eastAsia="es-MX"/>
        </w:rPr>
        <w:t>, por un lado,</w:t>
      </w:r>
      <w:r w:rsidRPr="00A04585">
        <w:rPr>
          <w:rFonts w:ascii="Trebuchet MS" w:hAnsi="Trebuchet MS"/>
          <w:color w:val="000000"/>
          <w:sz w:val="24"/>
          <w:szCs w:val="24"/>
          <w:lang w:val="es-ES_tradnl" w:eastAsia="es-MX"/>
        </w:rPr>
        <w:t xml:space="preserve"> una garantía de reparto igualitario para garantizar a todos los partidos políticos que cumplan los requisitos mínimos para acceder al financiamiento, el derecho a </w:t>
      </w:r>
      <w:r w:rsidR="00E1652C" w:rsidRPr="00A04585">
        <w:rPr>
          <w:rFonts w:ascii="Trebuchet MS" w:hAnsi="Trebuchet MS"/>
          <w:color w:val="000000"/>
          <w:sz w:val="24"/>
          <w:szCs w:val="24"/>
          <w:lang w:val="es-ES_tradnl" w:eastAsia="es-MX"/>
        </w:rPr>
        <w:t xml:space="preserve">recibir </w:t>
      </w:r>
      <w:r w:rsidRPr="00A04585">
        <w:rPr>
          <w:rFonts w:ascii="Trebuchet MS" w:hAnsi="Trebuchet MS"/>
          <w:color w:val="000000"/>
          <w:sz w:val="24"/>
          <w:szCs w:val="24"/>
          <w:lang w:val="es-ES_tradnl" w:eastAsia="es-MX"/>
        </w:rPr>
        <w:t xml:space="preserve">un mínimo de recursos para el desarrollo de sus actividades en igual proporción y por otro, la distribución del financiamiento conforme a la votación que cada uno de ellos obtuvo, con la finalidad de permitir el crecimiento </w:t>
      </w:r>
      <w:r w:rsidR="005B14C1" w:rsidRPr="00A04585">
        <w:rPr>
          <w:rFonts w:ascii="Trebuchet MS" w:hAnsi="Trebuchet MS"/>
          <w:color w:val="000000"/>
          <w:sz w:val="24"/>
          <w:szCs w:val="24"/>
          <w:lang w:val="es-ES_tradnl" w:eastAsia="es-MX"/>
        </w:rPr>
        <w:t xml:space="preserve">y la consolidación de </w:t>
      </w:r>
      <w:r w:rsidRPr="00A04585">
        <w:rPr>
          <w:rFonts w:ascii="Trebuchet MS" w:hAnsi="Trebuchet MS"/>
          <w:color w:val="000000"/>
          <w:sz w:val="24"/>
          <w:szCs w:val="24"/>
          <w:lang w:val="es-ES_tradnl" w:eastAsia="es-MX"/>
        </w:rPr>
        <w:t>aquellas fuerzas políticas que recibieron una mayor cantidad de sufragios en una elección.</w:t>
      </w:r>
      <w:r w:rsidR="001C2012" w:rsidRPr="00A04585">
        <w:rPr>
          <w:rFonts w:ascii="Trebuchet MS" w:hAnsi="Trebuchet MS"/>
          <w:color w:val="000000"/>
          <w:sz w:val="24"/>
          <w:szCs w:val="24"/>
          <w:lang w:val="es-ES_tradnl" w:eastAsia="es-MX"/>
        </w:rPr>
        <w:t xml:space="preserve"> </w:t>
      </w:r>
    </w:p>
    <w:p w14:paraId="4098BF6E" w14:textId="77777777" w:rsidR="002044A9" w:rsidRPr="00A04585" w:rsidRDefault="002044A9" w:rsidP="002E7CFF">
      <w:pPr>
        <w:pStyle w:val="Sinespaciado"/>
        <w:jc w:val="both"/>
        <w:rPr>
          <w:rFonts w:ascii="Trebuchet MS" w:hAnsi="Trebuchet MS"/>
          <w:color w:val="000000"/>
          <w:sz w:val="24"/>
          <w:szCs w:val="24"/>
          <w:lang w:val="es-ES_tradnl" w:eastAsia="es-MX"/>
        </w:rPr>
      </w:pPr>
    </w:p>
    <w:p w14:paraId="582E4563" w14:textId="42028F23" w:rsidR="002044A9" w:rsidRPr="00A04585" w:rsidRDefault="002044A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el sistema electoral de Jalisco, el legislador hizo uso d</w:t>
      </w:r>
      <w:r w:rsidR="001C2012" w:rsidRPr="00A04585">
        <w:rPr>
          <w:rFonts w:ascii="Trebuchet MS" w:hAnsi="Trebuchet MS"/>
          <w:color w:val="000000"/>
          <w:sz w:val="24"/>
          <w:szCs w:val="24"/>
          <w:lang w:val="es-ES_tradnl" w:eastAsia="es-MX"/>
        </w:rPr>
        <w:t xml:space="preserve">e la libertad de </w:t>
      </w:r>
      <w:r w:rsidR="00AF61D0" w:rsidRPr="00A04585">
        <w:rPr>
          <w:rFonts w:ascii="Trebuchet MS" w:hAnsi="Trebuchet MS"/>
          <w:color w:val="000000"/>
          <w:sz w:val="24"/>
          <w:szCs w:val="24"/>
          <w:lang w:val="es-ES_tradnl" w:eastAsia="es-MX"/>
        </w:rPr>
        <w:t xml:space="preserve">la </w:t>
      </w:r>
      <w:r w:rsidR="001C2012" w:rsidRPr="00A04585">
        <w:rPr>
          <w:rFonts w:ascii="Trebuchet MS" w:hAnsi="Trebuchet MS"/>
          <w:color w:val="000000"/>
          <w:sz w:val="24"/>
          <w:szCs w:val="24"/>
          <w:lang w:val="es-ES_tradnl" w:eastAsia="es-MX"/>
        </w:rPr>
        <w:t>configuración legislativa que existe a nivel constitucional par</w:t>
      </w:r>
      <w:r w:rsidRPr="00A04585">
        <w:rPr>
          <w:rFonts w:ascii="Trebuchet MS" w:hAnsi="Trebuchet MS"/>
          <w:color w:val="000000"/>
          <w:sz w:val="24"/>
          <w:szCs w:val="24"/>
          <w:lang w:val="es-ES_tradnl" w:eastAsia="es-MX"/>
        </w:rPr>
        <w:t xml:space="preserve">a regular el financiamiento de los partidos políticos nacionales con una base </w:t>
      </w:r>
      <w:r w:rsidR="00E1652C" w:rsidRPr="00A04585">
        <w:rPr>
          <w:rFonts w:ascii="Trebuchet MS" w:hAnsi="Trebuchet MS"/>
          <w:color w:val="000000"/>
          <w:sz w:val="24"/>
          <w:szCs w:val="24"/>
          <w:lang w:val="es-ES_tradnl" w:eastAsia="es-MX"/>
        </w:rPr>
        <w:t xml:space="preserve">distinta </w:t>
      </w:r>
      <w:r w:rsidRPr="00A04585">
        <w:rPr>
          <w:rFonts w:ascii="Trebuchet MS" w:hAnsi="Trebuchet MS"/>
          <w:color w:val="000000"/>
          <w:sz w:val="24"/>
          <w:szCs w:val="24"/>
          <w:lang w:val="es-ES_tradnl" w:eastAsia="es-MX"/>
        </w:rPr>
        <w:t>a la correspondiente a los institutos políticos</w:t>
      </w:r>
      <w:r w:rsidR="001C2012" w:rsidRPr="00A04585">
        <w:rPr>
          <w:rFonts w:ascii="Trebuchet MS" w:hAnsi="Trebuchet MS"/>
          <w:color w:val="000000"/>
          <w:sz w:val="24"/>
          <w:szCs w:val="24"/>
          <w:lang w:val="es-ES_tradnl" w:eastAsia="es-MX"/>
        </w:rPr>
        <w:t xml:space="preserve"> locales</w:t>
      </w:r>
      <w:r w:rsidRPr="00A04585">
        <w:rPr>
          <w:rFonts w:ascii="Trebuchet MS" w:hAnsi="Trebuchet MS"/>
          <w:color w:val="000000"/>
          <w:sz w:val="24"/>
          <w:szCs w:val="24"/>
          <w:lang w:val="es-ES_tradnl" w:eastAsia="es-MX"/>
        </w:rPr>
        <w:t>, toda vez que los primeros también reciben financiamiento federal</w:t>
      </w:r>
      <w:r w:rsidR="001C2012" w:rsidRPr="00A04585">
        <w:rPr>
          <w:rFonts w:ascii="Trebuchet MS" w:hAnsi="Trebuchet MS"/>
          <w:color w:val="000000"/>
          <w:sz w:val="24"/>
          <w:szCs w:val="24"/>
          <w:lang w:val="es-ES_tradnl" w:eastAsia="es-MX"/>
        </w:rPr>
        <w:t xml:space="preserve"> y, por ello, resulta factible destinar una menor cantidad de recursos al sostenimiento de éstos, comparada con la que debe asignarse a aquéllos, ya que dicha situación no vulnera la equidad en la repartición de los recursos, sino por el contrario, tien</w:t>
      </w:r>
      <w:r w:rsidR="005D57C0" w:rsidRPr="00A04585">
        <w:rPr>
          <w:rFonts w:ascii="Trebuchet MS" w:hAnsi="Trebuchet MS"/>
          <w:color w:val="000000"/>
          <w:sz w:val="24"/>
          <w:szCs w:val="24"/>
          <w:lang w:val="es-ES_tradnl" w:eastAsia="es-MX"/>
        </w:rPr>
        <w:t>d</w:t>
      </w:r>
      <w:r w:rsidR="001C2012" w:rsidRPr="00A04585">
        <w:rPr>
          <w:rFonts w:ascii="Trebuchet MS" w:hAnsi="Trebuchet MS"/>
          <w:color w:val="000000"/>
          <w:sz w:val="24"/>
          <w:szCs w:val="24"/>
          <w:lang w:val="es-ES_tradnl" w:eastAsia="es-MX"/>
        </w:rPr>
        <w:t>e a lograrla porque intenta compensar la situación de desventaja en que se encuentran los partidos locales por no recibir financiamiento nacional.</w:t>
      </w:r>
    </w:p>
    <w:p w14:paraId="5ED2FE4F" w14:textId="77777777" w:rsidR="00E8285A" w:rsidRPr="00A04585" w:rsidRDefault="00E8285A" w:rsidP="002E7CFF">
      <w:pPr>
        <w:pStyle w:val="Sinespaciado"/>
        <w:jc w:val="both"/>
        <w:rPr>
          <w:rFonts w:ascii="Trebuchet MS" w:hAnsi="Trebuchet MS"/>
          <w:color w:val="000000"/>
          <w:sz w:val="24"/>
          <w:szCs w:val="24"/>
          <w:lang w:val="es-ES_tradnl" w:eastAsia="es-MX"/>
        </w:rPr>
      </w:pPr>
    </w:p>
    <w:p w14:paraId="389808F4" w14:textId="161CAA66" w:rsidR="002044A9" w:rsidRPr="00A04585" w:rsidRDefault="002044A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el caso de los partidos locales, la mencionada garantía de financiamiento mínimo está dada </w:t>
      </w:r>
      <w:r w:rsidR="005D57C0" w:rsidRPr="00A04585">
        <w:rPr>
          <w:rFonts w:ascii="Trebuchet MS" w:hAnsi="Trebuchet MS"/>
          <w:color w:val="000000"/>
          <w:sz w:val="24"/>
          <w:szCs w:val="24"/>
          <w:lang w:val="es-ES_tradnl" w:eastAsia="es-MX"/>
        </w:rPr>
        <w:t>porque</w:t>
      </w:r>
      <w:r w:rsidR="00CA3F76" w:rsidRPr="00A04585">
        <w:rPr>
          <w:rFonts w:ascii="Trebuchet MS" w:hAnsi="Trebuchet MS"/>
          <w:color w:val="000000"/>
          <w:sz w:val="24"/>
          <w:szCs w:val="24"/>
          <w:lang w:val="es-ES_tradnl" w:eastAsia="es-MX"/>
        </w:rPr>
        <w:t xml:space="preserve"> el</w:t>
      </w:r>
      <w:r w:rsidRPr="00A04585">
        <w:rPr>
          <w:rFonts w:ascii="Trebuchet MS" w:hAnsi="Trebuchet MS"/>
          <w:color w:val="000000"/>
          <w:sz w:val="24"/>
          <w:szCs w:val="24"/>
          <w:lang w:val="es-ES_tradnl" w:eastAsia="es-MX"/>
        </w:rPr>
        <w:t xml:space="preserve"> monto de recursos que se destin</w:t>
      </w:r>
      <w:r w:rsidR="00CA3F76" w:rsidRPr="00A04585">
        <w:rPr>
          <w:rFonts w:ascii="Trebuchet MS" w:hAnsi="Trebuchet MS"/>
          <w:color w:val="000000"/>
          <w:sz w:val="24"/>
          <w:szCs w:val="24"/>
          <w:lang w:val="es-ES_tradnl" w:eastAsia="es-MX"/>
        </w:rPr>
        <w:t>a</w:t>
      </w:r>
      <w:r w:rsidRPr="00A04585">
        <w:rPr>
          <w:rFonts w:ascii="Trebuchet MS" w:hAnsi="Trebuchet MS"/>
          <w:color w:val="000000"/>
          <w:sz w:val="24"/>
          <w:szCs w:val="24"/>
          <w:lang w:val="es-ES_tradnl" w:eastAsia="es-MX"/>
        </w:rPr>
        <w:t xml:space="preserve"> a dichas instituciones </w:t>
      </w:r>
      <w:r w:rsidR="001B5039" w:rsidRPr="00A04585">
        <w:rPr>
          <w:rFonts w:ascii="Trebuchet MS" w:hAnsi="Trebuchet MS"/>
          <w:color w:val="000000"/>
          <w:sz w:val="24"/>
          <w:szCs w:val="24"/>
          <w:lang w:val="es-ES_tradnl" w:eastAsia="es-MX"/>
        </w:rPr>
        <w:t>políticas</w:t>
      </w:r>
      <w:r w:rsidR="00CA3F76" w:rsidRPr="00A04585">
        <w:rPr>
          <w:rFonts w:ascii="Trebuchet MS" w:hAnsi="Trebuchet MS"/>
          <w:color w:val="000000"/>
          <w:sz w:val="24"/>
          <w:szCs w:val="24"/>
          <w:lang w:val="es-ES_tradnl" w:eastAsia="es-MX"/>
        </w:rPr>
        <w:t xml:space="preserve"> se</w:t>
      </w:r>
      <w:r w:rsidRPr="00A04585">
        <w:rPr>
          <w:rFonts w:ascii="Trebuchet MS" w:hAnsi="Trebuchet MS"/>
          <w:color w:val="000000"/>
          <w:sz w:val="24"/>
          <w:szCs w:val="24"/>
          <w:lang w:val="es-ES_tradnl" w:eastAsia="es-MX"/>
        </w:rPr>
        <w:t xml:space="preserve"> calcula conforme a lo previsto por la Ley General de Partidos Políticos</w:t>
      </w:r>
      <w:r w:rsidR="00E1652C"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lo que hace imposible que el legislador local pueda </w:t>
      </w:r>
      <w:r w:rsidR="00AF61D0" w:rsidRPr="00A04585">
        <w:rPr>
          <w:rFonts w:ascii="Trebuchet MS" w:hAnsi="Trebuchet MS"/>
          <w:color w:val="000000"/>
          <w:sz w:val="24"/>
          <w:szCs w:val="24"/>
          <w:lang w:val="es-ES_tradnl" w:eastAsia="es-MX"/>
        </w:rPr>
        <w:t>variar los elementos de cálculo</w:t>
      </w:r>
      <w:r w:rsidR="00FA5F34" w:rsidRPr="00A04585">
        <w:rPr>
          <w:rFonts w:ascii="Trebuchet MS" w:hAnsi="Trebuchet MS"/>
          <w:color w:val="000000"/>
          <w:sz w:val="24"/>
          <w:szCs w:val="24"/>
          <w:lang w:val="es-ES_tradnl" w:eastAsia="es-MX"/>
        </w:rPr>
        <w:t>.</w:t>
      </w:r>
    </w:p>
    <w:p w14:paraId="5902CB5B" w14:textId="77777777" w:rsidR="00FA5F34" w:rsidRPr="00242547" w:rsidRDefault="00FA5F34" w:rsidP="002E7CFF">
      <w:pPr>
        <w:pStyle w:val="Sinespaciado"/>
        <w:jc w:val="both"/>
        <w:rPr>
          <w:rFonts w:ascii="Trebuchet MS" w:hAnsi="Trebuchet MS"/>
          <w:color w:val="000000"/>
          <w:sz w:val="24"/>
          <w:szCs w:val="24"/>
          <w:lang w:val="es-ES_tradnl" w:eastAsia="es-MX"/>
        </w:rPr>
      </w:pPr>
    </w:p>
    <w:p w14:paraId="594E355C" w14:textId="539A5386" w:rsidR="00FA5F34" w:rsidRPr="00A04585" w:rsidRDefault="00FA5F3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Aunado a lo anterior, es pertinente referir que el artículo 41, base II de la Constitución Federal precisa, en lo que respecta al tema, que el financiamiento público para los partidos políticos estará compuesto de las ministraciones destinadas al sostenimiento de sus actividades permanentes, las tendientes a la obtención del voto –en los años que haya jornada electoral</w:t>
      </w:r>
      <w:r w:rsidR="009552A6"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y las de carácter específico, el cual se otorgará conforme a las bases constitucionales y lo previsto por la ley, además de que establece que una porción de los recursos será distribuida de forma igualitaria (30%) y el resto (70%) de forma proporcional a la votación en los términos ya explicados.</w:t>
      </w:r>
    </w:p>
    <w:p w14:paraId="2201F51E" w14:textId="77777777" w:rsidR="00FA5F34" w:rsidRPr="00A04585" w:rsidRDefault="00FA5F34" w:rsidP="002E7CFF">
      <w:pPr>
        <w:pStyle w:val="Sinespaciado"/>
        <w:jc w:val="both"/>
        <w:rPr>
          <w:rFonts w:ascii="Trebuchet MS" w:hAnsi="Trebuchet MS"/>
          <w:color w:val="000000"/>
          <w:sz w:val="24"/>
          <w:szCs w:val="24"/>
          <w:lang w:val="es-ES_tradnl" w:eastAsia="es-MX"/>
        </w:rPr>
      </w:pPr>
    </w:p>
    <w:p w14:paraId="4025504C" w14:textId="43ACCCD2" w:rsidR="00FA5F34" w:rsidRPr="00A04585" w:rsidRDefault="004F3320"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Al respecto, es importante destacar que el texto constitucional fue diseñado para distribuir una determinada cantidad de dinero entre todos los partidos políticos con derecho a recibir prerrogativas econ</w:t>
      </w:r>
      <w:r w:rsidR="00AF58F1" w:rsidRPr="00A04585">
        <w:rPr>
          <w:rFonts w:ascii="Trebuchet MS" w:hAnsi="Trebuchet MS"/>
          <w:color w:val="000000"/>
          <w:sz w:val="24"/>
          <w:szCs w:val="24"/>
          <w:lang w:val="es-ES_tradnl" w:eastAsia="es-MX"/>
        </w:rPr>
        <w:t xml:space="preserve">ómicas </w:t>
      </w:r>
      <w:r w:rsidR="00CA3F76" w:rsidRPr="00A04585">
        <w:rPr>
          <w:rFonts w:ascii="Trebuchet MS" w:hAnsi="Trebuchet MS"/>
          <w:color w:val="000000"/>
          <w:sz w:val="24"/>
          <w:szCs w:val="24"/>
          <w:lang w:val="es-ES_tradnl" w:eastAsia="es-MX"/>
        </w:rPr>
        <w:t xml:space="preserve">en cada ejercicio fiscal, </w:t>
      </w:r>
      <w:r w:rsidR="00AF58F1" w:rsidRPr="00A04585">
        <w:rPr>
          <w:rFonts w:ascii="Trebuchet MS" w:hAnsi="Trebuchet MS"/>
          <w:color w:val="000000"/>
          <w:sz w:val="24"/>
          <w:szCs w:val="24"/>
          <w:lang w:val="es-ES_tradnl" w:eastAsia="es-MX"/>
        </w:rPr>
        <w:t xml:space="preserve">ya que solamente de esa manera </w:t>
      </w:r>
      <w:r w:rsidR="00CA3F76" w:rsidRPr="00A04585">
        <w:rPr>
          <w:rFonts w:ascii="Trebuchet MS" w:hAnsi="Trebuchet MS"/>
          <w:color w:val="000000"/>
          <w:sz w:val="24"/>
          <w:szCs w:val="24"/>
          <w:lang w:val="es-ES_tradnl" w:eastAsia="es-MX"/>
        </w:rPr>
        <w:t>podría</w:t>
      </w:r>
      <w:r w:rsidR="00AF58F1" w:rsidRPr="00A04585">
        <w:rPr>
          <w:rFonts w:ascii="Trebuchet MS" w:hAnsi="Trebuchet MS"/>
          <w:color w:val="000000"/>
          <w:sz w:val="24"/>
          <w:szCs w:val="24"/>
          <w:lang w:val="es-ES_tradnl" w:eastAsia="es-MX"/>
        </w:rPr>
        <w:t xml:space="preserve"> garantizar</w:t>
      </w:r>
      <w:r w:rsidR="00CA3F76" w:rsidRPr="00A04585">
        <w:rPr>
          <w:rFonts w:ascii="Trebuchet MS" w:hAnsi="Trebuchet MS"/>
          <w:color w:val="000000"/>
          <w:sz w:val="24"/>
          <w:szCs w:val="24"/>
          <w:lang w:val="es-ES_tradnl" w:eastAsia="es-MX"/>
        </w:rPr>
        <w:t>se</w:t>
      </w:r>
      <w:r w:rsidR="00AF58F1" w:rsidRPr="00A04585">
        <w:rPr>
          <w:rFonts w:ascii="Trebuchet MS" w:hAnsi="Trebuchet MS"/>
          <w:color w:val="000000"/>
          <w:sz w:val="24"/>
          <w:szCs w:val="24"/>
          <w:lang w:val="es-ES_tradnl" w:eastAsia="es-MX"/>
        </w:rPr>
        <w:t xml:space="preserve"> </w:t>
      </w:r>
      <w:r w:rsidR="00CA3F76" w:rsidRPr="00A04585">
        <w:rPr>
          <w:rFonts w:ascii="Trebuchet MS" w:hAnsi="Trebuchet MS"/>
          <w:color w:val="000000"/>
          <w:sz w:val="24"/>
          <w:szCs w:val="24"/>
          <w:lang w:val="es-ES_tradnl" w:eastAsia="es-MX"/>
        </w:rPr>
        <w:t>el cumplimiento</w:t>
      </w:r>
      <w:r w:rsidR="00AF58F1" w:rsidRPr="00A04585">
        <w:rPr>
          <w:rFonts w:ascii="Trebuchet MS" w:hAnsi="Trebuchet MS"/>
          <w:color w:val="000000"/>
          <w:sz w:val="24"/>
          <w:szCs w:val="24"/>
          <w:lang w:val="es-ES_tradnl" w:eastAsia="es-MX"/>
        </w:rPr>
        <w:t xml:space="preserve"> </w:t>
      </w:r>
      <w:r w:rsidR="00CA3F76" w:rsidRPr="00A04585">
        <w:rPr>
          <w:rFonts w:ascii="Trebuchet MS" w:hAnsi="Trebuchet MS"/>
          <w:color w:val="000000"/>
          <w:sz w:val="24"/>
          <w:szCs w:val="24"/>
          <w:lang w:val="es-ES_tradnl" w:eastAsia="es-MX"/>
        </w:rPr>
        <w:t>d</w:t>
      </w:r>
      <w:r w:rsidR="00AF58F1" w:rsidRPr="00A04585">
        <w:rPr>
          <w:rFonts w:ascii="Trebuchet MS" w:hAnsi="Trebuchet MS"/>
          <w:color w:val="000000"/>
          <w:sz w:val="24"/>
          <w:szCs w:val="24"/>
          <w:lang w:val="es-ES_tradnl" w:eastAsia="es-MX"/>
        </w:rPr>
        <w:t>el objetivo para que el que se instituyó la parte igualitaria de la fórmula, es decir, que del equi</w:t>
      </w:r>
      <w:r w:rsidR="00A26906" w:rsidRPr="00A04585">
        <w:rPr>
          <w:rFonts w:ascii="Trebuchet MS" w:hAnsi="Trebuchet MS"/>
          <w:color w:val="000000"/>
          <w:sz w:val="24"/>
          <w:szCs w:val="24"/>
          <w:lang w:val="es-ES_tradnl" w:eastAsia="es-MX"/>
        </w:rPr>
        <w:t xml:space="preserve">valente al </w:t>
      </w:r>
      <w:r w:rsidR="00A26906" w:rsidRPr="00242547">
        <w:rPr>
          <w:rFonts w:ascii="Trebuchet MS" w:hAnsi="Trebuchet MS"/>
          <w:color w:val="000000"/>
          <w:sz w:val="24"/>
          <w:szCs w:val="24"/>
          <w:lang w:val="es-ES_tradnl" w:eastAsia="es-MX"/>
        </w:rPr>
        <w:t>treinta por ciento</w:t>
      </w:r>
      <w:r w:rsidR="00AF58F1" w:rsidRPr="00A04585">
        <w:rPr>
          <w:rFonts w:ascii="Trebuchet MS" w:hAnsi="Trebuchet MS"/>
          <w:color w:val="000000"/>
          <w:sz w:val="24"/>
          <w:szCs w:val="24"/>
          <w:lang w:val="es-ES_tradnl" w:eastAsia="es-MX"/>
        </w:rPr>
        <w:t xml:space="preserve"> de los recursos a repartir, cada uno de los institutos con derecho a ello, reciba una porción igual.</w:t>
      </w:r>
    </w:p>
    <w:p w14:paraId="1AAF0D85" w14:textId="77777777" w:rsidR="00AF58F1" w:rsidRPr="00A04585" w:rsidRDefault="00AF58F1" w:rsidP="002E7CFF">
      <w:pPr>
        <w:pStyle w:val="Sinespaciado"/>
        <w:jc w:val="both"/>
        <w:rPr>
          <w:rFonts w:ascii="Trebuchet MS" w:hAnsi="Trebuchet MS"/>
          <w:color w:val="000000"/>
          <w:sz w:val="24"/>
          <w:szCs w:val="24"/>
          <w:lang w:val="es-ES_tradnl" w:eastAsia="es-MX"/>
        </w:rPr>
      </w:pPr>
    </w:p>
    <w:p w14:paraId="3FA9FFDA" w14:textId="77777777" w:rsidR="005E3BD5" w:rsidRPr="00A04585" w:rsidRDefault="00AF58F1"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Por tanto, la existencia de </w:t>
      </w:r>
      <w:r w:rsidR="002B3724" w:rsidRPr="00A04585">
        <w:rPr>
          <w:rFonts w:ascii="Trebuchet MS" w:hAnsi="Trebuchet MS"/>
          <w:color w:val="000000"/>
          <w:sz w:val="24"/>
          <w:szCs w:val="24"/>
          <w:lang w:val="es-ES_tradnl" w:eastAsia="es-MX"/>
        </w:rPr>
        <w:t xml:space="preserve">dos bolsas de financiamiento no puede entenderse como la obligación de agotar la fracción igualitaria de la bolsa nacional en partes iguales entre los partidos nacionales a percibir prerrogativas económicas, ni </w:t>
      </w:r>
      <w:r w:rsidR="00F85532" w:rsidRPr="00A04585">
        <w:rPr>
          <w:rFonts w:ascii="Trebuchet MS" w:hAnsi="Trebuchet MS"/>
          <w:color w:val="000000"/>
          <w:sz w:val="24"/>
          <w:szCs w:val="24"/>
          <w:lang w:val="es-ES_tradnl" w:eastAsia="es-MX"/>
        </w:rPr>
        <w:t>la correspondiente al financiamiento de los partidos estatales entre estos</w:t>
      </w:r>
      <w:r w:rsidR="005E3BD5" w:rsidRPr="00A04585">
        <w:rPr>
          <w:rFonts w:ascii="Trebuchet MS" w:hAnsi="Trebuchet MS"/>
          <w:color w:val="000000"/>
          <w:sz w:val="24"/>
          <w:szCs w:val="24"/>
          <w:lang w:val="es-ES_tradnl" w:eastAsia="es-MX"/>
        </w:rPr>
        <w:t xml:space="preserve"> últimos.</w:t>
      </w:r>
    </w:p>
    <w:p w14:paraId="7D33DA5E" w14:textId="77777777" w:rsidR="005E3BD5" w:rsidRPr="00242547" w:rsidRDefault="005E3BD5" w:rsidP="002E7CFF">
      <w:pPr>
        <w:pStyle w:val="Sinespaciado"/>
        <w:jc w:val="both"/>
        <w:rPr>
          <w:rFonts w:ascii="Trebuchet MS" w:hAnsi="Trebuchet MS"/>
          <w:color w:val="000000"/>
          <w:sz w:val="24"/>
          <w:szCs w:val="24"/>
          <w:lang w:val="es-ES_tradnl" w:eastAsia="es-MX"/>
        </w:rPr>
      </w:pPr>
    </w:p>
    <w:p w14:paraId="35821B0B" w14:textId="768DF265" w:rsidR="00AF58F1" w:rsidRPr="00A04585" w:rsidRDefault="005E3BD5"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Es</w:t>
      </w:r>
      <w:r w:rsidR="00E1652C" w:rsidRPr="00A04585">
        <w:rPr>
          <w:rFonts w:ascii="Trebuchet MS" w:hAnsi="Trebuchet MS"/>
          <w:color w:val="000000"/>
          <w:sz w:val="24"/>
          <w:szCs w:val="24"/>
          <w:lang w:val="es-ES_tradnl" w:eastAsia="es-MX"/>
        </w:rPr>
        <w:t>to es</w:t>
      </w:r>
      <w:r w:rsidRPr="00A04585">
        <w:rPr>
          <w:rFonts w:ascii="Trebuchet MS" w:hAnsi="Trebuchet MS"/>
          <w:color w:val="000000"/>
          <w:sz w:val="24"/>
          <w:szCs w:val="24"/>
          <w:lang w:val="es-ES_tradnl" w:eastAsia="es-MX"/>
        </w:rPr>
        <w:t xml:space="preserve"> así, porque en el caso concreto </w:t>
      </w:r>
      <w:r w:rsidR="00F85532" w:rsidRPr="00A04585">
        <w:rPr>
          <w:rFonts w:ascii="Trebuchet MS" w:hAnsi="Trebuchet MS"/>
          <w:color w:val="000000"/>
          <w:sz w:val="24"/>
          <w:szCs w:val="24"/>
          <w:lang w:val="es-ES_tradnl" w:eastAsia="es-MX"/>
        </w:rPr>
        <w:t xml:space="preserve">ello implicaría que a los primeros se les otorgara una quinta parte del financiamiento de la </w:t>
      </w:r>
      <w:r w:rsidRPr="00A04585">
        <w:rPr>
          <w:rFonts w:ascii="Trebuchet MS" w:hAnsi="Trebuchet MS"/>
          <w:color w:val="000000"/>
          <w:sz w:val="24"/>
          <w:szCs w:val="24"/>
          <w:lang w:val="es-ES_tradnl" w:eastAsia="es-MX"/>
        </w:rPr>
        <w:t xml:space="preserve">parte igualitaria de la </w:t>
      </w:r>
      <w:r w:rsidR="00F85532" w:rsidRPr="00A04585">
        <w:rPr>
          <w:rFonts w:ascii="Trebuchet MS" w:hAnsi="Trebuchet MS"/>
          <w:color w:val="000000"/>
          <w:sz w:val="24"/>
          <w:szCs w:val="24"/>
          <w:lang w:val="es-ES_tradnl" w:eastAsia="es-MX"/>
        </w:rPr>
        <w:t xml:space="preserve">bolsa en que participan (puesto que cinco institutos políticos nacionales reunieron los requisitos legales para ser acreedores a prerrogativas económicas) y, a los segundos, la mitad </w:t>
      </w:r>
      <w:r w:rsidRPr="00A04585">
        <w:rPr>
          <w:rFonts w:ascii="Trebuchet MS" w:hAnsi="Trebuchet MS"/>
          <w:color w:val="000000"/>
          <w:sz w:val="24"/>
          <w:szCs w:val="24"/>
          <w:lang w:val="es-ES_tradnl" w:eastAsia="es-MX"/>
        </w:rPr>
        <w:t xml:space="preserve">de la parte igualitaria de la bolsa correspondiente </w:t>
      </w:r>
      <w:r w:rsidR="00F85532" w:rsidRPr="00A04585">
        <w:rPr>
          <w:rFonts w:ascii="Trebuchet MS" w:hAnsi="Trebuchet MS"/>
          <w:color w:val="000000"/>
          <w:sz w:val="24"/>
          <w:szCs w:val="24"/>
          <w:lang w:val="es-ES_tradnl" w:eastAsia="es-MX"/>
        </w:rPr>
        <w:t>(ya que son dos institutos políticos locales los que cuentan con derecho a percibir prerrogativas).</w:t>
      </w:r>
    </w:p>
    <w:p w14:paraId="6FFEA3AB" w14:textId="77777777" w:rsidR="00F85532" w:rsidRPr="00A04585" w:rsidRDefault="00F85532" w:rsidP="002E7CFF">
      <w:pPr>
        <w:pStyle w:val="Sinespaciado"/>
        <w:jc w:val="both"/>
        <w:rPr>
          <w:rFonts w:ascii="Trebuchet MS" w:hAnsi="Trebuchet MS"/>
          <w:color w:val="000000"/>
          <w:sz w:val="24"/>
          <w:szCs w:val="24"/>
          <w:lang w:val="es-ES_tradnl" w:eastAsia="es-MX"/>
        </w:rPr>
      </w:pPr>
    </w:p>
    <w:p w14:paraId="16D9C21F" w14:textId="66F28F34" w:rsidR="00F85532" w:rsidRPr="00A04585" w:rsidRDefault="00F85532"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Es decir, con independencia del valor económico que pueda representar la porción respectiva, al agotar la parte proporcional de la bolsa correspondiente entre los partidos nacionales </w:t>
      </w:r>
      <w:r w:rsidR="00EE57BF" w:rsidRPr="00A04585">
        <w:rPr>
          <w:rFonts w:ascii="Trebuchet MS" w:hAnsi="Trebuchet MS"/>
          <w:color w:val="000000"/>
          <w:sz w:val="24"/>
          <w:szCs w:val="24"/>
          <w:lang w:val="es-ES_tradnl" w:eastAsia="es-MX"/>
        </w:rPr>
        <w:t>y</w:t>
      </w:r>
      <w:r w:rsidRPr="00A04585">
        <w:rPr>
          <w:rFonts w:ascii="Trebuchet MS" w:hAnsi="Trebuchet MS"/>
          <w:color w:val="000000"/>
          <w:sz w:val="24"/>
          <w:szCs w:val="24"/>
          <w:lang w:val="es-ES_tradnl" w:eastAsia="es-MX"/>
        </w:rPr>
        <w:t xml:space="preserve"> estatales, </w:t>
      </w:r>
      <w:r w:rsidR="00EE57BF" w:rsidRPr="00A04585">
        <w:rPr>
          <w:rFonts w:ascii="Trebuchet MS" w:hAnsi="Trebuchet MS"/>
          <w:color w:val="000000"/>
          <w:sz w:val="24"/>
          <w:szCs w:val="24"/>
          <w:lang w:val="es-ES_tradnl" w:eastAsia="es-MX"/>
        </w:rPr>
        <w:t xml:space="preserve">respectivamente, </w:t>
      </w:r>
      <w:r w:rsidRPr="00A04585">
        <w:rPr>
          <w:rFonts w:ascii="Trebuchet MS" w:hAnsi="Trebuchet MS"/>
          <w:color w:val="000000"/>
          <w:sz w:val="24"/>
          <w:szCs w:val="24"/>
          <w:lang w:val="es-ES_tradnl" w:eastAsia="es-MX"/>
        </w:rPr>
        <w:t>a unos y a otros se les estaría otorgando una porción distinta</w:t>
      </w:r>
      <w:r w:rsidR="00EE57BF" w:rsidRPr="00A04585">
        <w:rPr>
          <w:rFonts w:ascii="Trebuchet MS" w:hAnsi="Trebuchet MS"/>
          <w:color w:val="000000"/>
          <w:sz w:val="24"/>
          <w:szCs w:val="24"/>
          <w:lang w:val="es-ES_tradnl" w:eastAsia="es-MX"/>
        </w:rPr>
        <w:t>, lo que ya no sería equitativo.</w:t>
      </w:r>
    </w:p>
    <w:p w14:paraId="689DFCCC" w14:textId="77777777" w:rsidR="00F85532" w:rsidRPr="00A04585" w:rsidRDefault="00F85532" w:rsidP="002E7CFF">
      <w:pPr>
        <w:pStyle w:val="Sinespaciado"/>
        <w:jc w:val="both"/>
        <w:rPr>
          <w:rFonts w:ascii="Trebuchet MS" w:hAnsi="Trebuchet MS"/>
          <w:color w:val="000000"/>
          <w:sz w:val="24"/>
          <w:szCs w:val="24"/>
          <w:lang w:val="es-ES_tradnl" w:eastAsia="es-MX"/>
        </w:rPr>
      </w:pPr>
    </w:p>
    <w:p w14:paraId="2B2063BB" w14:textId="36992B89" w:rsidR="00E03AC2" w:rsidRPr="00A04585" w:rsidRDefault="00E03AC2"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Al respecto, debe tenerse en cuenta que en todas las decisiones administrativas </w:t>
      </w:r>
      <w:r w:rsidR="00783B43" w:rsidRPr="00A04585">
        <w:rPr>
          <w:rFonts w:ascii="Trebuchet MS" w:hAnsi="Trebuchet MS"/>
          <w:color w:val="000000"/>
          <w:sz w:val="24"/>
          <w:szCs w:val="24"/>
          <w:lang w:val="es-ES_tradnl" w:eastAsia="es-MX"/>
        </w:rPr>
        <w:t>deben estar</w:t>
      </w:r>
      <w:r w:rsidRPr="00A04585">
        <w:rPr>
          <w:rFonts w:ascii="Trebuchet MS" w:hAnsi="Trebuchet MS"/>
          <w:color w:val="000000"/>
          <w:sz w:val="24"/>
          <w:szCs w:val="24"/>
          <w:lang w:val="es-ES_tradnl" w:eastAsia="es-MX"/>
        </w:rPr>
        <w:t xml:space="preserve"> presentes los principios de r</w:t>
      </w:r>
      <w:r w:rsidR="00783B43" w:rsidRPr="00A04585">
        <w:rPr>
          <w:rFonts w:ascii="Trebuchet MS" w:hAnsi="Trebuchet MS"/>
          <w:color w:val="000000"/>
          <w:sz w:val="24"/>
          <w:szCs w:val="24"/>
          <w:lang w:val="es-ES_tradnl" w:eastAsia="es-MX"/>
        </w:rPr>
        <w:t>azonabilidad y proporcionalidad que orientan la lógica de las de</w:t>
      </w:r>
      <w:r w:rsidR="00EE57BF" w:rsidRPr="00A04585">
        <w:rPr>
          <w:rFonts w:ascii="Trebuchet MS" w:hAnsi="Trebuchet MS"/>
          <w:color w:val="000000"/>
          <w:sz w:val="24"/>
          <w:szCs w:val="24"/>
          <w:lang w:val="es-ES_tradnl" w:eastAsia="es-MX"/>
        </w:rPr>
        <w:t xml:space="preserve">terminaciones de las autoridades </w:t>
      </w:r>
      <w:r w:rsidR="00783B43" w:rsidRPr="00A04585">
        <w:rPr>
          <w:rFonts w:ascii="Trebuchet MS" w:hAnsi="Trebuchet MS"/>
          <w:color w:val="000000"/>
          <w:sz w:val="24"/>
          <w:szCs w:val="24"/>
          <w:lang w:val="es-ES_tradnl" w:eastAsia="es-MX"/>
        </w:rPr>
        <w:t>en relación con los valores fundamentales en los que se sostiene nuestro sistema político que está reconocido como una democracia constitucional representativa.</w:t>
      </w:r>
    </w:p>
    <w:p w14:paraId="1D81D2FB" w14:textId="77777777" w:rsidR="00783B43" w:rsidRPr="00242547" w:rsidRDefault="00783B43" w:rsidP="002E7CFF">
      <w:pPr>
        <w:pStyle w:val="Sinespaciado"/>
        <w:jc w:val="both"/>
        <w:rPr>
          <w:rFonts w:ascii="Trebuchet MS" w:hAnsi="Trebuchet MS"/>
          <w:color w:val="000000"/>
          <w:sz w:val="24"/>
          <w:szCs w:val="24"/>
          <w:lang w:val="es-ES_tradnl" w:eastAsia="es-MX"/>
        </w:rPr>
      </w:pPr>
    </w:p>
    <w:p w14:paraId="18331B03" w14:textId="77CF78BC" w:rsidR="00E03AC2" w:rsidRPr="00A04585" w:rsidRDefault="00783B4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vinculaci</w:t>
      </w:r>
      <w:r w:rsidR="00AE55CF" w:rsidRPr="00A04585">
        <w:rPr>
          <w:rFonts w:ascii="Trebuchet MS" w:hAnsi="Trebuchet MS"/>
          <w:color w:val="000000"/>
          <w:sz w:val="24"/>
          <w:szCs w:val="24"/>
          <w:lang w:val="es-ES_tradnl" w:eastAsia="es-MX"/>
        </w:rPr>
        <w:t xml:space="preserve">ón con lo expuesto, este órgano considera que </w:t>
      </w:r>
      <w:r w:rsidR="009D700E" w:rsidRPr="00A04585">
        <w:rPr>
          <w:rFonts w:ascii="Trebuchet MS" w:hAnsi="Trebuchet MS"/>
          <w:color w:val="000000"/>
          <w:sz w:val="24"/>
          <w:szCs w:val="24"/>
          <w:lang w:val="es-ES_tradnl" w:eastAsia="es-MX"/>
        </w:rPr>
        <w:t xml:space="preserve">la única forma viable de garantizar que </w:t>
      </w:r>
      <w:r w:rsidR="00AE55CF" w:rsidRPr="00A04585">
        <w:rPr>
          <w:rFonts w:ascii="Trebuchet MS" w:hAnsi="Trebuchet MS"/>
          <w:color w:val="000000"/>
          <w:sz w:val="24"/>
          <w:szCs w:val="24"/>
          <w:lang w:val="es-ES_tradnl" w:eastAsia="es-MX"/>
        </w:rPr>
        <w:t xml:space="preserve">se cumpla el mandato constitucional que exige repartir a todos </w:t>
      </w:r>
      <w:r w:rsidR="009D700E" w:rsidRPr="00A04585">
        <w:rPr>
          <w:rFonts w:ascii="Trebuchet MS" w:hAnsi="Trebuchet MS"/>
          <w:color w:val="000000"/>
          <w:sz w:val="24"/>
          <w:szCs w:val="24"/>
          <w:lang w:val="es-ES_tradnl" w:eastAsia="es-MX"/>
        </w:rPr>
        <w:t>los partidos políticos con derecho a recibir financiamiento en la entidad federativa</w:t>
      </w:r>
      <w:r w:rsidR="00FD691B" w:rsidRPr="00A04585">
        <w:rPr>
          <w:rFonts w:ascii="Trebuchet MS" w:hAnsi="Trebuchet MS"/>
          <w:color w:val="000000"/>
          <w:sz w:val="24"/>
          <w:szCs w:val="24"/>
          <w:lang w:val="es-ES_tradnl" w:eastAsia="es-MX"/>
        </w:rPr>
        <w:t>,</w:t>
      </w:r>
      <w:r w:rsidR="00AE55CF" w:rsidRPr="00A04585">
        <w:rPr>
          <w:rFonts w:ascii="Trebuchet MS" w:hAnsi="Trebuchet MS"/>
          <w:color w:val="000000"/>
          <w:sz w:val="24"/>
          <w:szCs w:val="24"/>
          <w:lang w:val="es-ES_tradnl" w:eastAsia="es-MX"/>
        </w:rPr>
        <w:t xml:space="preserve"> una misma porción de la parte </w:t>
      </w:r>
      <w:r w:rsidR="00FD691B" w:rsidRPr="00A04585">
        <w:rPr>
          <w:rFonts w:ascii="Trebuchet MS" w:hAnsi="Trebuchet MS"/>
          <w:color w:val="000000"/>
          <w:sz w:val="24"/>
          <w:szCs w:val="24"/>
          <w:lang w:val="es-ES_tradnl" w:eastAsia="es-MX"/>
        </w:rPr>
        <w:t xml:space="preserve">de recursos </w:t>
      </w:r>
      <w:r w:rsidR="00AE55CF" w:rsidRPr="00A04585">
        <w:rPr>
          <w:rFonts w:ascii="Trebuchet MS" w:hAnsi="Trebuchet MS"/>
          <w:color w:val="000000"/>
          <w:sz w:val="24"/>
          <w:szCs w:val="24"/>
          <w:lang w:val="es-ES_tradnl" w:eastAsia="es-MX"/>
        </w:rPr>
        <w:t xml:space="preserve">que </w:t>
      </w:r>
      <w:r w:rsidR="00FD691B" w:rsidRPr="00A04585">
        <w:rPr>
          <w:rFonts w:ascii="Trebuchet MS" w:hAnsi="Trebuchet MS"/>
          <w:color w:val="000000"/>
          <w:sz w:val="24"/>
          <w:szCs w:val="24"/>
          <w:lang w:val="es-ES_tradnl" w:eastAsia="es-MX"/>
        </w:rPr>
        <w:t>en un</w:t>
      </w:r>
      <w:r w:rsidR="00EE57BF" w:rsidRPr="00A04585">
        <w:rPr>
          <w:rFonts w:ascii="Trebuchet MS" w:hAnsi="Trebuchet MS"/>
          <w:color w:val="000000"/>
          <w:sz w:val="24"/>
          <w:szCs w:val="24"/>
          <w:lang w:val="es-ES_tradnl" w:eastAsia="es-MX"/>
        </w:rPr>
        <w:t>a</w:t>
      </w:r>
      <w:r w:rsidR="00FD691B" w:rsidRPr="00A04585">
        <w:rPr>
          <w:rFonts w:ascii="Trebuchet MS" w:hAnsi="Trebuchet MS"/>
          <w:color w:val="000000"/>
          <w:sz w:val="24"/>
          <w:szCs w:val="24"/>
          <w:lang w:val="es-ES_tradnl" w:eastAsia="es-MX"/>
        </w:rPr>
        <w:t xml:space="preserve"> y otr</w:t>
      </w:r>
      <w:r w:rsidR="00EE57BF" w:rsidRPr="00A04585">
        <w:rPr>
          <w:rFonts w:ascii="Trebuchet MS" w:hAnsi="Trebuchet MS"/>
          <w:color w:val="000000"/>
          <w:sz w:val="24"/>
          <w:szCs w:val="24"/>
          <w:lang w:val="es-ES_tradnl" w:eastAsia="es-MX"/>
        </w:rPr>
        <w:t>a bolsa</w:t>
      </w:r>
      <w:r w:rsidR="00FD691B" w:rsidRPr="00A04585">
        <w:rPr>
          <w:rFonts w:ascii="Trebuchet MS" w:hAnsi="Trebuchet MS"/>
          <w:color w:val="000000"/>
          <w:sz w:val="24"/>
          <w:szCs w:val="24"/>
          <w:lang w:val="es-ES_tradnl" w:eastAsia="es-MX"/>
        </w:rPr>
        <w:t xml:space="preserve"> </w:t>
      </w:r>
      <w:r w:rsidR="00AE55CF" w:rsidRPr="00A04585">
        <w:rPr>
          <w:rFonts w:ascii="Trebuchet MS" w:hAnsi="Trebuchet MS"/>
          <w:color w:val="000000"/>
          <w:sz w:val="24"/>
          <w:szCs w:val="24"/>
          <w:lang w:val="es-ES_tradnl" w:eastAsia="es-MX"/>
        </w:rPr>
        <w:t>debe distribuirse d</w:t>
      </w:r>
      <w:r w:rsidR="00FD691B" w:rsidRPr="00A04585">
        <w:rPr>
          <w:rFonts w:ascii="Trebuchet MS" w:hAnsi="Trebuchet MS"/>
          <w:color w:val="000000"/>
          <w:sz w:val="24"/>
          <w:szCs w:val="24"/>
          <w:lang w:val="es-ES_tradnl" w:eastAsia="es-MX"/>
        </w:rPr>
        <w:t xml:space="preserve">e forma igualitaria, es considerar a la totalidad de las fuerzas </w:t>
      </w:r>
      <w:r w:rsidR="00FC04F5" w:rsidRPr="00A04585">
        <w:rPr>
          <w:rFonts w:ascii="Trebuchet MS" w:hAnsi="Trebuchet MS"/>
          <w:color w:val="000000"/>
          <w:sz w:val="24"/>
          <w:szCs w:val="24"/>
          <w:lang w:val="es-ES_tradnl" w:eastAsia="es-MX"/>
        </w:rPr>
        <w:t xml:space="preserve">políticas </w:t>
      </w:r>
      <w:r w:rsidR="00FD691B" w:rsidRPr="00A04585">
        <w:rPr>
          <w:rFonts w:ascii="Trebuchet MS" w:hAnsi="Trebuchet MS"/>
          <w:color w:val="000000"/>
          <w:sz w:val="24"/>
          <w:szCs w:val="24"/>
          <w:lang w:val="es-ES_tradnl" w:eastAsia="es-MX"/>
        </w:rPr>
        <w:t xml:space="preserve">para dividir el monto correspondiente a fracción igualitaria de cada bolsa y obtener </w:t>
      </w:r>
      <w:r w:rsidR="00EE57BF" w:rsidRPr="00A04585">
        <w:rPr>
          <w:rFonts w:ascii="Trebuchet MS" w:hAnsi="Trebuchet MS"/>
          <w:color w:val="000000"/>
          <w:sz w:val="24"/>
          <w:szCs w:val="24"/>
          <w:lang w:val="es-ES_tradnl" w:eastAsia="es-MX"/>
        </w:rPr>
        <w:t xml:space="preserve">como resultado </w:t>
      </w:r>
      <w:r w:rsidR="00FD691B" w:rsidRPr="00A04585">
        <w:rPr>
          <w:rFonts w:ascii="Trebuchet MS" w:hAnsi="Trebuchet MS"/>
          <w:color w:val="000000"/>
          <w:sz w:val="24"/>
          <w:szCs w:val="24"/>
          <w:lang w:val="es-ES_tradnl" w:eastAsia="es-MX"/>
        </w:rPr>
        <w:t xml:space="preserve">los recursos que debe recibir </w:t>
      </w:r>
      <w:r w:rsidR="00BC2207" w:rsidRPr="00A04585">
        <w:rPr>
          <w:rFonts w:ascii="Trebuchet MS" w:hAnsi="Trebuchet MS"/>
          <w:color w:val="000000"/>
          <w:sz w:val="24"/>
          <w:szCs w:val="24"/>
          <w:lang w:val="es-ES_tradnl" w:eastAsia="es-MX"/>
        </w:rPr>
        <w:t xml:space="preserve">de </w:t>
      </w:r>
      <w:r w:rsidR="00FD691B" w:rsidRPr="00A04585">
        <w:rPr>
          <w:rFonts w:ascii="Trebuchet MS" w:hAnsi="Trebuchet MS"/>
          <w:color w:val="000000"/>
          <w:sz w:val="24"/>
          <w:szCs w:val="24"/>
          <w:lang w:val="es-ES_tradnl" w:eastAsia="es-MX"/>
        </w:rPr>
        <w:t xml:space="preserve">cada una de ellas conforme al monto de financiamiento disponible ya sea </w:t>
      </w:r>
      <w:r w:rsidR="00BC2207" w:rsidRPr="00A04585">
        <w:rPr>
          <w:rFonts w:ascii="Trebuchet MS" w:hAnsi="Trebuchet MS"/>
          <w:color w:val="000000"/>
          <w:sz w:val="24"/>
          <w:szCs w:val="24"/>
          <w:lang w:val="es-ES_tradnl" w:eastAsia="es-MX"/>
        </w:rPr>
        <w:t xml:space="preserve">para </w:t>
      </w:r>
      <w:r w:rsidR="00FD691B" w:rsidRPr="00A04585">
        <w:rPr>
          <w:rFonts w:ascii="Trebuchet MS" w:hAnsi="Trebuchet MS"/>
          <w:color w:val="000000"/>
          <w:sz w:val="24"/>
          <w:szCs w:val="24"/>
          <w:lang w:val="es-ES_tradnl" w:eastAsia="es-MX"/>
        </w:rPr>
        <w:t>los partidos nacionales o bien para los partidos locales, sin asignarle los recursos de los primeros a los segundos, ni viceversa.</w:t>
      </w:r>
    </w:p>
    <w:p w14:paraId="760B8AA2" w14:textId="77777777" w:rsidR="00E03AC2" w:rsidRPr="00242547" w:rsidRDefault="00E03AC2" w:rsidP="002E7CFF">
      <w:pPr>
        <w:pStyle w:val="Sinespaciado"/>
        <w:jc w:val="both"/>
        <w:rPr>
          <w:rFonts w:ascii="Trebuchet MS" w:hAnsi="Trebuchet MS"/>
          <w:color w:val="000000"/>
          <w:sz w:val="24"/>
          <w:szCs w:val="24"/>
          <w:lang w:val="es-ES_tradnl" w:eastAsia="es-MX"/>
        </w:rPr>
      </w:pPr>
    </w:p>
    <w:p w14:paraId="0E8C1768" w14:textId="1A58B733" w:rsidR="008039FC" w:rsidRPr="00A04585" w:rsidRDefault="001C2012"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Ahora bien, </w:t>
      </w:r>
      <w:r w:rsidR="00FD691B" w:rsidRPr="00A04585">
        <w:rPr>
          <w:rFonts w:ascii="Trebuchet MS" w:hAnsi="Trebuchet MS"/>
          <w:color w:val="000000"/>
          <w:sz w:val="24"/>
          <w:szCs w:val="24"/>
          <w:lang w:val="es-ES_tradnl" w:eastAsia="es-MX"/>
        </w:rPr>
        <w:t>esa forma de distribución también resulta proporcional, porque se le asignaría la misma porción de la</w:t>
      </w:r>
      <w:r w:rsidR="00F124EC" w:rsidRPr="00A04585">
        <w:rPr>
          <w:rFonts w:ascii="Trebuchet MS" w:hAnsi="Trebuchet MS"/>
          <w:color w:val="000000"/>
          <w:sz w:val="24"/>
          <w:szCs w:val="24"/>
          <w:lang w:val="es-ES_tradnl" w:eastAsia="es-MX"/>
        </w:rPr>
        <w:t xml:space="preserve"> parte igualitaria de la</w:t>
      </w:r>
      <w:r w:rsidR="00FD691B" w:rsidRPr="00A04585">
        <w:rPr>
          <w:rFonts w:ascii="Trebuchet MS" w:hAnsi="Trebuchet MS"/>
          <w:color w:val="000000"/>
          <w:sz w:val="24"/>
          <w:szCs w:val="24"/>
          <w:lang w:val="es-ES_tradnl" w:eastAsia="es-MX"/>
        </w:rPr>
        <w:t xml:space="preserve"> bolsa respectiva a los partidos pol</w:t>
      </w:r>
      <w:r w:rsidR="00F124EC" w:rsidRPr="00A04585">
        <w:rPr>
          <w:rFonts w:ascii="Trebuchet MS" w:hAnsi="Trebuchet MS"/>
          <w:color w:val="000000"/>
          <w:sz w:val="24"/>
          <w:szCs w:val="24"/>
          <w:lang w:val="es-ES_tradnl" w:eastAsia="es-MX"/>
        </w:rPr>
        <w:t>íticos</w:t>
      </w:r>
      <w:r w:rsidR="00FD691B" w:rsidRPr="00A04585">
        <w:rPr>
          <w:rFonts w:ascii="Trebuchet MS" w:hAnsi="Trebuchet MS"/>
          <w:color w:val="000000"/>
          <w:sz w:val="24"/>
          <w:szCs w:val="24"/>
          <w:lang w:val="es-ES_tradnl" w:eastAsia="es-MX"/>
        </w:rPr>
        <w:t xml:space="preserve"> con derecho a recibir financiamiento local</w:t>
      </w:r>
      <w:r w:rsidR="00F124EC" w:rsidRPr="00A04585">
        <w:rPr>
          <w:rFonts w:ascii="Trebuchet MS" w:hAnsi="Trebuchet MS"/>
          <w:color w:val="000000"/>
          <w:sz w:val="24"/>
          <w:szCs w:val="24"/>
          <w:lang w:val="es-ES_tradnl" w:eastAsia="es-MX"/>
        </w:rPr>
        <w:t xml:space="preserve"> ya sea nacionales o estatales</w:t>
      </w:r>
      <w:r w:rsidR="00FD691B" w:rsidRPr="00A04585">
        <w:rPr>
          <w:rFonts w:ascii="Trebuchet MS" w:hAnsi="Trebuchet MS"/>
          <w:color w:val="000000"/>
          <w:sz w:val="24"/>
          <w:szCs w:val="24"/>
          <w:lang w:val="es-ES_tradnl" w:eastAsia="es-MX"/>
        </w:rPr>
        <w:t>, empero, tendrían diferente valor económico puesto que</w:t>
      </w:r>
      <w:r w:rsidR="00FC04F5" w:rsidRPr="00A04585">
        <w:rPr>
          <w:rFonts w:ascii="Trebuchet MS" w:hAnsi="Trebuchet MS"/>
          <w:color w:val="000000"/>
          <w:sz w:val="24"/>
          <w:szCs w:val="24"/>
          <w:lang w:val="es-ES_tradnl" w:eastAsia="es-MX"/>
        </w:rPr>
        <w:t>,</w:t>
      </w:r>
      <w:r w:rsidR="00FD691B" w:rsidRPr="00A04585">
        <w:rPr>
          <w:rFonts w:ascii="Trebuchet MS" w:hAnsi="Trebuchet MS"/>
          <w:color w:val="000000"/>
          <w:sz w:val="24"/>
          <w:szCs w:val="24"/>
          <w:lang w:val="es-ES_tradnl" w:eastAsia="es-MX"/>
        </w:rPr>
        <w:t xml:space="preserve"> </w:t>
      </w:r>
      <w:r w:rsidR="00FC04F5" w:rsidRPr="00A04585">
        <w:rPr>
          <w:rFonts w:ascii="Trebuchet MS" w:hAnsi="Trebuchet MS"/>
          <w:color w:val="000000"/>
          <w:sz w:val="24"/>
          <w:szCs w:val="24"/>
          <w:lang w:val="es-ES_tradnl" w:eastAsia="es-MX"/>
        </w:rPr>
        <w:t xml:space="preserve">al establecer la base de cálculo de cada bolsa, </w:t>
      </w:r>
      <w:r w:rsidR="00FD691B" w:rsidRPr="00A04585">
        <w:rPr>
          <w:rFonts w:ascii="Trebuchet MS" w:hAnsi="Trebuchet MS"/>
          <w:color w:val="000000"/>
          <w:sz w:val="24"/>
          <w:szCs w:val="24"/>
          <w:lang w:val="es-ES_tradnl" w:eastAsia="es-MX"/>
        </w:rPr>
        <w:t xml:space="preserve">el legislador destinó a los partidos políticos nacionales un </w:t>
      </w:r>
      <w:r w:rsidR="00FC04F5" w:rsidRPr="00A04585">
        <w:rPr>
          <w:rFonts w:ascii="Trebuchet MS" w:hAnsi="Trebuchet MS"/>
          <w:color w:val="000000"/>
          <w:sz w:val="24"/>
          <w:szCs w:val="24"/>
          <w:lang w:val="es-ES_tradnl" w:eastAsia="es-MX"/>
        </w:rPr>
        <w:t>universo</w:t>
      </w:r>
      <w:r w:rsidR="00FD691B" w:rsidRPr="00A04585">
        <w:rPr>
          <w:rFonts w:ascii="Trebuchet MS" w:hAnsi="Trebuchet MS"/>
          <w:color w:val="000000"/>
          <w:sz w:val="24"/>
          <w:szCs w:val="24"/>
          <w:lang w:val="es-ES_tradnl" w:eastAsia="es-MX"/>
        </w:rPr>
        <w:t xml:space="preserve"> total de recursos </w:t>
      </w:r>
      <w:r w:rsidR="00FC04F5" w:rsidRPr="00A04585">
        <w:rPr>
          <w:rFonts w:ascii="Trebuchet MS" w:hAnsi="Trebuchet MS"/>
          <w:color w:val="000000"/>
          <w:sz w:val="24"/>
          <w:szCs w:val="24"/>
          <w:lang w:val="es-ES_tradnl" w:eastAsia="es-MX"/>
        </w:rPr>
        <w:t xml:space="preserve">a distribuir </w:t>
      </w:r>
      <w:r w:rsidR="00FD691B" w:rsidRPr="00A04585">
        <w:rPr>
          <w:rFonts w:ascii="Trebuchet MS" w:hAnsi="Trebuchet MS"/>
          <w:color w:val="000000"/>
          <w:sz w:val="24"/>
          <w:szCs w:val="24"/>
          <w:lang w:val="es-ES_tradnl" w:eastAsia="es-MX"/>
        </w:rPr>
        <w:t xml:space="preserve">menor que </w:t>
      </w:r>
      <w:r w:rsidR="00FC04F5" w:rsidRPr="00A04585">
        <w:rPr>
          <w:rFonts w:ascii="Trebuchet MS" w:hAnsi="Trebuchet MS"/>
          <w:color w:val="000000"/>
          <w:sz w:val="24"/>
          <w:szCs w:val="24"/>
          <w:lang w:val="es-ES_tradnl" w:eastAsia="es-MX"/>
        </w:rPr>
        <w:t xml:space="preserve">el previsto </w:t>
      </w:r>
      <w:r w:rsidR="00FD691B" w:rsidRPr="00A04585">
        <w:rPr>
          <w:rFonts w:ascii="Trebuchet MS" w:hAnsi="Trebuchet MS"/>
          <w:color w:val="000000"/>
          <w:sz w:val="24"/>
          <w:szCs w:val="24"/>
          <w:lang w:val="es-ES_tradnl" w:eastAsia="es-MX"/>
        </w:rPr>
        <w:t>para los estatales</w:t>
      </w:r>
      <w:r w:rsidR="008039FC" w:rsidRPr="00A04585">
        <w:rPr>
          <w:rFonts w:ascii="Trebuchet MS" w:hAnsi="Trebuchet MS"/>
          <w:color w:val="000000"/>
          <w:sz w:val="24"/>
          <w:szCs w:val="24"/>
          <w:lang w:val="es-ES_tradnl" w:eastAsia="es-MX"/>
        </w:rPr>
        <w:t xml:space="preserve">. </w:t>
      </w:r>
    </w:p>
    <w:p w14:paraId="2CB0012C" w14:textId="77777777" w:rsidR="008039FC" w:rsidRPr="00242547" w:rsidRDefault="008039FC" w:rsidP="002E7CFF">
      <w:pPr>
        <w:pStyle w:val="Sinespaciado"/>
        <w:jc w:val="both"/>
        <w:rPr>
          <w:rFonts w:ascii="Trebuchet MS" w:hAnsi="Trebuchet MS"/>
          <w:color w:val="000000"/>
          <w:sz w:val="24"/>
          <w:szCs w:val="24"/>
          <w:lang w:val="es-ES_tradnl" w:eastAsia="es-MX"/>
        </w:rPr>
      </w:pPr>
    </w:p>
    <w:p w14:paraId="05EAA8D4" w14:textId="1BAAB06B" w:rsidR="00FD691B" w:rsidRPr="00A04585" w:rsidRDefault="008039F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Ello </w:t>
      </w:r>
      <w:r w:rsidR="00FC04F5" w:rsidRPr="00A04585">
        <w:rPr>
          <w:rFonts w:ascii="Trebuchet MS" w:hAnsi="Trebuchet MS"/>
          <w:color w:val="000000"/>
          <w:sz w:val="24"/>
          <w:szCs w:val="24"/>
          <w:lang w:val="es-ES_tradnl" w:eastAsia="es-MX"/>
        </w:rPr>
        <w:t>sería</w:t>
      </w:r>
      <w:r w:rsidRPr="00A04585">
        <w:rPr>
          <w:rFonts w:ascii="Trebuchet MS" w:hAnsi="Trebuchet MS"/>
          <w:color w:val="000000"/>
          <w:sz w:val="24"/>
          <w:szCs w:val="24"/>
          <w:lang w:val="es-ES_tradnl" w:eastAsia="es-MX"/>
        </w:rPr>
        <w:t xml:space="preserve"> conforme con el diseño constitucional validado por la Suprema Corte de Justicia de la Nación, puesto que a los partidos nacionales se les asignaría </w:t>
      </w:r>
      <w:r w:rsidR="00FC04F5" w:rsidRPr="00A04585">
        <w:rPr>
          <w:rFonts w:ascii="Trebuchet MS" w:hAnsi="Trebuchet MS"/>
          <w:color w:val="000000"/>
          <w:sz w:val="24"/>
          <w:szCs w:val="24"/>
          <w:lang w:val="es-ES_tradnl" w:eastAsia="es-MX"/>
        </w:rPr>
        <w:t xml:space="preserve">idéntica </w:t>
      </w:r>
      <w:r w:rsidRPr="00A04585">
        <w:rPr>
          <w:rFonts w:ascii="Trebuchet MS" w:hAnsi="Trebuchet MS"/>
          <w:color w:val="000000"/>
          <w:sz w:val="24"/>
          <w:szCs w:val="24"/>
          <w:lang w:val="es-ES_tradnl" w:eastAsia="es-MX"/>
        </w:rPr>
        <w:t>porción de financiamiento igualitario en relación con el monto del financiamiento calculado para ello</w:t>
      </w:r>
      <w:r w:rsidR="00BC2207" w:rsidRPr="00A04585">
        <w:rPr>
          <w:rFonts w:ascii="Trebuchet MS" w:hAnsi="Trebuchet MS"/>
          <w:color w:val="000000"/>
          <w:sz w:val="24"/>
          <w:szCs w:val="24"/>
          <w:lang w:val="es-ES_tradnl" w:eastAsia="es-MX"/>
        </w:rPr>
        <w:t>s</w:t>
      </w:r>
      <w:r w:rsidRPr="00A04585">
        <w:rPr>
          <w:rFonts w:ascii="Trebuchet MS" w:hAnsi="Trebuchet MS"/>
          <w:color w:val="000000"/>
          <w:sz w:val="24"/>
          <w:szCs w:val="24"/>
          <w:lang w:val="es-ES_tradnl" w:eastAsia="es-MX"/>
        </w:rPr>
        <w:t xml:space="preserve"> y lo mismo sucedería con las fuerzas políticas con registro en la entidad federativa, de forma que no se mezclarían los recurs</w:t>
      </w:r>
      <w:r w:rsidR="00F124EC" w:rsidRPr="00A04585">
        <w:rPr>
          <w:rFonts w:ascii="Trebuchet MS" w:hAnsi="Trebuchet MS"/>
          <w:color w:val="000000"/>
          <w:sz w:val="24"/>
          <w:szCs w:val="24"/>
          <w:lang w:val="es-ES_tradnl" w:eastAsia="es-MX"/>
        </w:rPr>
        <w:t>os destinados para unos y otros.</w:t>
      </w:r>
    </w:p>
    <w:p w14:paraId="519379F8" w14:textId="77777777" w:rsidR="00FD691B" w:rsidRPr="00A04585" w:rsidRDefault="00FD691B" w:rsidP="002E7CFF">
      <w:pPr>
        <w:pStyle w:val="Sinespaciado"/>
        <w:jc w:val="both"/>
        <w:rPr>
          <w:rFonts w:ascii="Trebuchet MS" w:hAnsi="Trebuchet MS"/>
          <w:color w:val="000000"/>
          <w:sz w:val="24"/>
          <w:szCs w:val="24"/>
          <w:lang w:val="es-ES_tradnl" w:eastAsia="es-MX"/>
        </w:rPr>
      </w:pPr>
    </w:p>
    <w:p w14:paraId="78628931" w14:textId="60253999" w:rsidR="00D97FC9" w:rsidRPr="00A04585" w:rsidRDefault="008039F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w:t>
      </w:r>
      <w:r w:rsidR="00AF61D0" w:rsidRPr="00A04585">
        <w:rPr>
          <w:rFonts w:ascii="Trebuchet MS" w:hAnsi="Trebuchet MS"/>
          <w:color w:val="000000"/>
          <w:sz w:val="24"/>
          <w:szCs w:val="24"/>
          <w:lang w:val="es-ES_tradnl" w:eastAsia="es-MX"/>
        </w:rPr>
        <w:t xml:space="preserve">nte tal escenario, se estima que </w:t>
      </w:r>
      <w:r w:rsidR="001C2012" w:rsidRPr="00A04585">
        <w:rPr>
          <w:rFonts w:ascii="Trebuchet MS" w:hAnsi="Trebuchet MS"/>
          <w:color w:val="000000"/>
          <w:sz w:val="24"/>
          <w:szCs w:val="24"/>
          <w:lang w:val="es-ES_tradnl" w:eastAsia="es-MX"/>
        </w:rPr>
        <w:t>para permitir que se lleve a cabo la asignación de ese mínimo de recursos</w:t>
      </w:r>
      <w:r w:rsidR="002B750E" w:rsidRPr="00A04585">
        <w:rPr>
          <w:rFonts w:ascii="Trebuchet MS" w:hAnsi="Trebuchet MS"/>
          <w:color w:val="000000"/>
          <w:sz w:val="24"/>
          <w:szCs w:val="24"/>
          <w:lang w:val="es-ES_tradnl" w:eastAsia="es-MX"/>
        </w:rPr>
        <w:t xml:space="preserve"> que se gara</w:t>
      </w:r>
      <w:r w:rsidR="005D57C0" w:rsidRPr="00A04585">
        <w:rPr>
          <w:rFonts w:ascii="Trebuchet MS" w:hAnsi="Trebuchet MS"/>
          <w:color w:val="000000"/>
          <w:sz w:val="24"/>
          <w:szCs w:val="24"/>
          <w:lang w:val="es-ES_tradnl" w:eastAsia="es-MX"/>
        </w:rPr>
        <w:t>ntiza a los partidos políticos en cada bolsa</w:t>
      </w:r>
      <w:r w:rsidR="00BC2207" w:rsidRPr="00A04585">
        <w:rPr>
          <w:rFonts w:ascii="Trebuchet MS" w:hAnsi="Trebuchet MS"/>
          <w:color w:val="000000"/>
          <w:sz w:val="24"/>
          <w:szCs w:val="24"/>
          <w:lang w:val="es-ES_tradnl" w:eastAsia="es-MX"/>
        </w:rPr>
        <w:t>,</w:t>
      </w:r>
      <w:r w:rsidR="005D57C0" w:rsidRPr="00A04585">
        <w:rPr>
          <w:rFonts w:ascii="Trebuchet MS" w:hAnsi="Trebuchet MS"/>
          <w:color w:val="000000"/>
          <w:sz w:val="24"/>
          <w:szCs w:val="24"/>
          <w:lang w:val="es-ES_tradnl" w:eastAsia="es-MX"/>
        </w:rPr>
        <w:t xml:space="preserve"> y se guarde una proporción lógica para su distribución, en ambos casos, el monto equivalente a ese porcentaje deberá dividirse entre</w:t>
      </w:r>
      <w:r w:rsidR="00BC2207" w:rsidRPr="00A04585">
        <w:rPr>
          <w:rFonts w:ascii="Trebuchet MS" w:hAnsi="Trebuchet MS"/>
          <w:color w:val="000000"/>
          <w:sz w:val="24"/>
          <w:szCs w:val="24"/>
          <w:lang w:val="es-ES_tradnl" w:eastAsia="es-MX"/>
        </w:rPr>
        <w:t xml:space="preserve"> el número total de</w:t>
      </w:r>
      <w:r w:rsidR="009552A6" w:rsidRPr="00A04585">
        <w:rPr>
          <w:rFonts w:ascii="Trebuchet MS" w:hAnsi="Trebuchet MS"/>
          <w:color w:val="000000"/>
          <w:sz w:val="24"/>
          <w:szCs w:val="24"/>
          <w:lang w:val="es-ES_tradnl" w:eastAsia="es-MX"/>
        </w:rPr>
        <w:t xml:space="preserve"> </w:t>
      </w:r>
      <w:r w:rsidR="005D57C0" w:rsidRPr="00A04585">
        <w:rPr>
          <w:rFonts w:ascii="Trebuchet MS" w:hAnsi="Trebuchet MS"/>
          <w:color w:val="000000"/>
          <w:sz w:val="24"/>
          <w:szCs w:val="24"/>
          <w:lang w:val="es-ES_tradnl" w:eastAsia="es-MX"/>
        </w:rPr>
        <w:t>institutos políticos con derecho a recibir prerrogativas financieras en la entidad federativa.</w:t>
      </w:r>
      <w:r w:rsidR="002B0F2B" w:rsidRPr="00A04585">
        <w:rPr>
          <w:rFonts w:ascii="Trebuchet MS" w:hAnsi="Trebuchet MS"/>
          <w:color w:val="000000"/>
          <w:sz w:val="24"/>
          <w:szCs w:val="24"/>
          <w:lang w:val="es-ES_tradnl" w:eastAsia="es-MX"/>
        </w:rPr>
        <w:t xml:space="preserve"> </w:t>
      </w:r>
    </w:p>
    <w:p w14:paraId="601F5A4D" w14:textId="77777777" w:rsidR="002B0F2B" w:rsidRPr="00242547" w:rsidRDefault="002B0F2B" w:rsidP="002E7CFF">
      <w:pPr>
        <w:pStyle w:val="Sinespaciado"/>
        <w:jc w:val="both"/>
        <w:rPr>
          <w:rFonts w:ascii="Trebuchet MS" w:hAnsi="Trebuchet MS"/>
          <w:color w:val="000000"/>
          <w:sz w:val="24"/>
          <w:szCs w:val="24"/>
          <w:lang w:val="es-ES_tradnl" w:eastAsia="es-MX"/>
        </w:rPr>
      </w:pPr>
    </w:p>
    <w:p w14:paraId="2880E1EE" w14:textId="4CDAC6FE" w:rsidR="00276C44" w:rsidRPr="00A04585" w:rsidRDefault="002B0F2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ese modo, cada partido tendrá derecho a una séptima parte de la bolsa </w:t>
      </w:r>
      <w:r w:rsidR="0088343D" w:rsidRPr="00A04585">
        <w:rPr>
          <w:rFonts w:ascii="Trebuchet MS" w:hAnsi="Trebuchet MS"/>
          <w:color w:val="000000"/>
          <w:sz w:val="24"/>
          <w:szCs w:val="24"/>
          <w:lang w:val="es-ES_tradnl" w:eastAsia="es-MX"/>
        </w:rPr>
        <w:t>que le corresponda</w:t>
      </w:r>
      <w:r w:rsidRPr="00A04585">
        <w:rPr>
          <w:rFonts w:ascii="Trebuchet MS" w:hAnsi="Trebuchet MS"/>
          <w:color w:val="000000"/>
          <w:sz w:val="24"/>
          <w:szCs w:val="24"/>
          <w:lang w:val="es-ES_tradnl" w:eastAsia="es-MX"/>
        </w:rPr>
        <w:t xml:space="preserve">, lo que evidencia equidad en el reparto de la parte fija del </w:t>
      </w:r>
      <w:r w:rsidR="00DF2DFD" w:rsidRPr="00A04585">
        <w:rPr>
          <w:rFonts w:ascii="Trebuchet MS" w:hAnsi="Trebuchet MS"/>
          <w:color w:val="000000"/>
          <w:sz w:val="24"/>
          <w:szCs w:val="24"/>
          <w:lang w:val="es-ES_tradnl" w:eastAsia="es-MX"/>
        </w:rPr>
        <w:t>financiamiento,</w:t>
      </w:r>
      <w:r w:rsidRPr="00A04585">
        <w:rPr>
          <w:rFonts w:ascii="Trebuchet MS" w:hAnsi="Trebuchet MS"/>
          <w:color w:val="000000"/>
          <w:sz w:val="24"/>
          <w:szCs w:val="24"/>
          <w:lang w:val="es-ES_tradnl" w:eastAsia="es-MX"/>
        </w:rPr>
        <w:t xml:space="preserve"> aunque cada bolsa tenga una forma diferente de cálculo, </w:t>
      </w:r>
      <w:r w:rsidR="00A069A9" w:rsidRPr="00A04585">
        <w:rPr>
          <w:rFonts w:ascii="Trebuchet MS" w:hAnsi="Trebuchet MS"/>
          <w:color w:val="000000"/>
          <w:sz w:val="24"/>
          <w:szCs w:val="24"/>
          <w:lang w:val="es-ES_tradnl" w:eastAsia="es-MX"/>
        </w:rPr>
        <w:t xml:space="preserve">puesto que </w:t>
      </w:r>
      <w:r w:rsidRPr="00A04585">
        <w:rPr>
          <w:rFonts w:ascii="Trebuchet MS" w:hAnsi="Trebuchet MS"/>
          <w:color w:val="000000"/>
          <w:sz w:val="24"/>
          <w:szCs w:val="24"/>
          <w:lang w:val="es-ES_tradnl" w:eastAsia="es-MX"/>
        </w:rPr>
        <w:t>con el esquema propuesto se le otorgará a cada institución la misma po</w:t>
      </w:r>
      <w:r w:rsidR="00F124EC" w:rsidRPr="00A04585">
        <w:rPr>
          <w:rFonts w:ascii="Trebuchet MS" w:hAnsi="Trebuchet MS"/>
          <w:color w:val="000000"/>
          <w:sz w:val="24"/>
          <w:szCs w:val="24"/>
          <w:lang w:val="es-ES_tradnl" w:eastAsia="es-MX"/>
        </w:rPr>
        <w:t>rción en términos porcentuales.</w:t>
      </w:r>
    </w:p>
    <w:p w14:paraId="1CE9A5FA" w14:textId="77777777" w:rsidR="002B0F2B" w:rsidRPr="00242547" w:rsidRDefault="002B0F2B" w:rsidP="002E7CFF">
      <w:pPr>
        <w:pStyle w:val="Sinespaciado"/>
        <w:jc w:val="both"/>
        <w:rPr>
          <w:rFonts w:ascii="Trebuchet MS" w:hAnsi="Trebuchet MS"/>
          <w:color w:val="000000"/>
          <w:sz w:val="24"/>
          <w:szCs w:val="24"/>
          <w:lang w:val="es-ES_tradnl" w:eastAsia="es-MX"/>
        </w:rPr>
      </w:pPr>
    </w:p>
    <w:p w14:paraId="3C2D0025" w14:textId="32C77799" w:rsidR="002B0F2B" w:rsidRPr="00A04585" w:rsidRDefault="002B0F2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Lo anterior, desde luego, implica</w:t>
      </w:r>
      <w:r w:rsidR="00A069A9" w:rsidRPr="00A04585">
        <w:rPr>
          <w:rFonts w:ascii="Trebuchet MS" w:hAnsi="Trebuchet MS"/>
          <w:color w:val="000000"/>
          <w:sz w:val="24"/>
          <w:szCs w:val="24"/>
          <w:lang w:val="es-ES_tradnl" w:eastAsia="es-MX"/>
        </w:rPr>
        <w:t>rá</w:t>
      </w:r>
      <w:r w:rsidRPr="00A04585">
        <w:rPr>
          <w:rFonts w:ascii="Trebuchet MS" w:hAnsi="Trebuchet MS"/>
          <w:color w:val="000000"/>
          <w:sz w:val="24"/>
          <w:szCs w:val="24"/>
          <w:lang w:val="es-ES_tradnl" w:eastAsia="es-MX"/>
        </w:rPr>
        <w:t xml:space="preserve"> que del total del financiamiento correspondiente a la bolsa nacional se distribuyan cinco séptimos pues sólo pueden participar en ella los cinco partidos nacionales ya referidos</w:t>
      </w:r>
      <w:r w:rsidR="0088343D"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y de la local, solamente </w:t>
      </w:r>
      <w:r w:rsidR="0088343D" w:rsidRPr="00A04585">
        <w:rPr>
          <w:rFonts w:ascii="Trebuchet MS" w:hAnsi="Trebuchet MS"/>
          <w:color w:val="000000"/>
          <w:sz w:val="24"/>
          <w:szCs w:val="24"/>
          <w:lang w:val="es-ES_tradnl" w:eastAsia="es-MX"/>
        </w:rPr>
        <w:t xml:space="preserve">se distribuyan </w:t>
      </w:r>
      <w:r w:rsidRPr="00A04585">
        <w:rPr>
          <w:rFonts w:ascii="Trebuchet MS" w:hAnsi="Trebuchet MS"/>
          <w:color w:val="000000"/>
          <w:sz w:val="24"/>
          <w:szCs w:val="24"/>
          <w:lang w:val="es-ES_tradnl" w:eastAsia="es-MX"/>
        </w:rPr>
        <w:t>dos séptimos, puesto que en ella sólo participa</w:t>
      </w:r>
      <w:r w:rsidR="00A069A9" w:rsidRPr="00A04585">
        <w:rPr>
          <w:rFonts w:ascii="Trebuchet MS" w:hAnsi="Trebuchet MS"/>
          <w:color w:val="000000"/>
          <w:sz w:val="24"/>
          <w:szCs w:val="24"/>
          <w:lang w:val="es-ES_tradnl" w:eastAsia="es-MX"/>
        </w:rPr>
        <w:t>n d</w:t>
      </w:r>
      <w:r w:rsidRPr="00A04585">
        <w:rPr>
          <w:rFonts w:ascii="Trebuchet MS" w:hAnsi="Trebuchet MS"/>
          <w:color w:val="000000"/>
          <w:sz w:val="24"/>
          <w:szCs w:val="24"/>
          <w:lang w:val="es-ES_tradnl" w:eastAsia="es-MX"/>
        </w:rPr>
        <w:t>os partidos políticos con registro estatal.</w:t>
      </w:r>
    </w:p>
    <w:p w14:paraId="5A69377F" w14:textId="77777777" w:rsidR="00F124EC" w:rsidRPr="00242547" w:rsidRDefault="00F124EC" w:rsidP="002E7CFF">
      <w:pPr>
        <w:pStyle w:val="Sinespaciado"/>
        <w:jc w:val="both"/>
        <w:rPr>
          <w:rFonts w:ascii="Trebuchet MS" w:hAnsi="Trebuchet MS"/>
          <w:color w:val="000000"/>
          <w:sz w:val="24"/>
          <w:szCs w:val="24"/>
          <w:lang w:val="es-ES_tradnl" w:eastAsia="es-MX"/>
        </w:rPr>
      </w:pPr>
    </w:p>
    <w:p w14:paraId="1182D82F" w14:textId="75B9EF83" w:rsidR="00F124EC" w:rsidRPr="00A04585" w:rsidRDefault="0042692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conclusión, esta forma de asignar las fracciones igualitarias de cada bolsa resulta razonable y proporcional porque permite preservar en la distribución del financiamiento</w:t>
      </w:r>
      <w:r w:rsidR="006E2B3F" w:rsidRPr="00A04585">
        <w:rPr>
          <w:rFonts w:ascii="Trebuchet MS" w:hAnsi="Trebuchet MS"/>
          <w:color w:val="000000"/>
          <w:sz w:val="24"/>
          <w:szCs w:val="24"/>
          <w:lang w:val="es-ES_tradnl" w:eastAsia="es-MX"/>
        </w:rPr>
        <w:t xml:space="preserve"> la lógica constitucional</w:t>
      </w:r>
      <w:r w:rsidRPr="00A04585">
        <w:rPr>
          <w:rFonts w:ascii="Trebuchet MS" w:hAnsi="Trebuchet MS"/>
          <w:color w:val="000000"/>
          <w:sz w:val="24"/>
          <w:szCs w:val="24"/>
          <w:lang w:val="es-ES_tradnl" w:eastAsia="es-MX"/>
        </w:rPr>
        <w:t xml:space="preserve"> de otorgar a los partidos político</w:t>
      </w:r>
      <w:r w:rsidR="006E2B3F" w:rsidRPr="00A04585">
        <w:rPr>
          <w:rFonts w:ascii="Trebuchet MS" w:hAnsi="Trebuchet MS"/>
          <w:color w:val="000000"/>
          <w:sz w:val="24"/>
          <w:szCs w:val="24"/>
          <w:lang w:val="es-ES_tradnl" w:eastAsia="es-MX"/>
        </w:rPr>
        <w:t>s participantes</w:t>
      </w:r>
      <w:r w:rsidRPr="00A04585">
        <w:rPr>
          <w:rFonts w:ascii="Trebuchet MS" w:hAnsi="Trebuchet MS"/>
          <w:color w:val="000000"/>
          <w:sz w:val="24"/>
          <w:szCs w:val="24"/>
          <w:lang w:val="es-ES_tradnl" w:eastAsia="es-MX"/>
        </w:rPr>
        <w:t xml:space="preserve"> la misma porción de la </w:t>
      </w:r>
      <w:r w:rsidR="007F204A" w:rsidRPr="00A04585">
        <w:rPr>
          <w:rFonts w:ascii="Trebuchet MS" w:hAnsi="Trebuchet MS"/>
          <w:color w:val="000000"/>
          <w:sz w:val="24"/>
          <w:szCs w:val="24"/>
          <w:lang w:val="es-ES_tradnl" w:eastAsia="es-MX"/>
        </w:rPr>
        <w:t>parte igualitaria de</w:t>
      </w:r>
      <w:r w:rsidR="0088343D" w:rsidRPr="00A04585">
        <w:rPr>
          <w:rFonts w:ascii="Trebuchet MS" w:hAnsi="Trebuchet MS"/>
          <w:color w:val="000000"/>
          <w:sz w:val="24"/>
          <w:szCs w:val="24"/>
          <w:lang w:val="es-ES_tradnl" w:eastAsia="es-MX"/>
        </w:rPr>
        <w:t xml:space="preserve"> la</w:t>
      </w:r>
      <w:r w:rsidR="007F204A"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 xml:space="preserve">bolsa respectiva, además de que brinda la posibilidad de </w:t>
      </w:r>
      <w:r w:rsidR="006E2B3F" w:rsidRPr="00A04585">
        <w:rPr>
          <w:rFonts w:ascii="Trebuchet MS" w:hAnsi="Trebuchet MS"/>
          <w:color w:val="000000"/>
          <w:sz w:val="24"/>
          <w:szCs w:val="24"/>
          <w:lang w:val="es-ES_tradnl" w:eastAsia="es-MX"/>
        </w:rPr>
        <w:t>cumplir el mand</w:t>
      </w:r>
      <w:r w:rsidR="00ED2CE9" w:rsidRPr="00A04585">
        <w:rPr>
          <w:rFonts w:ascii="Trebuchet MS" w:hAnsi="Trebuchet MS"/>
          <w:color w:val="000000"/>
          <w:sz w:val="24"/>
          <w:szCs w:val="24"/>
          <w:lang w:val="es-ES_tradnl" w:eastAsia="es-MX"/>
        </w:rPr>
        <w:t>ato</w:t>
      </w:r>
      <w:r w:rsidR="006E2B3F" w:rsidRPr="00A04585">
        <w:rPr>
          <w:rFonts w:ascii="Trebuchet MS" w:hAnsi="Trebuchet MS"/>
          <w:color w:val="000000"/>
          <w:sz w:val="24"/>
          <w:szCs w:val="24"/>
          <w:lang w:val="es-ES_tradnl" w:eastAsia="es-MX"/>
        </w:rPr>
        <w:t xml:space="preserve"> constitucional de distrib</w:t>
      </w:r>
      <w:r w:rsidR="007F204A" w:rsidRPr="00A04585">
        <w:rPr>
          <w:rFonts w:ascii="Trebuchet MS" w:hAnsi="Trebuchet MS"/>
          <w:color w:val="000000"/>
          <w:sz w:val="24"/>
          <w:szCs w:val="24"/>
          <w:lang w:val="es-ES_tradnl" w:eastAsia="es-MX"/>
        </w:rPr>
        <w:t xml:space="preserve">uir la porción correspondiente de la bolsa </w:t>
      </w:r>
      <w:r w:rsidR="00ED2CE9" w:rsidRPr="00A04585">
        <w:rPr>
          <w:rFonts w:ascii="Trebuchet MS" w:hAnsi="Trebuchet MS"/>
          <w:color w:val="000000"/>
          <w:sz w:val="24"/>
          <w:szCs w:val="24"/>
          <w:lang w:val="es-ES_tradnl" w:eastAsia="es-MX"/>
        </w:rPr>
        <w:t>respectiva</w:t>
      </w:r>
      <w:r w:rsidR="007F204A" w:rsidRPr="00A04585">
        <w:rPr>
          <w:rFonts w:ascii="Trebuchet MS" w:hAnsi="Trebuchet MS"/>
          <w:color w:val="000000"/>
          <w:sz w:val="24"/>
          <w:szCs w:val="24"/>
          <w:lang w:val="es-ES_tradnl" w:eastAsia="es-MX"/>
        </w:rPr>
        <w:t xml:space="preserve">, sin que para ello se mezclen o  confundan los recursos destinados a los partidos nacionales con los locales, </w:t>
      </w:r>
      <w:r w:rsidR="00ED2CE9" w:rsidRPr="00A04585">
        <w:rPr>
          <w:rFonts w:ascii="Trebuchet MS" w:hAnsi="Trebuchet MS"/>
          <w:color w:val="000000"/>
          <w:sz w:val="24"/>
          <w:szCs w:val="24"/>
          <w:lang w:val="es-ES_tradnl" w:eastAsia="es-MX"/>
        </w:rPr>
        <w:t>ni viceversa, de suerte que</w:t>
      </w:r>
      <w:r w:rsidR="00DF2DFD" w:rsidRPr="00A04585">
        <w:rPr>
          <w:rFonts w:ascii="Trebuchet MS" w:hAnsi="Trebuchet MS"/>
          <w:color w:val="000000"/>
          <w:sz w:val="24"/>
          <w:szCs w:val="24"/>
          <w:lang w:val="es-ES_tradnl" w:eastAsia="es-MX"/>
        </w:rPr>
        <w:t>,</w:t>
      </w:r>
      <w:r w:rsidR="007F204A" w:rsidRPr="00A04585">
        <w:rPr>
          <w:rFonts w:ascii="Trebuchet MS" w:hAnsi="Trebuchet MS"/>
          <w:color w:val="000000"/>
          <w:sz w:val="24"/>
          <w:szCs w:val="24"/>
          <w:lang w:val="es-ES_tradnl" w:eastAsia="es-MX"/>
        </w:rPr>
        <w:t xml:space="preserve"> la forma de asignación que aquí se ha desarrollado </w:t>
      </w:r>
      <w:r w:rsidR="00DF2DFD" w:rsidRPr="00A04585">
        <w:rPr>
          <w:rFonts w:ascii="Trebuchet MS" w:hAnsi="Trebuchet MS"/>
          <w:color w:val="000000"/>
          <w:sz w:val="24"/>
          <w:szCs w:val="24"/>
          <w:lang w:val="es-ES_tradnl" w:eastAsia="es-MX"/>
        </w:rPr>
        <w:t>para distribuir el porcentaje del</w:t>
      </w:r>
      <w:r w:rsidR="00A26906" w:rsidRPr="00A04585">
        <w:rPr>
          <w:rFonts w:ascii="Trebuchet MS" w:hAnsi="Trebuchet MS"/>
          <w:color w:val="000000"/>
          <w:sz w:val="24"/>
          <w:szCs w:val="24"/>
          <w:lang w:val="es-ES_tradnl" w:eastAsia="es-MX"/>
        </w:rPr>
        <w:t xml:space="preserve"> </w:t>
      </w:r>
      <w:r w:rsidR="00A26906" w:rsidRPr="00242547">
        <w:rPr>
          <w:rFonts w:ascii="Trebuchet MS" w:hAnsi="Trebuchet MS"/>
          <w:color w:val="000000"/>
          <w:sz w:val="24"/>
          <w:szCs w:val="24"/>
          <w:lang w:val="es-ES_tradnl" w:eastAsia="es-MX"/>
        </w:rPr>
        <w:t>treinta por ciento</w:t>
      </w:r>
      <w:r w:rsidR="007F204A" w:rsidRPr="00A04585">
        <w:rPr>
          <w:rFonts w:ascii="Trebuchet MS" w:hAnsi="Trebuchet MS"/>
          <w:color w:val="000000"/>
          <w:sz w:val="24"/>
          <w:szCs w:val="24"/>
          <w:lang w:val="es-ES_tradnl" w:eastAsia="es-MX"/>
        </w:rPr>
        <w:t xml:space="preserve"> de cada bolsa</w:t>
      </w:r>
      <w:r w:rsidR="00ED2CE9" w:rsidRPr="00A04585">
        <w:rPr>
          <w:rFonts w:ascii="Trebuchet MS" w:hAnsi="Trebuchet MS"/>
          <w:color w:val="000000"/>
          <w:sz w:val="24"/>
          <w:szCs w:val="24"/>
          <w:lang w:val="es-ES_tradnl" w:eastAsia="es-MX"/>
        </w:rPr>
        <w:t>,</w:t>
      </w:r>
      <w:r w:rsidR="007F204A" w:rsidRPr="00A04585">
        <w:rPr>
          <w:rFonts w:ascii="Trebuchet MS" w:hAnsi="Trebuchet MS"/>
          <w:color w:val="000000"/>
          <w:sz w:val="24"/>
          <w:szCs w:val="24"/>
          <w:lang w:val="es-ES_tradnl" w:eastAsia="es-MX"/>
        </w:rPr>
        <w:t xml:space="preserve"> resulta conforme con el principio constitucional de equidad en </w:t>
      </w:r>
      <w:r w:rsidR="00ED2CE9" w:rsidRPr="00A04585">
        <w:rPr>
          <w:rFonts w:ascii="Trebuchet MS" w:hAnsi="Trebuchet MS"/>
          <w:color w:val="000000"/>
          <w:sz w:val="24"/>
          <w:szCs w:val="24"/>
          <w:lang w:val="es-ES_tradnl" w:eastAsia="es-MX"/>
        </w:rPr>
        <w:t>la distribución</w:t>
      </w:r>
      <w:r w:rsidR="007F204A" w:rsidRPr="00A04585">
        <w:rPr>
          <w:rFonts w:ascii="Trebuchet MS" w:hAnsi="Trebuchet MS"/>
          <w:color w:val="000000"/>
          <w:sz w:val="24"/>
          <w:szCs w:val="24"/>
          <w:lang w:val="es-ES_tradnl" w:eastAsia="es-MX"/>
        </w:rPr>
        <w:t xml:space="preserve"> del financiamiento local.</w:t>
      </w:r>
    </w:p>
    <w:p w14:paraId="01072313" w14:textId="77777777" w:rsidR="002B0F2B" w:rsidRPr="00242547" w:rsidRDefault="002B0F2B" w:rsidP="002E7CFF">
      <w:pPr>
        <w:pStyle w:val="Sinespaciado"/>
        <w:jc w:val="both"/>
        <w:rPr>
          <w:rFonts w:ascii="Trebuchet MS" w:hAnsi="Trebuchet MS"/>
          <w:color w:val="000000"/>
          <w:sz w:val="24"/>
          <w:szCs w:val="24"/>
          <w:lang w:val="es-ES_tradnl" w:eastAsia="es-MX"/>
        </w:rPr>
      </w:pPr>
    </w:p>
    <w:p w14:paraId="01CBF694" w14:textId="5181D30E" w:rsidR="00276C44" w:rsidRPr="00A04585" w:rsidRDefault="00276C4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Por lo</w:t>
      </w:r>
      <w:r w:rsidR="002B0F2B" w:rsidRPr="00A04585">
        <w:rPr>
          <w:rFonts w:ascii="Trebuchet MS" w:hAnsi="Trebuchet MS"/>
          <w:color w:val="000000"/>
          <w:sz w:val="24"/>
          <w:szCs w:val="24"/>
          <w:lang w:val="es-ES_tradnl" w:eastAsia="es-MX"/>
        </w:rPr>
        <w:t xml:space="preserve"> que</w:t>
      </w:r>
      <w:r w:rsidR="00CA4DFD" w:rsidRPr="00A04585">
        <w:rPr>
          <w:rFonts w:ascii="Trebuchet MS" w:hAnsi="Trebuchet MS"/>
          <w:color w:val="000000"/>
          <w:sz w:val="24"/>
          <w:szCs w:val="24"/>
          <w:lang w:val="es-ES_tradnl" w:eastAsia="es-MX"/>
        </w:rPr>
        <w:t xml:space="preserve"> ve al porcentaje que debe distribuirse conforme</w:t>
      </w:r>
      <w:r w:rsidR="0088343D" w:rsidRPr="00A04585">
        <w:rPr>
          <w:rFonts w:ascii="Trebuchet MS" w:hAnsi="Trebuchet MS"/>
          <w:color w:val="000000"/>
          <w:sz w:val="24"/>
          <w:szCs w:val="24"/>
          <w:lang w:val="es-ES_tradnl" w:eastAsia="es-MX"/>
        </w:rPr>
        <w:t xml:space="preserve"> a</w:t>
      </w:r>
      <w:r w:rsidR="00CA4DFD" w:rsidRPr="00A04585">
        <w:rPr>
          <w:rFonts w:ascii="Trebuchet MS" w:hAnsi="Trebuchet MS"/>
          <w:color w:val="000000"/>
          <w:sz w:val="24"/>
          <w:szCs w:val="24"/>
          <w:lang w:val="es-ES_tradnl" w:eastAsia="es-MX"/>
        </w:rPr>
        <w:t xml:space="preserve"> la votación</w:t>
      </w:r>
      <w:r w:rsidR="002B0F2B" w:rsidRPr="00A04585">
        <w:rPr>
          <w:rFonts w:ascii="Trebuchet MS" w:hAnsi="Trebuchet MS"/>
          <w:color w:val="000000"/>
          <w:sz w:val="24"/>
          <w:szCs w:val="24"/>
          <w:lang w:val="es-ES_tradnl" w:eastAsia="es-MX"/>
        </w:rPr>
        <w:t xml:space="preserve"> (70%)</w:t>
      </w:r>
      <w:r w:rsidRPr="00A04585">
        <w:rPr>
          <w:rFonts w:ascii="Trebuchet MS" w:hAnsi="Trebuchet MS"/>
          <w:color w:val="000000"/>
          <w:sz w:val="24"/>
          <w:szCs w:val="24"/>
          <w:lang w:val="es-ES_tradnl" w:eastAsia="es-MX"/>
        </w:rPr>
        <w:t xml:space="preserve">, </w:t>
      </w:r>
      <w:r w:rsidR="007442A7" w:rsidRPr="00A04585">
        <w:rPr>
          <w:rFonts w:ascii="Trebuchet MS" w:hAnsi="Trebuchet MS"/>
          <w:color w:val="000000"/>
          <w:sz w:val="24"/>
          <w:szCs w:val="24"/>
          <w:lang w:val="es-ES_tradnl" w:eastAsia="es-MX"/>
        </w:rPr>
        <w:t>debe considerarse que el hecho de que exista una fórmula para determinar el monto que se debe distribuir entre los partidos políticos nacionales y, otr</w:t>
      </w:r>
      <w:r w:rsidR="005019ED" w:rsidRPr="00A04585">
        <w:rPr>
          <w:rFonts w:ascii="Trebuchet MS" w:hAnsi="Trebuchet MS"/>
          <w:color w:val="000000"/>
          <w:sz w:val="24"/>
          <w:szCs w:val="24"/>
          <w:lang w:val="es-ES_tradnl" w:eastAsia="es-MX"/>
        </w:rPr>
        <w:t>a</w:t>
      </w:r>
      <w:r w:rsidR="007442A7" w:rsidRPr="00A04585">
        <w:rPr>
          <w:rFonts w:ascii="Trebuchet MS" w:hAnsi="Trebuchet MS"/>
          <w:color w:val="000000"/>
          <w:sz w:val="24"/>
          <w:szCs w:val="24"/>
          <w:lang w:val="es-ES_tradnl" w:eastAsia="es-MX"/>
        </w:rPr>
        <w:t xml:space="preserve">, para los locales, implica </w:t>
      </w:r>
      <w:r w:rsidR="005019ED" w:rsidRPr="00A04585">
        <w:rPr>
          <w:rFonts w:ascii="Trebuchet MS" w:hAnsi="Trebuchet MS"/>
          <w:color w:val="000000"/>
          <w:sz w:val="24"/>
          <w:szCs w:val="24"/>
          <w:lang w:val="es-ES_tradnl" w:eastAsia="es-MX"/>
        </w:rPr>
        <w:t>que los recursos de ambas bolsas no serán distribuidos en su totalidad</w:t>
      </w:r>
      <w:r w:rsidR="00781BAC" w:rsidRPr="00A04585">
        <w:rPr>
          <w:rFonts w:ascii="Trebuchet MS" w:hAnsi="Trebuchet MS"/>
          <w:color w:val="000000"/>
          <w:sz w:val="24"/>
          <w:szCs w:val="24"/>
          <w:lang w:val="es-ES_tradnl" w:eastAsia="es-MX"/>
        </w:rPr>
        <w:t>.</w:t>
      </w:r>
    </w:p>
    <w:p w14:paraId="337C923B" w14:textId="4D02AF82" w:rsidR="007442A7" w:rsidRPr="00242547" w:rsidRDefault="007442A7" w:rsidP="002E7CFF">
      <w:pPr>
        <w:pStyle w:val="Sinespaciado"/>
        <w:jc w:val="both"/>
        <w:rPr>
          <w:rFonts w:ascii="Trebuchet MS" w:hAnsi="Trebuchet MS"/>
          <w:color w:val="000000"/>
          <w:sz w:val="24"/>
          <w:szCs w:val="24"/>
          <w:lang w:val="es-ES_tradnl" w:eastAsia="es-MX"/>
        </w:rPr>
      </w:pPr>
    </w:p>
    <w:p w14:paraId="7B13F267" w14:textId="68EAC711" w:rsidR="007442A7" w:rsidRPr="00A04585" w:rsidRDefault="007442A7"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Lo anterior se razona porque de acuerdo </w:t>
      </w:r>
      <w:r w:rsidR="005019ED" w:rsidRPr="00A04585">
        <w:rPr>
          <w:rFonts w:ascii="Trebuchet MS" w:hAnsi="Trebuchet MS"/>
          <w:color w:val="000000"/>
          <w:sz w:val="24"/>
          <w:szCs w:val="24"/>
          <w:lang w:val="es-ES_tradnl" w:eastAsia="es-MX"/>
        </w:rPr>
        <w:t>con</w:t>
      </w:r>
      <w:r w:rsidRPr="00A04585">
        <w:rPr>
          <w:rFonts w:ascii="Trebuchet MS" w:hAnsi="Trebuchet MS"/>
          <w:color w:val="000000"/>
          <w:sz w:val="24"/>
          <w:szCs w:val="24"/>
          <w:lang w:val="es-ES_tradnl" w:eastAsia="es-MX"/>
        </w:rPr>
        <w:t xml:space="preserve"> los ordenamientos normativos que regulan </w:t>
      </w:r>
      <w:r w:rsidR="002610AB" w:rsidRPr="00A04585">
        <w:rPr>
          <w:rFonts w:ascii="Trebuchet MS" w:hAnsi="Trebuchet MS"/>
          <w:color w:val="000000"/>
          <w:sz w:val="24"/>
          <w:szCs w:val="24"/>
          <w:lang w:val="es-ES_tradnl" w:eastAsia="es-MX"/>
        </w:rPr>
        <w:t xml:space="preserve">la distribución de los recursos para </w:t>
      </w:r>
      <w:r w:rsidR="00781BAC" w:rsidRPr="00A04585">
        <w:rPr>
          <w:rFonts w:ascii="Trebuchet MS" w:hAnsi="Trebuchet MS"/>
          <w:color w:val="000000"/>
          <w:sz w:val="24"/>
          <w:szCs w:val="24"/>
          <w:lang w:val="es-ES_tradnl" w:eastAsia="es-MX"/>
        </w:rPr>
        <w:t>los partidos nacionales</w:t>
      </w:r>
      <w:r w:rsidR="002610AB" w:rsidRPr="00A04585">
        <w:rPr>
          <w:rFonts w:ascii="Trebuchet MS" w:hAnsi="Trebuchet MS"/>
          <w:color w:val="000000"/>
          <w:sz w:val="24"/>
          <w:szCs w:val="24"/>
          <w:lang w:val="es-ES_tradnl" w:eastAsia="es-MX"/>
        </w:rPr>
        <w:t xml:space="preserve"> y </w:t>
      </w:r>
      <w:r w:rsidR="00781BAC" w:rsidRPr="00A04585">
        <w:rPr>
          <w:rFonts w:ascii="Trebuchet MS" w:hAnsi="Trebuchet MS"/>
          <w:color w:val="000000"/>
          <w:sz w:val="24"/>
          <w:szCs w:val="24"/>
          <w:lang w:val="es-ES_tradnl" w:eastAsia="es-MX"/>
        </w:rPr>
        <w:t>locales</w:t>
      </w:r>
      <w:r w:rsidR="002610AB" w:rsidRPr="00A04585">
        <w:rPr>
          <w:rFonts w:ascii="Trebuchet MS" w:hAnsi="Trebuchet MS"/>
          <w:color w:val="000000"/>
          <w:sz w:val="24"/>
          <w:szCs w:val="24"/>
          <w:lang w:val="es-ES_tradnl" w:eastAsia="es-MX"/>
        </w:rPr>
        <w:t>, el setenta por ciento del monto de financiamiento debe repartirse co</w:t>
      </w:r>
      <w:r w:rsidR="00A63C2A" w:rsidRPr="00A04585">
        <w:rPr>
          <w:rFonts w:ascii="Trebuchet MS" w:hAnsi="Trebuchet MS"/>
          <w:color w:val="000000"/>
          <w:sz w:val="24"/>
          <w:szCs w:val="24"/>
          <w:lang w:val="es-ES_tradnl" w:eastAsia="es-MX"/>
        </w:rPr>
        <w:t>nforme a la fuerza electoral de</w:t>
      </w:r>
      <w:r w:rsidR="002610AB" w:rsidRPr="00A04585">
        <w:rPr>
          <w:rFonts w:ascii="Trebuchet MS" w:hAnsi="Trebuchet MS"/>
          <w:color w:val="000000"/>
          <w:sz w:val="24"/>
          <w:szCs w:val="24"/>
          <w:lang w:val="es-ES_tradnl" w:eastAsia="es-MX"/>
        </w:rPr>
        <w:t xml:space="preserve"> cada partido en la última elección</w:t>
      </w:r>
      <w:r w:rsidR="00F42829" w:rsidRPr="00A04585">
        <w:rPr>
          <w:rFonts w:ascii="Trebuchet MS" w:hAnsi="Trebuchet MS"/>
          <w:color w:val="000000"/>
          <w:sz w:val="24"/>
          <w:szCs w:val="24"/>
          <w:lang w:val="es-ES_tradnl" w:eastAsia="es-MX"/>
        </w:rPr>
        <w:t xml:space="preserve"> a diputaciones locales</w:t>
      </w:r>
      <w:r w:rsidR="002610AB" w:rsidRPr="00A04585">
        <w:rPr>
          <w:rFonts w:ascii="Trebuchet MS" w:hAnsi="Trebuchet MS"/>
          <w:color w:val="000000"/>
          <w:sz w:val="24"/>
          <w:szCs w:val="24"/>
          <w:lang w:val="es-ES_tradnl" w:eastAsia="es-MX"/>
        </w:rPr>
        <w:t>.</w:t>
      </w:r>
    </w:p>
    <w:p w14:paraId="75259AD8" w14:textId="3EB23818" w:rsidR="002610AB" w:rsidRPr="00A04585" w:rsidRDefault="002610AB" w:rsidP="002E7CFF">
      <w:pPr>
        <w:pStyle w:val="Sinespaciado"/>
        <w:jc w:val="both"/>
        <w:rPr>
          <w:rFonts w:ascii="Trebuchet MS" w:hAnsi="Trebuchet MS"/>
          <w:color w:val="000000"/>
          <w:sz w:val="24"/>
          <w:szCs w:val="24"/>
          <w:lang w:val="es-ES_tradnl" w:eastAsia="es-MX"/>
        </w:rPr>
      </w:pPr>
    </w:p>
    <w:p w14:paraId="561ED2A6" w14:textId="0C395502" w:rsidR="002610AB" w:rsidRPr="00A04585" w:rsidRDefault="002610A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esta forma, </w:t>
      </w:r>
      <w:r w:rsidR="00CF5011" w:rsidRPr="00A04585">
        <w:rPr>
          <w:rFonts w:ascii="Trebuchet MS" w:hAnsi="Trebuchet MS"/>
          <w:color w:val="000000"/>
          <w:sz w:val="24"/>
          <w:szCs w:val="24"/>
          <w:lang w:val="es-ES_tradnl" w:eastAsia="es-MX"/>
        </w:rPr>
        <w:t xml:space="preserve">dado que el porcentaje de votación obtenido por cada partido político </w:t>
      </w:r>
      <w:r w:rsidR="00781BAC" w:rsidRPr="00A04585">
        <w:rPr>
          <w:rFonts w:ascii="Trebuchet MS" w:hAnsi="Trebuchet MS"/>
          <w:color w:val="000000"/>
          <w:sz w:val="24"/>
          <w:szCs w:val="24"/>
          <w:lang w:val="es-ES_tradnl" w:eastAsia="es-MX"/>
        </w:rPr>
        <w:t>respecto</w:t>
      </w:r>
      <w:r w:rsidR="00CF5011" w:rsidRPr="00A04585">
        <w:rPr>
          <w:rFonts w:ascii="Trebuchet MS" w:hAnsi="Trebuchet MS"/>
          <w:color w:val="000000"/>
          <w:sz w:val="24"/>
          <w:szCs w:val="24"/>
          <w:lang w:val="es-ES_tradnl" w:eastAsia="es-MX"/>
        </w:rPr>
        <w:t xml:space="preserve"> </w:t>
      </w:r>
      <w:r w:rsidR="00781BAC" w:rsidRPr="00A04585">
        <w:rPr>
          <w:rFonts w:ascii="Trebuchet MS" w:hAnsi="Trebuchet MS"/>
          <w:color w:val="000000"/>
          <w:sz w:val="24"/>
          <w:szCs w:val="24"/>
          <w:lang w:val="es-ES_tradnl" w:eastAsia="es-MX"/>
        </w:rPr>
        <w:t xml:space="preserve">a </w:t>
      </w:r>
      <w:r w:rsidR="00CF5011" w:rsidRPr="00A04585">
        <w:rPr>
          <w:rFonts w:ascii="Trebuchet MS" w:hAnsi="Trebuchet MS"/>
          <w:color w:val="000000"/>
          <w:sz w:val="24"/>
          <w:szCs w:val="24"/>
          <w:lang w:val="es-ES_tradnl" w:eastAsia="es-MX"/>
        </w:rPr>
        <w:t>la votación válida estatal de la elección de diputaciones de mayoría relativa, constituye el parámetro para la determinación de la porción que corresponde a cada partido de la cantidad de dinero equivalente a la parte de la bolsa que se dis</w:t>
      </w:r>
      <w:r w:rsidR="00781BAC" w:rsidRPr="00A04585">
        <w:rPr>
          <w:rFonts w:ascii="Trebuchet MS" w:hAnsi="Trebuchet MS"/>
          <w:color w:val="000000"/>
          <w:sz w:val="24"/>
          <w:szCs w:val="24"/>
          <w:lang w:val="es-ES_tradnl" w:eastAsia="es-MX"/>
        </w:rPr>
        <w:t>tribuye proporcionalmente, lo conducente será considerar la votación de todos los partidos para obtener el cálculo correspondiente.</w:t>
      </w:r>
    </w:p>
    <w:p w14:paraId="653568ED" w14:textId="70EB29A3" w:rsidR="00CF5011" w:rsidRPr="00A04585" w:rsidRDefault="00CF5011" w:rsidP="002E7CFF">
      <w:pPr>
        <w:pStyle w:val="Sinespaciado"/>
        <w:jc w:val="both"/>
        <w:rPr>
          <w:rFonts w:ascii="Trebuchet MS" w:hAnsi="Trebuchet MS"/>
          <w:color w:val="000000"/>
          <w:sz w:val="24"/>
          <w:szCs w:val="24"/>
          <w:lang w:val="es-ES_tradnl" w:eastAsia="es-MX"/>
        </w:rPr>
      </w:pPr>
    </w:p>
    <w:p w14:paraId="3C641F54" w14:textId="6EA6B4DB" w:rsidR="006D07AD" w:rsidRPr="00A04585" w:rsidRDefault="00CF5011"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Al respecto, debe considerarse que</w:t>
      </w:r>
      <w:r w:rsidR="007C7AD3"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w:t>
      </w:r>
      <w:r w:rsidR="009A22FF" w:rsidRPr="00A04585">
        <w:rPr>
          <w:rFonts w:ascii="Trebuchet MS" w:hAnsi="Trebuchet MS"/>
          <w:color w:val="000000"/>
          <w:sz w:val="24"/>
          <w:szCs w:val="24"/>
          <w:lang w:val="es-ES_tradnl" w:eastAsia="es-MX"/>
        </w:rPr>
        <w:t xml:space="preserve">si en los comicios mencionados participaron tanto partidos nacionales como locales, la </w:t>
      </w:r>
      <w:r w:rsidR="00ED2CE9" w:rsidRPr="00A04585">
        <w:rPr>
          <w:rFonts w:ascii="Trebuchet MS" w:hAnsi="Trebuchet MS"/>
          <w:color w:val="000000"/>
          <w:sz w:val="24"/>
          <w:szCs w:val="24"/>
          <w:lang w:val="es-ES_tradnl" w:eastAsia="es-MX"/>
        </w:rPr>
        <w:t>relación proporcional</w:t>
      </w:r>
      <w:r w:rsidR="009A22FF" w:rsidRPr="00A04585">
        <w:rPr>
          <w:rFonts w:ascii="Trebuchet MS" w:hAnsi="Trebuchet MS"/>
          <w:color w:val="000000"/>
          <w:sz w:val="24"/>
          <w:szCs w:val="24"/>
          <w:lang w:val="es-ES_tradnl" w:eastAsia="es-MX"/>
        </w:rPr>
        <w:t xml:space="preserve"> entre el financiamiento </w:t>
      </w:r>
      <w:r w:rsidR="00ED2CE9" w:rsidRPr="00A04585">
        <w:rPr>
          <w:rFonts w:ascii="Trebuchet MS" w:hAnsi="Trebuchet MS"/>
          <w:color w:val="000000"/>
          <w:sz w:val="24"/>
          <w:szCs w:val="24"/>
          <w:lang w:val="es-ES_tradnl" w:eastAsia="es-MX"/>
        </w:rPr>
        <w:t>y</w:t>
      </w:r>
      <w:r w:rsidR="00781BAC" w:rsidRPr="00A04585">
        <w:rPr>
          <w:rFonts w:ascii="Trebuchet MS" w:hAnsi="Trebuchet MS"/>
          <w:color w:val="000000"/>
          <w:sz w:val="24"/>
          <w:szCs w:val="24"/>
          <w:lang w:val="es-ES_tradnl" w:eastAsia="es-MX"/>
        </w:rPr>
        <w:t xml:space="preserve"> la votación recibida</w:t>
      </w:r>
      <w:r w:rsidR="009A22FF" w:rsidRPr="00A04585">
        <w:rPr>
          <w:rFonts w:ascii="Trebuchet MS" w:hAnsi="Trebuchet MS"/>
          <w:color w:val="000000"/>
          <w:sz w:val="24"/>
          <w:szCs w:val="24"/>
          <w:lang w:val="es-ES_tradnl" w:eastAsia="es-MX"/>
        </w:rPr>
        <w:t xml:space="preserve"> sólo podrá mantenerse en l</w:t>
      </w:r>
      <w:r w:rsidR="006D07AD" w:rsidRPr="00A04585">
        <w:rPr>
          <w:rFonts w:ascii="Trebuchet MS" w:hAnsi="Trebuchet MS"/>
          <w:color w:val="000000"/>
          <w:sz w:val="24"/>
          <w:szCs w:val="24"/>
          <w:lang w:val="es-ES_tradnl" w:eastAsia="es-MX"/>
        </w:rPr>
        <w:t>a medida que se consideren efectivamente los sufragios de todos los partidos (nacionales y locales) con derecho a recibirlo</w:t>
      </w:r>
      <w:r w:rsidR="008239F9" w:rsidRPr="00A04585">
        <w:rPr>
          <w:rFonts w:ascii="Trebuchet MS" w:hAnsi="Trebuchet MS"/>
          <w:color w:val="000000"/>
          <w:sz w:val="24"/>
          <w:szCs w:val="24"/>
          <w:lang w:val="es-ES_tradnl" w:eastAsia="es-MX"/>
        </w:rPr>
        <w:t>, pues ello reflejará fielmente la proporción que cada uno consiguió del total de la votación.</w:t>
      </w:r>
    </w:p>
    <w:p w14:paraId="3F5BECFE" w14:textId="449F9687" w:rsidR="007C7AD3" w:rsidRPr="00A04585" w:rsidRDefault="007C7AD3" w:rsidP="002E7CFF">
      <w:pPr>
        <w:pStyle w:val="Sinespaciado"/>
        <w:jc w:val="both"/>
        <w:rPr>
          <w:rFonts w:ascii="Trebuchet MS" w:hAnsi="Trebuchet MS"/>
          <w:color w:val="000000"/>
          <w:sz w:val="24"/>
          <w:szCs w:val="24"/>
          <w:lang w:val="es-ES_tradnl" w:eastAsia="es-MX"/>
        </w:rPr>
      </w:pPr>
    </w:p>
    <w:p w14:paraId="395E931C" w14:textId="35199AA2" w:rsidR="007C7AD3" w:rsidRPr="00A04585" w:rsidRDefault="00781BA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Entonces, a los</w:t>
      </w:r>
      <w:r w:rsidR="007C7AD3" w:rsidRPr="00A04585">
        <w:rPr>
          <w:rFonts w:ascii="Trebuchet MS" w:hAnsi="Trebuchet MS"/>
          <w:color w:val="000000"/>
          <w:sz w:val="24"/>
          <w:szCs w:val="24"/>
          <w:lang w:val="es-ES_tradnl" w:eastAsia="es-MX"/>
        </w:rPr>
        <w:t xml:space="preserve"> partido</w:t>
      </w:r>
      <w:r w:rsidRPr="00A04585">
        <w:rPr>
          <w:rFonts w:ascii="Trebuchet MS" w:hAnsi="Trebuchet MS"/>
          <w:color w:val="000000"/>
          <w:sz w:val="24"/>
          <w:szCs w:val="24"/>
          <w:lang w:val="es-ES_tradnl" w:eastAsia="es-MX"/>
        </w:rPr>
        <w:t>s</w:t>
      </w:r>
      <w:r w:rsidR="007C7AD3" w:rsidRPr="00A04585">
        <w:rPr>
          <w:rFonts w:ascii="Trebuchet MS" w:hAnsi="Trebuchet MS"/>
          <w:color w:val="000000"/>
          <w:sz w:val="24"/>
          <w:szCs w:val="24"/>
          <w:lang w:val="es-ES_tradnl" w:eastAsia="es-MX"/>
        </w:rPr>
        <w:t xml:space="preserve"> político</w:t>
      </w:r>
      <w:r w:rsidRPr="00A04585">
        <w:rPr>
          <w:rFonts w:ascii="Trebuchet MS" w:hAnsi="Trebuchet MS"/>
          <w:color w:val="000000"/>
          <w:sz w:val="24"/>
          <w:szCs w:val="24"/>
          <w:lang w:val="es-ES_tradnl" w:eastAsia="es-MX"/>
        </w:rPr>
        <w:t>s</w:t>
      </w:r>
      <w:r w:rsidR="007C7AD3" w:rsidRPr="00A04585">
        <w:rPr>
          <w:rFonts w:ascii="Trebuchet MS" w:hAnsi="Trebuchet MS"/>
          <w:color w:val="000000"/>
          <w:sz w:val="24"/>
          <w:szCs w:val="24"/>
          <w:lang w:val="es-ES_tradnl" w:eastAsia="es-MX"/>
        </w:rPr>
        <w:t xml:space="preserve"> deberá </w:t>
      </w:r>
      <w:r w:rsidRPr="00A04585">
        <w:rPr>
          <w:rFonts w:ascii="Trebuchet MS" w:hAnsi="Trebuchet MS"/>
          <w:color w:val="000000"/>
          <w:sz w:val="24"/>
          <w:szCs w:val="24"/>
          <w:lang w:val="es-ES_tradnl" w:eastAsia="es-MX"/>
        </w:rPr>
        <w:t>asignárseles</w:t>
      </w:r>
      <w:r w:rsidR="00962CCF" w:rsidRPr="00A04585">
        <w:rPr>
          <w:rFonts w:ascii="Trebuchet MS" w:hAnsi="Trebuchet MS"/>
          <w:color w:val="000000"/>
          <w:sz w:val="24"/>
          <w:szCs w:val="24"/>
          <w:lang w:val="es-ES_tradnl" w:eastAsia="es-MX"/>
        </w:rPr>
        <w:t xml:space="preserve"> </w:t>
      </w:r>
      <w:r w:rsidR="00F311D0" w:rsidRPr="00A04585">
        <w:rPr>
          <w:rFonts w:ascii="Trebuchet MS" w:hAnsi="Trebuchet MS"/>
          <w:color w:val="000000"/>
          <w:sz w:val="24"/>
          <w:szCs w:val="24"/>
          <w:lang w:val="es-ES_tradnl" w:eastAsia="es-MX"/>
        </w:rPr>
        <w:t>el financiamien</w:t>
      </w:r>
      <w:r w:rsidR="00EA1A59" w:rsidRPr="00A04585">
        <w:rPr>
          <w:rFonts w:ascii="Trebuchet MS" w:hAnsi="Trebuchet MS"/>
          <w:color w:val="000000"/>
          <w:sz w:val="24"/>
          <w:szCs w:val="24"/>
          <w:lang w:val="es-ES_tradnl" w:eastAsia="es-MX"/>
        </w:rPr>
        <w:t xml:space="preserve">to relativo a la parte </w:t>
      </w:r>
      <w:r w:rsidRPr="00A04585">
        <w:rPr>
          <w:rFonts w:ascii="Trebuchet MS" w:hAnsi="Trebuchet MS"/>
          <w:color w:val="000000"/>
          <w:sz w:val="24"/>
          <w:szCs w:val="24"/>
          <w:lang w:val="es-ES_tradnl" w:eastAsia="es-MX"/>
        </w:rPr>
        <w:t>de cada</w:t>
      </w:r>
      <w:r w:rsidR="00EA1A59" w:rsidRPr="00A04585">
        <w:rPr>
          <w:rFonts w:ascii="Trebuchet MS" w:hAnsi="Trebuchet MS"/>
          <w:color w:val="000000"/>
          <w:sz w:val="24"/>
          <w:szCs w:val="24"/>
          <w:lang w:val="es-ES_tradnl" w:eastAsia="es-MX"/>
        </w:rPr>
        <w:t xml:space="preserve"> bolsa </w:t>
      </w:r>
      <w:r w:rsidRPr="00A04585">
        <w:rPr>
          <w:rFonts w:ascii="Trebuchet MS" w:hAnsi="Trebuchet MS"/>
          <w:color w:val="000000"/>
          <w:sz w:val="24"/>
          <w:szCs w:val="24"/>
          <w:lang w:val="es-ES_tradnl" w:eastAsia="es-MX"/>
        </w:rPr>
        <w:t>que se distribuye proporcionalmente</w:t>
      </w:r>
      <w:r w:rsidR="00EA1A59"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w:t>
      </w:r>
      <w:r w:rsidR="00B464D9" w:rsidRPr="00A04585">
        <w:rPr>
          <w:rFonts w:ascii="Trebuchet MS" w:hAnsi="Trebuchet MS"/>
          <w:color w:val="000000"/>
          <w:sz w:val="24"/>
          <w:szCs w:val="24"/>
          <w:lang w:val="es-ES_tradnl" w:eastAsia="es-MX"/>
        </w:rPr>
        <w:t>conforme al porcentaje de votación obtenido, en relación con la porción que esa cantidad de sufragios represente de la totalidad de l</w:t>
      </w:r>
      <w:r w:rsidR="008239F9" w:rsidRPr="00A04585">
        <w:rPr>
          <w:rFonts w:ascii="Trebuchet MS" w:hAnsi="Trebuchet MS"/>
          <w:color w:val="000000"/>
          <w:sz w:val="24"/>
          <w:szCs w:val="24"/>
          <w:lang w:val="es-ES_tradnl" w:eastAsia="es-MX"/>
        </w:rPr>
        <w:t xml:space="preserve">os recibidos por </w:t>
      </w:r>
      <w:r w:rsidR="00B464D9" w:rsidRPr="00A04585">
        <w:rPr>
          <w:rFonts w:ascii="Trebuchet MS" w:hAnsi="Trebuchet MS"/>
          <w:color w:val="000000"/>
          <w:sz w:val="24"/>
          <w:szCs w:val="24"/>
          <w:lang w:val="es-ES_tradnl" w:eastAsia="es-MX"/>
        </w:rPr>
        <w:t>partidos nacionales y locales con derecho a recibir financiamiento</w:t>
      </w:r>
      <w:r w:rsidR="00EA1A59" w:rsidRPr="00A04585">
        <w:rPr>
          <w:rFonts w:ascii="Trebuchet MS" w:hAnsi="Trebuchet MS"/>
          <w:color w:val="000000"/>
          <w:sz w:val="24"/>
          <w:szCs w:val="24"/>
          <w:lang w:val="es-ES_tradnl" w:eastAsia="es-MX"/>
        </w:rPr>
        <w:t>, con la finalidad de que no se distorsione el porcentaje respectivo.</w:t>
      </w:r>
    </w:p>
    <w:p w14:paraId="7125F582" w14:textId="5848680C" w:rsidR="00EA1A59" w:rsidRPr="00A04585" w:rsidRDefault="00EA1A59" w:rsidP="002E7CFF">
      <w:pPr>
        <w:pStyle w:val="Sinespaciado"/>
        <w:jc w:val="both"/>
        <w:rPr>
          <w:rFonts w:ascii="Trebuchet MS" w:hAnsi="Trebuchet MS"/>
          <w:color w:val="000000"/>
          <w:sz w:val="24"/>
          <w:szCs w:val="24"/>
          <w:lang w:val="es-ES_tradnl" w:eastAsia="es-MX"/>
        </w:rPr>
      </w:pPr>
    </w:p>
    <w:p w14:paraId="6CCC7CE2" w14:textId="56E26917" w:rsidR="00EA1A59" w:rsidRPr="00A04585" w:rsidRDefault="00EA1A5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Es decir, para distribuir el</w:t>
      </w:r>
      <w:r w:rsidR="008239F9" w:rsidRPr="00A04585">
        <w:rPr>
          <w:rFonts w:ascii="Trebuchet MS" w:hAnsi="Trebuchet MS"/>
          <w:color w:val="000000"/>
          <w:sz w:val="24"/>
          <w:szCs w:val="24"/>
          <w:lang w:val="es-ES_tradnl" w:eastAsia="es-MX"/>
        </w:rPr>
        <w:t xml:space="preserve"> total del monto que equivale al</w:t>
      </w:r>
      <w:r w:rsidR="000D5B07" w:rsidRPr="00A04585">
        <w:rPr>
          <w:rFonts w:ascii="Trebuchet MS" w:hAnsi="Trebuchet MS"/>
          <w:color w:val="000000"/>
          <w:sz w:val="24"/>
          <w:szCs w:val="24"/>
          <w:lang w:val="es-ES_tradnl" w:eastAsia="es-MX"/>
        </w:rPr>
        <w:t xml:space="preserve"> </w:t>
      </w:r>
      <w:r w:rsidR="000D5B07" w:rsidRPr="00242547">
        <w:rPr>
          <w:rFonts w:ascii="Trebuchet MS" w:hAnsi="Trebuchet MS"/>
          <w:color w:val="000000"/>
          <w:sz w:val="24"/>
          <w:szCs w:val="24"/>
          <w:lang w:val="es-ES_tradnl" w:eastAsia="es-MX"/>
        </w:rPr>
        <w:t>setenta por ciento</w:t>
      </w:r>
      <w:r w:rsidRPr="00A04585">
        <w:rPr>
          <w:rFonts w:ascii="Trebuchet MS" w:hAnsi="Trebuchet MS"/>
          <w:color w:val="000000"/>
          <w:sz w:val="24"/>
          <w:szCs w:val="24"/>
          <w:lang w:val="es-ES_tradnl" w:eastAsia="es-MX"/>
        </w:rPr>
        <w:t xml:space="preserve"> </w:t>
      </w:r>
      <w:r w:rsidR="008239F9" w:rsidRPr="00A04585">
        <w:rPr>
          <w:rFonts w:ascii="Trebuchet MS" w:hAnsi="Trebuchet MS"/>
          <w:color w:val="000000"/>
          <w:sz w:val="24"/>
          <w:szCs w:val="24"/>
          <w:lang w:val="es-ES_tradnl" w:eastAsia="es-MX"/>
        </w:rPr>
        <w:t xml:space="preserve">de cada bolsa, </w:t>
      </w:r>
      <w:r w:rsidRPr="00A04585">
        <w:rPr>
          <w:rFonts w:ascii="Trebuchet MS" w:hAnsi="Trebuchet MS"/>
          <w:color w:val="000000"/>
          <w:sz w:val="24"/>
          <w:szCs w:val="24"/>
          <w:lang w:val="es-ES_tradnl" w:eastAsia="es-MX"/>
        </w:rPr>
        <w:t>se</w:t>
      </w:r>
      <w:r w:rsidR="008239F9" w:rsidRPr="00A04585">
        <w:rPr>
          <w:rFonts w:ascii="Trebuchet MS" w:hAnsi="Trebuchet MS"/>
          <w:color w:val="000000"/>
          <w:sz w:val="24"/>
          <w:szCs w:val="24"/>
          <w:lang w:val="es-ES_tradnl" w:eastAsia="es-MX"/>
        </w:rPr>
        <w:t>rá</w:t>
      </w:r>
      <w:r w:rsidRPr="00A04585">
        <w:rPr>
          <w:rFonts w:ascii="Trebuchet MS" w:hAnsi="Trebuchet MS"/>
          <w:color w:val="000000"/>
          <w:sz w:val="24"/>
          <w:szCs w:val="24"/>
          <w:lang w:val="es-ES_tradnl" w:eastAsia="es-MX"/>
        </w:rPr>
        <w:t xml:space="preserve"> </w:t>
      </w:r>
      <w:r w:rsidR="00781BAC" w:rsidRPr="00A04585">
        <w:rPr>
          <w:rFonts w:ascii="Trebuchet MS" w:hAnsi="Trebuchet MS"/>
          <w:color w:val="000000"/>
          <w:sz w:val="24"/>
          <w:szCs w:val="24"/>
          <w:lang w:val="es-ES_tradnl" w:eastAsia="es-MX"/>
        </w:rPr>
        <w:t>calcula</w:t>
      </w:r>
      <w:r w:rsidR="008239F9" w:rsidRPr="00A04585">
        <w:rPr>
          <w:rFonts w:ascii="Trebuchet MS" w:hAnsi="Trebuchet MS"/>
          <w:color w:val="000000"/>
          <w:sz w:val="24"/>
          <w:szCs w:val="24"/>
          <w:lang w:val="es-ES_tradnl" w:eastAsia="es-MX"/>
        </w:rPr>
        <w:t>d</w:t>
      </w:r>
      <w:r w:rsidR="00F23F1B" w:rsidRPr="00A04585">
        <w:rPr>
          <w:rFonts w:ascii="Trebuchet MS" w:hAnsi="Trebuchet MS"/>
          <w:color w:val="000000"/>
          <w:sz w:val="24"/>
          <w:szCs w:val="24"/>
          <w:lang w:val="es-ES_tradnl" w:eastAsia="es-MX"/>
        </w:rPr>
        <w:t xml:space="preserve">o el monto </w:t>
      </w:r>
      <w:r w:rsidR="00B51693" w:rsidRPr="00A04585">
        <w:rPr>
          <w:rFonts w:ascii="Trebuchet MS" w:hAnsi="Trebuchet MS"/>
          <w:color w:val="000000"/>
          <w:sz w:val="24"/>
          <w:szCs w:val="24"/>
          <w:lang w:val="es-ES_tradnl" w:eastAsia="es-MX"/>
        </w:rPr>
        <w:t>correspondiente. Enseguida,</w:t>
      </w:r>
      <w:r w:rsidRPr="00A04585">
        <w:rPr>
          <w:rFonts w:ascii="Trebuchet MS" w:hAnsi="Trebuchet MS"/>
          <w:color w:val="000000"/>
          <w:sz w:val="24"/>
          <w:szCs w:val="24"/>
          <w:lang w:val="es-ES_tradnl" w:eastAsia="es-MX"/>
        </w:rPr>
        <w:t xml:space="preserve"> se obtendrá la votación válida de todos los partidos nacionales y locales con derecho a participar en el financiamiento y serán sumados los sufragios para obtener un cien por ciento</w:t>
      </w:r>
      <w:r w:rsidR="00C72337" w:rsidRPr="00A04585">
        <w:rPr>
          <w:rFonts w:ascii="Trebuchet MS" w:hAnsi="Trebuchet MS"/>
          <w:color w:val="000000"/>
          <w:sz w:val="24"/>
          <w:szCs w:val="24"/>
          <w:lang w:val="es-ES_tradnl" w:eastAsia="es-MX"/>
        </w:rPr>
        <w:t xml:space="preserve"> de votación válida</w:t>
      </w:r>
      <w:r w:rsidR="008239F9" w:rsidRPr="00A04585">
        <w:rPr>
          <w:rFonts w:ascii="Trebuchet MS" w:hAnsi="Trebuchet MS"/>
          <w:color w:val="000000"/>
          <w:sz w:val="24"/>
          <w:szCs w:val="24"/>
          <w:lang w:val="es-ES_tradnl" w:eastAsia="es-MX"/>
        </w:rPr>
        <w:t>. R</w:t>
      </w:r>
      <w:r w:rsidRPr="00A04585">
        <w:rPr>
          <w:rFonts w:ascii="Trebuchet MS" w:hAnsi="Trebuchet MS"/>
          <w:color w:val="000000"/>
          <w:sz w:val="24"/>
          <w:szCs w:val="24"/>
          <w:lang w:val="es-ES_tradnl" w:eastAsia="es-MX"/>
        </w:rPr>
        <w:t xml:space="preserve">especto </w:t>
      </w:r>
      <w:r w:rsidR="008239F9" w:rsidRPr="00A04585">
        <w:rPr>
          <w:rFonts w:ascii="Trebuchet MS" w:hAnsi="Trebuchet MS"/>
          <w:color w:val="000000"/>
          <w:sz w:val="24"/>
          <w:szCs w:val="24"/>
          <w:lang w:val="es-ES_tradnl" w:eastAsia="es-MX"/>
        </w:rPr>
        <w:t>a ese total se</w:t>
      </w:r>
      <w:r w:rsidRPr="00A04585">
        <w:rPr>
          <w:rFonts w:ascii="Trebuchet MS" w:hAnsi="Trebuchet MS"/>
          <w:color w:val="000000"/>
          <w:sz w:val="24"/>
          <w:szCs w:val="24"/>
          <w:lang w:val="es-ES_tradnl" w:eastAsia="es-MX"/>
        </w:rPr>
        <w:t xml:space="preserve"> calculará el porcentaje que corresponde a cada partido</w:t>
      </w:r>
      <w:r w:rsidR="00B51693" w:rsidRPr="00A04585">
        <w:rPr>
          <w:rFonts w:ascii="Trebuchet MS" w:hAnsi="Trebuchet MS"/>
          <w:color w:val="000000"/>
          <w:sz w:val="24"/>
          <w:szCs w:val="24"/>
          <w:lang w:val="es-ES_tradnl" w:eastAsia="es-MX"/>
        </w:rPr>
        <w:t xml:space="preserve"> de acuerdo </w:t>
      </w:r>
      <w:r w:rsidR="005019ED" w:rsidRPr="00A04585">
        <w:rPr>
          <w:rFonts w:ascii="Trebuchet MS" w:hAnsi="Trebuchet MS"/>
          <w:color w:val="000000"/>
          <w:sz w:val="24"/>
          <w:szCs w:val="24"/>
          <w:lang w:val="es-ES_tradnl" w:eastAsia="es-MX"/>
        </w:rPr>
        <w:t xml:space="preserve">con </w:t>
      </w:r>
      <w:r w:rsidR="00B51693" w:rsidRPr="00A04585">
        <w:rPr>
          <w:rFonts w:ascii="Trebuchet MS" w:hAnsi="Trebuchet MS"/>
          <w:color w:val="000000"/>
          <w:sz w:val="24"/>
          <w:szCs w:val="24"/>
          <w:lang w:val="es-ES_tradnl" w:eastAsia="es-MX"/>
        </w:rPr>
        <w:t>los votos recibidos y una vez determinado</w:t>
      </w:r>
      <w:r w:rsidRPr="00A04585">
        <w:rPr>
          <w:rFonts w:ascii="Trebuchet MS" w:hAnsi="Trebuchet MS"/>
          <w:color w:val="000000"/>
          <w:sz w:val="24"/>
          <w:szCs w:val="24"/>
          <w:lang w:val="es-ES_tradnl" w:eastAsia="es-MX"/>
        </w:rPr>
        <w:t xml:space="preserve"> éste,</w:t>
      </w:r>
      <w:r w:rsidR="00C546BA" w:rsidRPr="00A04585">
        <w:rPr>
          <w:rFonts w:ascii="Trebuchet MS" w:hAnsi="Trebuchet MS"/>
          <w:color w:val="000000"/>
          <w:sz w:val="24"/>
          <w:szCs w:val="24"/>
          <w:lang w:val="es-ES_tradnl" w:eastAsia="es-MX"/>
        </w:rPr>
        <w:t xml:space="preserve"> se le aplica</w:t>
      </w:r>
      <w:r w:rsidR="00A85A2A" w:rsidRPr="00A04585">
        <w:rPr>
          <w:rFonts w:ascii="Trebuchet MS" w:hAnsi="Trebuchet MS"/>
          <w:color w:val="000000"/>
          <w:sz w:val="24"/>
          <w:szCs w:val="24"/>
          <w:lang w:val="es-ES_tradnl" w:eastAsia="es-MX"/>
        </w:rPr>
        <w:t>rá</w:t>
      </w:r>
      <w:r w:rsidR="00C546BA" w:rsidRPr="00A04585">
        <w:rPr>
          <w:rFonts w:ascii="Trebuchet MS" w:hAnsi="Trebuchet MS"/>
          <w:color w:val="000000"/>
          <w:sz w:val="24"/>
          <w:szCs w:val="24"/>
          <w:lang w:val="es-ES_tradnl" w:eastAsia="es-MX"/>
        </w:rPr>
        <w:t xml:space="preserve"> </w:t>
      </w:r>
      <w:r w:rsidR="00B51693" w:rsidRPr="00A04585">
        <w:rPr>
          <w:rFonts w:ascii="Trebuchet MS" w:hAnsi="Trebuchet MS"/>
          <w:color w:val="000000"/>
          <w:sz w:val="24"/>
          <w:szCs w:val="24"/>
          <w:lang w:val="es-ES_tradnl" w:eastAsia="es-MX"/>
        </w:rPr>
        <w:t>e</w:t>
      </w:r>
      <w:r w:rsidR="008239F9" w:rsidRPr="00A04585">
        <w:rPr>
          <w:rFonts w:ascii="Trebuchet MS" w:hAnsi="Trebuchet MS"/>
          <w:color w:val="000000"/>
          <w:sz w:val="24"/>
          <w:szCs w:val="24"/>
          <w:lang w:val="es-ES_tradnl" w:eastAsia="es-MX"/>
        </w:rPr>
        <w:t xml:space="preserve">se </w:t>
      </w:r>
      <w:r w:rsidR="00B51693" w:rsidRPr="00A04585">
        <w:rPr>
          <w:rFonts w:ascii="Trebuchet MS" w:hAnsi="Trebuchet MS"/>
          <w:color w:val="000000"/>
          <w:sz w:val="24"/>
          <w:szCs w:val="24"/>
          <w:lang w:val="es-ES_tradnl" w:eastAsia="es-MX"/>
        </w:rPr>
        <w:t xml:space="preserve">porcentaje </w:t>
      </w:r>
      <w:r w:rsidR="00C546BA" w:rsidRPr="00A04585">
        <w:rPr>
          <w:rFonts w:ascii="Trebuchet MS" w:hAnsi="Trebuchet MS"/>
          <w:color w:val="000000"/>
          <w:sz w:val="24"/>
          <w:szCs w:val="24"/>
          <w:lang w:val="es-ES_tradnl" w:eastAsia="es-MX"/>
        </w:rPr>
        <w:t>al monto</w:t>
      </w:r>
      <w:r w:rsidR="008239F9" w:rsidRPr="00A04585">
        <w:rPr>
          <w:rFonts w:ascii="Trebuchet MS" w:hAnsi="Trebuchet MS"/>
          <w:color w:val="000000"/>
          <w:sz w:val="24"/>
          <w:szCs w:val="24"/>
          <w:lang w:val="es-ES_tradnl" w:eastAsia="es-MX"/>
        </w:rPr>
        <w:t xml:space="preserve"> de financiamiento</w:t>
      </w:r>
      <w:r w:rsidR="00C546BA" w:rsidRPr="00A04585">
        <w:rPr>
          <w:rFonts w:ascii="Trebuchet MS" w:hAnsi="Trebuchet MS"/>
          <w:color w:val="000000"/>
          <w:sz w:val="24"/>
          <w:szCs w:val="24"/>
          <w:lang w:val="es-ES_tradnl" w:eastAsia="es-MX"/>
        </w:rPr>
        <w:t xml:space="preserve"> a repartir bajo el principio de proporcionalidad de votación.</w:t>
      </w:r>
    </w:p>
    <w:p w14:paraId="5E38BA68" w14:textId="41540358" w:rsidR="00C546BA" w:rsidRPr="00A04585" w:rsidRDefault="00C546BA" w:rsidP="002E7CFF">
      <w:pPr>
        <w:pStyle w:val="Sinespaciado"/>
        <w:jc w:val="both"/>
        <w:rPr>
          <w:rFonts w:ascii="Trebuchet MS" w:hAnsi="Trebuchet MS"/>
          <w:color w:val="000000"/>
          <w:sz w:val="24"/>
          <w:szCs w:val="24"/>
          <w:lang w:val="es-ES_tradnl" w:eastAsia="es-MX"/>
        </w:rPr>
      </w:pPr>
    </w:p>
    <w:p w14:paraId="4F111F75" w14:textId="6C067DFE" w:rsidR="00C546BA" w:rsidRPr="00A04585" w:rsidRDefault="00C546BA"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Desde luego, ello tendrá como efecto que </w:t>
      </w:r>
      <w:r w:rsidR="00C72337" w:rsidRPr="00A04585">
        <w:rPr>
          <w:rFonts w:ascii="Trebuchet MS" w:hAnsi="Trebuchet MS"/>
          <w:color w:val="000000"/>
          <w:sz w:val="24"/>
          <w:szCs w:val="24"/>
          <w:lang w:val="es-ES_tradnl" w:eastAsia="es-MX"/>
        </w:rPr>
        <w:t>del total de la cantidad que corresponda a la parte de cada una de las bolsas que deba distribuirse bajo ese principio</w:t>
      </w:r>
      <w:r w:rsidR="00A85A2A" w:rsidRPr="00A04585">
        <w:rPr>
          <w:rFonts w:ascii="Trebuchet MS" w:hAnsi="Trebuchet MS"/>
          <w:color w:val="000000"/>
          <w:sz w:val="24"/>
          <w:szCs w:val="24"/>
          <w:lang w:val="es-ES_tradnl" w:eastAsia="es-MX"/>
        </w:rPr>
        <w:t xml:space="preserve"> (70%)</w:t>
      </w:r>
      <w:r w:rsidR="00C72337" w:rsidRPr="00A04585">
        <w:rPr>
          <w:rFonts w:ascii="Trebuchet MS" w:hAnsi="Trebuchet MS"/>
          <w:color w:val="000000"/>
          <w:sz w:val="24"/>
          <w:szCs w:val="24"/>
          <w:lang w:val="es-ES_tradnl" w:eastAsia="es-MX"/>
        </w:rPr>
        <w:t xml:space="preserve">, quede </w:t>
      </w:r>
      <w:r w:rsidR="00B51693" w:rsidRPr="00A04585">
        <w:rPr>
          <w:rFonts w:ascii="Trebuchet MS" w:hAnsi="Trebuchet MS"/>
          <w:color w:val="000000"/>
          <w:sz w:val="24"/>
          <w:szCs w:val="24"/>
          <w:lang w:val="es-ES_tradnl" w:eastAsia="es-MX"/>
        </w:rPr>
        <w:t>algún remanente</w:t>
      </w:r>
      <w:r w:rsidR="00C72337" w:rsidRPr="00A04585">
        <w:rPr>
          <w:rFonts w:ascii="Trebuchet MS" w:hAnsi="Trebuchet MS"/>
          <w:color w:val="000000"/>
          <w:sz w:val="24"/>
          <w:szCs w:val="24"/>
          <w:lang w:val="es-ES_tradnl" w:eastAsia="es-MX"/>
        </w:rPr>
        <w:t xml:space="preserve"> sin distribuir. </w:t>
      </w:r>
    </w:p>
    <w:p w14:paraId="4D37BC98" w14:textId="6E4AFE5D" w:rsidR="00C72337" w:rsidRPr="00A04585" w:rsidRDefault="00C72337" w:rsidP="002E7CFF">
      <w:pPr>
        <w:pStyle w:val="Sinespaciado"/>
        <w:jc w:val="both"/>
        <w:rPr>
          <w:rFonts w:ascii="Trebuchet MS" w:hAnsi="Trebuchet MS"/>
          <w:color w:val="000000"/>
          <w:sz w:val="24"/>
          <w:szCs w:val="24"/>
          <w:lang w:val="es-ES_tradnl" w:eastAsia="es-MX"/>
        </w:rPr>
      </w:pPr>
    </w:p>
    <w:p w14:paraId="4E0D2C3F" w14:textId="68F3B230" w:rsidR="00C72337" w:rsidRPr="00A04585" w:rsidRDefault="002235F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Esto significa que del</w:t>
      </w:r>
      <w:r w:rsidR="00C72337" w:rsidRPr="00A04585">
        <w:rPr>
          <w:rFonts w:ascii="Trebuchet MS" w:hAnsi="Trebuchet MS"/>
          <w:color w:val="000000"/>
          <w:sz w:val="24"/>
          <w:szCs w:val="24"/>
          <w:lang w:val="es-ES_tradnl" w:eastAsia="es-MX"/>
        </w:rPr>
        <w:t xml:space="preserve"> monto que corresponda al </w:t>
      </w:r>
      <w:r w:rsidR="000D5B07" w:rsidRPr="00242547">
        <w:rPr>
          <w:rFonts w:ascii="Trebuchet MS" w:hAnsi="Trebuchet MS"/>
          <w:color w:val="000000"/>
          <w:sz w:val="24"/>
          <w:szCs w:val="24"/>
          <w:lang w:val="es-ES_tradnl" w:eastAsia="es-MX"/>
        </w:rPr>
        <w:t>setenta por ciento</w:t>
      </w:r>
      <w:r w:rsidR="00C72337" w:rsidRPr="00A04585">
        <w:rPr>
          <w:rFonts w:ascii="Trebuchet MS" w:hAnsi="Trebuchet MS"/>
          <w:color w:val="000000"/>
          <w:sz w:val="24"/>
          <w:szCs w:val="24"/>
          <w:lang w:val="es-ES_tradnl" w:eastAsia="es-MX"/>
        </w:rPr>
        <w:t xml:space="preserve"> de la bolsa de los partidos nacionales</w:t>
      </w:r>
      <w:r w:rsidR="00B72B34" w:rsidRPr="00A04585">
        <w:rPr>
          <w:rFonts w:ascii="Trebuchet MS" w:hAnsi="Trebuchet MS"/>
          <w:color w:val="000000"/>
          <w:sz w:val="24"/>
          <w:szCs w:val="24"/>
          <w:lang w:val="es-ES_tradnl" w:eastAsia="es-MX"/>
        </w:rPr>
        <w:t xml:space="preserve"> (que será el 100% a distribuir por el criterio de votación)</w:t>
      </w:r>
      <w:r w:rsidR="00C72337" w:rsidRPr="00A04585">
        <w:rPr>
          <w:rFonts w:ascii="Trebuchet MS" w:hAnsi="Trebuchet MS"/>
          <w:color w:val="000000"/>
          <w:sz w:val="24"/>
          <w:szCs w:val="24"/>
          <w:lang w:val="es-ES_tradnl" w:eastAsia="es-MX"/>
        </w:rPr>
        <w:t>, quedará sin repartir la porción correspondiente a la votación de los partidos locales y,</w:t>
      </w:r>
      <w:r w:rsidR="00871BCA" w:rsidRPr="00A04585">
        <w:rPr>
          <w:rFonts w:ascii="Trebuchet MS" w:hAnsi="Trebuchet MS"/>
          <w:color w:val="000000"/>
          <w:sz w:val="24"/>
          <w:szCs w:val="24"/>
          <w:lang w:val="es-ES_tradnl" w:eastAsia="es-MX"/>
        </w:rPr>
        <w:t xml:space="preserve"> en la bolsa correspondiente a é</w:t>
      </w:r>
      <w:r w:rsidR="00C72337" w:rsidRPr="00A04585">
        <w:rPr>
          <w:rFonts w:ascii="Trebuchet MS" w:hAnsi="Trebuchet MS"/>
          <w:color w:val="000000"/>
          <w:sz w:val="24"/>
          <w:szCs w:val="24"/>
          <w:lang w:val="es-ES_tradnl" w:eastAsia="es-MX"/>
        </w:rPr>
        <w:t xml:space="preserve">stos, del total que corresponda al </w:t>
      </w:r>
      <w:r w:rsidR="000D5B07" w:rsidRPr="00242547">
        <w:rPr>
          <w:rFonts w:ascii="Trebuchet MS" w:hAnsi="Trebuchet MS"/>
          <w:color w:val="000000"/>
          <w:sz w:val="24"/>
          <w:szCs w:val="24"/>
          <w:lang w:val="es-ES_tradnl" w:eastAsia="es-MX"/>
        </w:rPr>
        <w:t>setenta por ciento</w:t>
      </w:r>
      <w:r w:rsidR="00B72B34" w:rsidRPr="00A04585">
        <w:rPr>
          <w:rFonts w:ascii="Trebuchet MS" w:hAnsi="Trebuchet MS"/>
          <w:color w:val="000000"/>
          <w:sz w:val="24"/>
          <w:szCs w:val="24"/>
          <w:lang w:val="es-ES_tradnl" w:eastAsia="es-MX"/>
        </w:rPr>
        <w:t xml:space="preserve"> de ella (que también será el 100% a distribuir bajo el criterio de votación), quedará sin distribuirse lo equivalente al porcentaje correspondiente a la votación de los partidos políticos nacionales.</w:t>
      </w:r>
    </w:p>
    <w:p w14:paraId="209ABEA1" w14:textId="0587AEF1" w:rsidR="00B72B34" w:rsidRPr="00A04585" w:rsidRDefault="00B72B34" w:rsidP="002E7CFF">
      <w:pPr>
        <w:pStyle w:val="Sinespaciado"/>
        <w:jc w:val="both"/>
        <w:rPr>
          <w:rFonts w:ascii="Trebuchet MS" w:hAnsi="Trebuchet MS"/>
          <w:color w:val="000000"/>
          <w:sz w:val="24"/>
          <w:szCs w:val="24"/>
          <w:lang w:val="es-ES_tradnl" w:eastAsia="es-MX"/>
        </w:rPr>
      </w:pPr>
    </w:p>
    <w:p w14:paraId="414F0E72" w14:textId="6A8D1D3B" w:rsidR="00B72B34" w:rsidRPr="00A04585" w:rsidRDefault="00B72B3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Lo anterior, evitaría una distorsión indebida en la relación que exige la mencionada fórmula entre votos y financiamiento, porque si al distribuir el monto que debe repartirse </w:t>
      </w:r>
      <w:r w:rsidR="00553533" w:rsidRPr="00A04585">
        <w:rPr>
          <w:rFonts w:ascii="Trebuchet MS" w:hAnsi="Trebuchet MS"/>
          <w:color w:val="000000"/>
          <w:sz w:val="24"/>
          <w:szCs w:val="24"/>
          <w:lang w:val="es-ES_tradnl" w:eastAsia="es-MX"/>
        </w:rPr>
        <w:t>proporcionalmente</w:t>
      </w:r>
      <w:r w:rsidRPr="00A04585">
        <w:rPr>
          <w:rFonts w:ascii="Trebuchet MS" w:hAnsi="Trebuchet MS"/>
          <w:color w:val="000000"/>
          <w:sz w:val="24"/>
          <w:szCs w:val="24"/>
          <w:lang w:val="es-ES_tradnl" w:eastAsia="es-MX"/>
        </w:rPr>
        <w:t xml:space="preserve"> no se considerara el cien por ciento de </w:t>
      </w:r>
      <w:r w:rsidR="00CA2653" w:rsidRPr="00A04585">
        <w:rPr>
          <w:rFonts w:ascii="Trebuchet MS" w:hAnsi="Trebuchet MS"/>
          <w:color w:val="000000"/>
          <w:sz w:val="24"/>
          <w:szCs w:val="24"/>
          <w:lang w:val="es-ES_tradnl" w:eastAsia="es-MX"/>
        </w:rPr>
        <w:t>los votos</w:t>
      </w:r>
      <w:r w:rsidRPr="00A04585">
        <w:rPr>
          <w:rFonts w:ascii="Trebuchet MS" w:hAnsi="Trebuchet MS"/>
          <w:color w:val="000000"/>
          <w:sz w:val="24"/>
          <w:szCs w:val="24"/>
          <w:lang w:val="es-ES_tradnl" w:eastAsia="es-MX"/>
        </w:rPr>
        <w:t xml:space="preserve"> ni la forma en que fue</w:t>
      </w:r>
      <w:r w:rsidR="00CA2653" w:rsidRPr="00A04585">
        <w:rPr>
          <w:rFonts w:ascii="Trebuchet MS" w:hAnsi="Trebuchet MS"/>
          <w:color w:val="000000"/>
          <w:sz w:val="24"/>
          <w:szCs w:val="24"/>
          <w:lang w:val="es-ES_tradnl" w:eastAsia="es-MX"/>
        </w:rPr>
        <w:t>ron</w:t>
      </w:r>
      <w:r w:rsidRPr="00A04585">
        <w:rPr>
          <w:rFonts w:ascii="Trebuchet MS" w:hAnsi="Trebuchet MS"/>
          <w:color w:val="000000"/>
          <w:sz w:val="24"/>
          <w:szCs w:val="24"/>
          <w:lang w:val="es-ES_tradnl" w:eastAsia="es-MX"/>
        </w:rPr>
        <w:t xml:space="preserve"> </w:t>
      </w:r>
      <w:r w:rsidR="00CA2653" w:rsidRPr="00A04585">
        <w:rPr>
          <w:rFonts w:ascii="Trebuchet MS" w:hAnsi="Trebuchet MS"/>
          <w:color w:val="000000"/>
          <w:sz w:val="24"/>
          <w:szCs w:val="24"/>
          <w:lang w:val="es-ES_tradnl" w:eastAsia="es-MX"/>
        </w:rPr>
        <w:t>obtenidos por</w:t>
      </w:r>
      <w:r w:rsidRPr="00A04585">
        <w:rPr>
          <w:rFonts w:ascii="Trebuchet MS" w:hAnsi="Trebuchet MS"/>
          <w:color w:val="000000"/>
          <w:sz w:val="24"/>
          <w:szCs w:val="24"/>
          <w:lang w:val="es-ES_tradnl" w:eastAsia="es-MX"/>
        </w:rPr>
        <w:t xml:space="preserve"> quienes</w:t>
      </w:r>
      <w:r w:rsidR="00CA2653" w:rsidRPr="00A04585">
        <w:rPr>
          <w:rFonts w:ascii="Trebuchet MS" w:hAnsi="Trebuchet MS"/>
          <w:color w:val="000000"/>
          <w:sz w:val="24"/>
          <w:szCs w:val="24"/>
          <w:lang w:val="es-ES_tradnl" w:eastAsia="es-MX"/>
        </w:rPr>
        <w:t xml:space="preserve"> participaron en la elección</w:t>
      </w:r>
      <w:r w:rsidRPr="00A04585">
        <w:rPr>
          <w:rFonts w:ascii="Trebuchet MS" w:hAnsi="Trebuchet MS"/>
          <w:color w:val="000000"/>
          <w:sz w:val="24"/>
          <w:szCs w:val="24"/>
          <w:lang w:val="es-ES_tradnl" w:eastAsia="es-MX"/>
        </w:rPr>
        <w:t xml:space="preserve">, se </w:t>
      </w:r>
      <w:r w:rsidR="00553533" w:rsidRPr="00A04585">
        <w:rPr>
          <w:rFonts w:ascii="Trebuchet MS" w:hAnsi="Trebuchet MS"/>
          <w:color w:val="000000"/>
          <w:sz w:val="24"/>
          <w:szCs w:val="24"/>
          <w:lang w:val="es-ES_tradnl" w:eastAsia="es-MX"/>
        </w:rPr>
        <w:t>otorgaría</w:t>
      </w:r>
      <w:r w:rsidRPr="00A04585">
        <w:rPr>
          <w:rFonts w:ascii="Trebuchet MS" w:hAnsi="Trebuchet MS"/>
          <w:color w:val="000000"/>
          <w:sz w:val="24"/>
          <w:szCs w:val="24"/>
          <w:lang w:val="es-ES_tradnl" w:eastAsia="es-MX"/>
        </w:rPr>
        <w:t xml:space="preserve"> una porción de recursos mayor a la que debe corresponder a la votación de cada partido</w:t>
      </w:r>
      <w:r w:rsidR="00CA2653" w:rsidRPr="00A04585">
        <w:rPr>
          <w:rFonts w:ascii="Trebuchet MS" w:hAnsi="Trebuchet MS"/>
          <w:color w:val="000000"/>
          <w:sz w:val="24"/>
          <w:szCs w:val="24"/>
          <w:lang w:val="es-ES_tradnl" w:eastAsia="es-MX"/>
        </w:rPr>
        <w:t>, es decir, el porcentaje se aumentaría de forma artificial.</w:t>
      </w:r>
    </w:p>
    <w:p w14:paraId="7B32C829" w14:textId="6635D184" w:rsidR="00777D63" w:rsidRPr="00242547" w:rsidRDefault="00777D63" w:rsidP="002E7CFF">
      <w:pPr>
        <w:pStyle w:val="Sinespaciado"/>
        <w:jc w:val="both"/>
        <w:rPr>
          <w:rFonts w:ascii="Trebuchet MS" w:hAnsi="Trebuchet MS"/>
          <w:color w:val="000000"/>
          <w:sz w:val="24"/>
          <w:szCs w:val="24"/>
          <w:lang w:val="es-ES_tradnl" w:eastAsia="es-MX"/>
        </w:rPr>
      </w:pPr>
    </w:p>
    <w:p w14:paraId="39B3A246" w14:textId="0D6897F3" w:rsidR="00777D63" w:rsidRPr="00A04585" w:rsidRDefault="00777D6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Ello, porque si la totalidad de la cantidad de recursos equivalente al </w:t>
      </w:r>
      <w:r w:rsidR="000D5B07" w:rsidRPr="00242547">
        <w:rPr>
          <w:rFonts w:ascii="Trebuchet MS" w:hAnsi="Trebuchet MS"/>
          <w:color w:val="000000"/>
          <w:sz w:val="24"/>
          <w:szCs w:val="24"/>
          <w:lang w:val="es-ES_tradnl" w:eastAsia="es-MX"/>
        </w:rPr>
        <w:t>setenta por ciento</w:t>
      </w:r>
      <w:r w:rsidRPr="00A04585">
        <w:rPr>
          <w:rFonts w:ascii="Trebuchet MS" w:hAnsi="Trebuchet MS"/>
          <w:color w:val="000000"/>
          <w:sz w:val="24"/>
          <w:szCs w:val="24"/>
          <w:lang w:val="es-ES_tradnl" w:eastAsia="es-MX"/>
        </w:rPr>
        <w:t xml:space="preserve"> de la bolsa de los partidos nacionales fuera repartida sólo entre ellos sin considerar la votación de los institutos políticos locales, la porción correspondiente incrementaría </w:t>
      </w:r>
      <w:r w:rsidR="0072434B" w:rsidRPr="00A04585">
        <w:rPr>
          <w:rFonts w:ascii="Trebuchet MS" w:hAnsi="Trebuchet MS"/>
          <w:color w:val="000000"/>
          <w:sz w:val="24"/>
          <w:szCs w:val="24"/>
          <w:lang w:val="es-ES_tradnl" w:eastAsia="es-MX"/>
        </w:rPr>
        <w:t>de forma injustificada</w:t>
      </w:r>
      <w:r w:rsidRPr="00A04585">
        <w:rPr>
          <w:rFonts w:ascii="Trebuchet MS" w:hAnsi="Trebuchet MS"/>
          <w:color w:val="000000"/>
          <w:sz w:val="24"/>
          <w:szCs w:val="24"/>
          <w:lang w:val="es-ES_tradnl" w:eastAsia="es-MX"/>
        </w:rPr>
        <w:t xml:space="preserve"> al descontar la votación de estos últimos y se rompería la correspondencia entre porcentaje de votos obtenidos y la parte </w:t>
      </w:r>
      <w:r w:rsidR="0072434B" w:rsidRPr="00A04585">
        <w:rPr>
          <w:rFonts w:ascii="Trebuchet MS" w:hAnsi="Trebuchet MS"/>
          <w:color w:val="000000"/>
          <w:sz w:val="24"/>
          <w:szCs w:val="24"/>
          <w:lang w:val="es-ES_tradnl" w:eastAsia="es-MX"/>
        </w:rPr>
        <w:t xml:space="preserve">de </w:t>
      </w:r>
      <w:r w:rsidR="00553533" w:rsidRPr="00A04585">
        <w:rPr>
          <w:rFonts w:ascii="Trebuchet MS" w:hAnsi="Trebuchet MS"/>
          <w:color w:val="000000"/>
          <w:sz w:val="24"/>
          <w:szCs w:val="24"/>
          <w:lang w:val="es-ES_tradnl" w:eastAsia="es-MX"/>
        </w:rPr>
        <w:t>la bolsa respectiva</w:t>
      </w:r>
      <w:r w:rsidR="0072434B" w:rsidRPr="00A04585">
        <w:rPr>
          <w:rFonts w:ascii="Trebuchet MS" w:hAnsi="Trebuchet MS"/>
          <w:color w:val="000000"/>
          <w:sz w:val="24"/>
          <w:szCs w:val="24"/>
          <w:lang w:val="es-ES_tradnl" w:eastAsia="es-MX"/>
        </w:rPr>
        <w:t xml:space="preserve"> que debe asignare con base en dicho princip</w:t>
      </w:r>
      <w:r w:rsidR="003D56F7" w:rsidRPr="00A04585">
        <w:rPr>
          <w:rFonts w:ascii="Trebuchet MS" w:hAnsi="Trebuchet MS"/>
          <w:color w:val="000000"/>
          <w:sz w:val="24"/>
          <w:szCs w:val="24"/>
          <w:lang w:val="es-ES_tradnl" w:eastAsia="es-MX"/>
        </w:rPr>
        <w:t>i</w:t>
      </w:r>
      <w:r w:rsidR="0072434B" w:rsidRPr="00A04585">
        <w:rPr>
          <w:rFonts w:ascii="Trebuchet MS" w:hAnsi="Trebuchet MS"/>
          <w:color w:val="000000"/>
          <w:sz w:val="24"/>
          <w:szCs w:val="24"/>
          <w:lang w:val="es-ES_tradnl" w:eastAsia="es-MX"/>
        </w:rPr>
        <w:t>o</w:t>
      </w:r>
      <w:r w:rsidRPr="00A04585">
        <w:rPr>
          <w:rFonts w:ascii="Trebuchet MS" w:hAnsi="Trebuchet MS"/>
          <w:color w:val="000000"/>
          <w:sz w:val="24"/>
          <w:szCs w:val="24"/>
          <w:lang w:val="es-ES_tradnl" w:eastAsia="es-MX"/>
        </w:rPr>
        <w:t>.</w:t>
      </w:r>
    </w:p>
    <w:p w14:paraId="749212E1" w14:textId="22EB3581" w:rsidR="00777D63" w:rsidRPr="00A04585" w:rsidRDefault="00777D63" w:rsidP="002E7CFF">
      <w:pPr>
        <w:pStyle w:val="Sinespaciado"/>
        <w:jc w:val="both"/>
        <w:rPr>
          <w:rFonts w:ascii="Trebuchet MS" w:hAnsi="Trebuchet MS"/>
          <w:color w:val="000000"/>
          <w:sz w:val="24"/>
          <w:szCs w:val="24"/>
          <w:lang w:val="es-ES_tradnl" w:eastAsia="es-MX"/>
        </w:rPr>
      </w:pPr>
    </w:p>
    <w:p w14:paraId="7C7D955D" w14:textId="5328081D" w:rsidR="00777D63" w:rsidRPr="00A04585" w:rsidRDefault="00777D6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Por otra parte, ello sería más notorio si se realizara respecto a la cantidad de recursos equivalente a los partidos estatales, porque si fuera repartida</w:t>
      </w:r>
      <w:r w:rsidR="00A85A2A"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por ejemplo</w:t>
      </w:r>
      <w:r w:rsidR="00A85A2A"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entre dos partidos de acuerdo </w:t>
      </w:r>
      <w:r w:rsidR="00A85A2A" w:rsidRPr="00A04585">
        <w:rPr>
          <w:rFonts w:ascii="Trebuchet MS" w:hAnsi="Trebuchet MS"/>
          <w:color w:val="000000"/>
          <w:sz w:val="24"/>
          <w:szCs w:val="24"/>
          <w:lang w:val="es-ES_tradnl" w:eastAsia="es-MX"/>
        </w:rPr>
        <w:t>con</w:t>
      </w:r>
      <w:r w:rsidRPr="00A04585">
        <w:rPr>
          <w:rFonts w:ascii="Trebuchet MS" w:hAnsi="Trebuchet MS"/>
          <w:color w:val="000000"/>
          <w:sz w:val="24"/>
          <w:szCs w:val="24"/>
          <w:lang w:val="es-ES_tradnl" w:eastAsia="es-MX"/>
        </w:rPr>
        <w:t xml:space="preserve"> su porcentaje de votación, sin tomar en cuenta</w:t>
      </w:r>
      <w:r w:rsidR="00C954B8" w:rsidRPr="00A04585">
        <w:rPr>
          <w:rFonts w:ascii="Trebuchet MS" w:hAnsi="Trebuchet MS"/>
          <w:color w:val="000000"/>
          <w:sz w:val="24"/>
          <w:szCs w:val="24"/>
          <w:lang w:val="es-ES_tradnl" w:eastAsia="es-MX"/>
        </w:rPr>
        <w:t xml:space="preserve"> la d</w:t>
      </w:r>
      <w:r w:rsidRPr="00A04585">
        <w:rPr>
          <w:rFonts w:ascii="Trebuchet MS" w:hAnsi="Trebuchet MS"/>
          <w:color w:val="000000"/>
          <w:sz w:val="24"/>
          <w:szCs w:val="24"/>
          <w:lang w:val="es-ES_tradnl" w:eastAsia="es-MX"/>
        </w:rPr>
        <w:t xml:space="preserve">e los demás </w:t>
      </w:r>
      <w:r w:rsidR="00A85A2A" w:rsidRPr="00A04585">
        <w:rPr>
          <w:rFonts w:ascii="Trebuchet MS" w:hAnsi="Trebuchet MS"/>
          <w:color w:val="000000"/>
          <w:sz w:val="24"/>
          <w:szCs w:val="24"/>
          <w:lang w:val="es-ES_tradnl" w:eastAsia="es-MX"/>
        </w:rPr>
        <w:t xml:space="preserve">partidos </w:t>
      </w:r>
      <w:r w:rsidRPr="00A04585">
        <w:rPr>
          <w:rFonts w:ascii="Trebuchet MS" w:hAnsi="Trebuchet MS"/>
          <w:color w:val="000000"/>
          <w:sz w:val="24"/>
          <w:szCs w:val="24"/>
          <w:lang w:val="es-ES_tradnl" w:eastAsia="es-MX"/>
        </w:rPr>
        <w:t>participantes de la elección, básicamente se repartiría entre dos ese monto que sería exorbitante en relación con el porcentaje de votos obtenidos por cada fuerza política estatal en la elección de diputaciones</w:t>
      </w:r>
      <w:r w:rsidR="00553533"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que es el parámetro para el reparto de la parte del financiamiento ordinario que se reparte de forma proporcional.</w:t>
      </w:r>
    </w:p>
    <w:p w14:paraId="7598D686" w14:textId="77777777" w:rsidR="00A56DC3" w:rsidRPr="00A04585" w:rsidRDefault="00A56DC3" w:rsidP="002E7CFF">
      <w:pPr>
        <w:pStyle w:val="Sinespaciado"/>
        <w:jc w:val="both"/>
        <w:rPr>
          <w:rFonts w:ascii="Trebuchet MS" w:hAnsi="Trebuchet MS"/>
          <w:b/>
          <w:bCs/>
          <w:color w:val="000000"/>
          <w:sz w:val="24"/>
          <w:szCs w:val="24"/>
          <w:lang w:val="es-ES_tradnl" w:eastAsia="es-MX"/>
        </w:rPr>
      </w:pPr>
    </w:p>
    <w:p w14:paraId="5C6047C3" w14:textId="6A61F74C" w:rsidR="00893CFD" w:rsidRPr="00A04585" w:rsidRDefault="00777D63" w:rsidP="002E7CFF">
      <w:pPr>
        <w:pStyle w:val="Sinespaciado"/>
        <w:jc w:val="both"/>
        <w:rPr>
          <w:rFonts w:ascii="Trebuchet MS" w:hAnsi="Trebuchet MS"/>
          <w:b/>
          <w:bCs/>
          <w:color w:val="000000"/>
          <w:sz w:val="24"/>
          <w:szCs w:val="24"/>
          <w:lang w:val="es-ES_tradnl" w:eastAsia="es-MX"/>
        </w:rPr>
      </w:pPr>
      <w:r w:rsidRPr="00A04585">
        <w:rPr>
          <w:rFonts w:ascii="Trebuchet MS" w:hAnsi="Trebuchet MS"/>
          <w:color w:val="000000"/>
          <w:sz w:val="24"/>
          <w:szCs w:val="24"/>
          <w:lang w:val="es-ES_tradnl" w:eastAsia="es-MX"/>
        </w:rPr>
        <w:t xml:space="preserve">Entonces, con base en lo expuesto, el método que será seguido para repartir </w:t>
      </w:r>
      <w:r w:rsidR="00893CFD" w:rsidRPr="00A04585">
        <w:rPr>
          <w:rFonts w:ascii="Trebuchet MS" w:hAnsi="Trebuchet MS"/>
          <w:color w:val="000000"/>
          <w:sz w:val="24"/>
          <w:szCs w:val="24"/>
          <w:lang w:val="es-ES_tradnl" w:eastAsia="es-MX"/>
        </w:rPr>
        <w:t xml:space="preserve">cada una de las bolsas de financiamiento será </w:t>
      </w:r>
      <w:r w:rsidR="00A85A2A" w:rsidRPr="00A04585">
        <w:rPr>
          <w:rFonts w:ascii="Trebuchet MS" w:hAnsi="Trebuchet MS"/>
          <w:color w:val="000000"/>
          <w:sz w:val="24"/>
          <w:szCs w:val="24"/>
          <w:lang w:val="es-ES_tradnl" w:eastAsia="es-MX"/>
        </w:rPr>
        <w:t>el mismo</w:t>
      </w:r>
      <w:r w:rsidR="00893CFD" w:rsidRPr="00A04585">
        <w:rPr>
          <w:rFonts w:ascii="Trebuchet MS" w:hAnsi="Trebuchet MS"/>
          <w:color w:val="000000"/>
          <w:sz w:val="24"/>
          <w:szCs w:val="24"/>
          <w:lang w:val="es-ES_tradnl" w:eastAsia="es-MX"/>
        </w:rPr>
        <w:t>, sólo que cada una será calculada con la base legal respectiva.</w:t>
      </w:r>
    </w:p>
    <w:p w14:paraId="510680E0" w14:textId="77777777" w:rsidR="00893CFD" w:rsidRPr="00A04585" w:rsidRDefault="00893CFD" w:rsidP="002E7CFF">
      <w:pPr>
        <w:pStyle w:val="Sinespaciado"/>
        <w:jc w:val="both"/>
        <w:rPr>
          <w:rFonts w:ascii="Trebuchet MS" w:hAnsi="Trebuchet MS"/>
          <w:color w:val="000000"/>
          <w:sz w:val="24"/>
          <w:szCs w:val="24"/>
          <w:lang w:val="es-ES_tradnl" w:eastAsia="es-MX"/>
        </w:rPr>
      </w:pPr>
    </w:p>
    <w:p w14:paraId="6E621D47" w14:textId="393569BF" w:rsidR="00C954B8" w:rsidRPr="00A04585" w:rsidRDefault="003224E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Una vez obtenido el monto de actividades ordinarias, el </w:t>
      </w:r>
      <w:r w:rsidR="000D5B07" w:rsidRPr="00242547">
        <w:rPr>
          <w:rFonts w:ascii="Trebuchet MS" w:hAnsi="Trebuchet MS"/>
          <w:color w:val="000000"/>
          <w:sz w:val="24"/>
          <w:szCs w:val="24"/>
          <w:lang w:val="es-ES_tradnl" w:eastAsia="es-MX"/>
        </w:rPr>
        <w:t>treinta por ciento</w:t>
      </w:r>
      <w:r w:rsidR="000D5B07"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 xml:space="preserve">de cada bolsa será repartido, según sea el caso, en partes </w:t>
      </w:r>
      <w:r w:rsidR="00C954B8" w:rsidRPr="00A04585">
        <w:rPr>
          <w:rFonts w:ascii="Trebuchet MS" w:hAnsi="Trebuchet MS"/>
          <w:color w:val="000000"/>
          <w:sz w:val="24"/>
          <w:szCs w:val="24"/>
          <w:lang w:val="es-ES_tradnl" w:eastAsia="es-MX"/>
        </w:rPr>
        <w:t xml:space="preserve">proporcionalmente </w:t>
      </w:r>
      <w:r w:rsidRPr="00A04585">
        <w:rPr>
          <w:rFonts w:ascii="Trebuchet MS" w:hAnsi="Trebuchet MS"/>
          <w:color w:val="000000"/>
          <w:sz w:val="24"/>
          <w:szCs w:val="24"/>
          <w:lang w:val="es-ES_tradnl" w:eastAsia="es-MX"/>
        </w:rPr>
        <w:t xml:space="preserve">iguales, </w:t>
      </w:r>
      <w:r w:rsidR="00553533" w:rsidRPr="00A04585">
        <w:rPr>
          <w:rFonts w:ascii="Trebuchet MS" w:hAnsi="Trebuchet MS"/>
          <w:color w:val="000000"/>
          <w:sz w:val="24"/>
          <w:szCs w:val="24"/>
          <w:lang w:val="es-ES_tradnl" w:eastAsia="es-MX"/>
        </w:rPr>
        <w:t>entre los partidos con derecho a recibir financiamiento en la entidad federativa</w:t>
      </w:r>
      <w:r w:rsidR="00C954B8" w:rsidRPr="00A04585">
        <w:rPr>
          <w:rFonts w:ascii="Trebuchet MS" w:hAnsi="Trebuchet MS"/>
          <w:color w:val="000000"/>
          <w:sz w:val="24"/>
          <w:szCs w:val="24"/>
          <w:lang w:val="es-ES_tradnl" w:eastAsia="es-MX"/>
        </w:rPr>
        <w:t xml:space="preserve"> y el valor en dinero de cada parte que reciban los partidos será definido conforme a la bolsa respectiva</w:t>
      </w:r>
      <w:r w:rsidR="00553533" w:rsidRPr="00A04585">
        <w:rPr>
          <w:rFonts w:ascii="Trebuchet MS" w:hAnsi="Trebuchet MS"/>
          <w:color w:val="000000"/>
          <w:sz w:val="24"/>
          <w:szCs w:val="24"/>
          <w:lang w:val="es-ES_tradnl" w:eastAsia="es-MX"/>
        </w:rPr>
        <w:t>.</w:t>
      </w:r>
      <w:r w:rsidR="00904B3A" w:rsidRPr="00A04585">
        <w:rPr>
          <w:rFonts w:ascii="Trebuchet MS" w:hAnsi="Trebuchet MS"/>
          <w:color w:val="000000"/>
          <w:sz w:val="24"/>
          <w:szCs w:val="24"/>
          <w:lang w:val="es-ES_tradnl" w:eastAsia="es-MX"/>
        </w:rPr>
        <w:t xml:space="preserve"> </w:t>
      </w:r>
    </w:p>
    <w:p w14:paraId="3357D7CC" w14:textId="4BFE7245" w:rsidR="00C954B8" w:rsidRPr="00A04585" w:rsidRDefault="00C954B8" w:rsidP="002E7CFF">
      <w:pPr>
        <w:pStyle w:val="Sinespaciado"/>
        <w:jc w:val="both"/>
        <w:rPr>
          <w:rFonts w:ascii="Trebuchet MS" w:hAnsi="Trebuchet MS"/>
          <w:color w:val="000000"/>
          <w:sz w:val="24"/>
          <w:szCs w:val="24"/>
          <w:lang w:val="es-ES_tradnl" w:eastAsia="es-MX"/>
        </w:rPr>
      </w:pPr>
    </w:p>
    <w:p w14:paraId="347061C4" w14:textId="389CBE5B" w:rsidR="00777D63" w:rsidRPr="00A04585" w:rsidRDefault="00904B3A"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w:t>
      </w:r>
      <w:r w:rsidR="001A23D3" w:rsidRPr="00A04585">
        <w:rPr>
          <w:rFonts w:ascii="Trebuchet MS" w:hAnsi="Trebuchet MS"/>
          <w:color w:val="000000"/>
          <w:sz w:val="24"/>
          <w:szCs w:val="24"/>
          <w:lang w:val="es-ES_tradnl" w:eastAsia="es-MX"/>
        </w:rPr>
        <w:t xml:space="preserve">forma que </w:t>
      </w:r>
      <w:r w:rsidRPr="00A04585">
        <w:rPr>
          <w:rFonts w:ascii="Trebuchet MS" w:hAnsi="Trebuchet MS"/>
          <w:color w:val="000000"/>
          <w:sz w:val="24"/>
          <w:szCs w:val="24"/>
          <w:lang w:val="es-ES_tradnl" w:eastAsia="es-MX"/>
        </w:rPr>
        <w:t xml:space="preserve">de la bolsa nacional serán repartidos cinco </w:t>
      </w:r>
      <w:proofErr w:type="gramStart"/>
      <w:r w:rsidRPr="00A04585">
        <w:rPr>
          <w:rFonts w:ascii="Trebuchet MS" w:hAnsi="Trebuchet MS"/>
          <w:color w:val="000000"/>
          <w:sz w:val="24"/>
          <w:szCs w:val="24"/>
          <w:lang w:val="es-ES_tradnl" w:eastAsia="es-MX"/>
        </w:rPr>
        <w:t>séptimos</w:t>
      </w:r>
      <w:proofErr w:type="gramEnd"/>
      <w:r w:rsidRPr="00A04585">
        <w:rPr>
          <w:rFonts w:ascii="Trebuchet MS" w:hAnsi="Trebuchet MS"/>
          <w:color w:val="000000"/>
          <w:sz w:val="24"/>
          <w:szCs w:val="24"/>
          <w:lang w:val="es-ES_tradnl" w:eastAsia="es-MX"/>
        </w:rPr>
        <w:t xml:space="preserve"> de la parte de distribución igualitaria</w:t>
      </w:r>
      <w:r w:rsidR="0046662E" w:rsidRPr="00A04585">
        <w:rPr>
          <w:rFonts w:ascii="Trebuchet MS" w:hAnsi="Trebuchet MS"/>
          <w:color w:val="000000"/>
          <w:sz w:val="24"/>
          <w:szCs w:val="24"/>
          <w:lang w:val="es-ES_tradnl" w:eastAsia="es-MX"/>
        </w:rPr>
        <w:t xml:space="preserve"> (30%);</w:t>
      </w:r>
      <w:r w:rsidRPr="00A04585">
        <w:rPr>
          <w:rFonts w:ascii="Trebuchet MS" w:hAnsi="Trebuchet MS"/>
          <w:color w:val="000000"/>
          <w:sz w:val="24"/>
          <w:szCs w:val="24"/>
          <w:lang w:val="es-ES_tradnl" w:eastAsia="es-MX"/>
        </w:rPr>
        <w:t xml:space="preserve"> y </w:t>
      </w:r>
      <w:r w:rsidR="001A23D3" w:rsidRPr="00A04585">
        <w:rPr>
          <w:rFonts w:ascii="Trebuchet MS" w:hAnsi="Trebuchet MS"/>
          <w:color w:val="000000"/>
          <w:sz w:val="24"/>
          <w:szCs w:val="24"/>
          <w:lang w:val="es-ES_tradnl" w:eastAsia="es-MX"/>
        </w:rPr>
        <w:t>de</w:t>
      </w:r>
      <w:r w:rsidRPr="00A04585">
        <w:rPr>
          <w:rFonts w:ascii="Trebuchet MS" w:hAnsi="Trebuchet MS"/>
          <w:color w:val="000000"/>
          <w:sz w:val="24"/>
          <w:szCs w:val="24"/>
          <w:lang w:val="es-ES_tradnl" w:eastAsia="es-MX"/>
        </w:rPr>
        <w:t xml:space="preserve"> la</w:t>
      </w:r>
      <w:r w:rsidR="0046662E" w:rsidRPr="00A04585">
        <w:rPr>
          <w:rFonts w:ascii="Trebuchet MS" w:hAnsi="Trebuchet MS"/>
          <w:color w:val="000000"/>
          <w:sz w:val="24"/>
          <w:szCs w:val="24"/>
          <w:lang w:val="es-ES_tradnl" w:eastAsia="es-MX"/>
        </w:rPr>
        <w:t xml:space="preserve"> bolsa</w:t>
      </w:r>
      <w:r w:rsidRPr="00A04585">
        <w:rPr>
          <w:rFonts w:ascii="Trebuchet MS" w:hAnsi="Trebuchet MS"/>
          <w:color w:val="000000"/>
          <w:sz w:val="24"/>
          <w:szCs w:val="24"/>
          <w:lang w:val="es-ES_tradnl" w:eastAsia="es-MX"/>
        </w:rPr>
        <w:t xml:space="preserve"> local, </w:t>
      </w:r>
      <w:r w:rsidR="0046662E" w:rsidRPr="00A04585">
        <w:rPr>
          <w:rFonts w:ascii="Trebuchet MS" w:hAnsi="Trebuchet MS"/>
          <w:color w:val="000000"/>
          <w:sz w:val="24"/>
          <w:szCs w:val="24"/>
          <w:lang w:val="es-ES_tradnl" w:eastAsia="es-MX"/>
        </w:rPr>
        <w:t xml:space="preserve">serán repartidos </w:t>
      </w:r>
      <w:r w:rsidRPr="00A04585">
        <w:rPr>
          <w:rFonts w:ascii="Trebuchet MS" w:hAnsi="Trebuchet MS"/>
          <w:color w:val="000000"/>
          <w:sz w:val="24"/>
          <w:szCs w:val="24"/>
          <w:lang w:val="es-ES_tradnl" w:eastAsia="es-MX"/>
        </w:rPr>
        <w:t xml:space="preserve">dos </w:t>
      </w:r>
      <w:r w:rsidR="00E8285A" w:rsidRPr="00A04585">
        <w:rPr>
          <w:rFonts w:ascii="Trebuchet MS" w:hAnsi="Trebuchet MS"/>
          <w:color w:val="000000"/>
          <w:sz w:val="24"/>
          <w:szCs w:val="24"/>
          <w:lang w:val="es-ES_tradnl" w:eastAsia="es-MX"/>
        </w:rPr>
        <w:t>séptimos</w:t>
      </w:r>
      <w:r w:rsidR="0046662E" w:rsidRPr="00A04585">
        <w:rPr>
          <w:rFonts w:ascii="Trebuchet MS" w:hAnsi="Trebuchet MS"/>
          <w:color w:val="000000"/>
          <w:sz w:val="24"/>
          <w:szCs w:val="24"/>
          <w:lang w:val="es-ES_tradnl" w:eastAsia="es-MX"/>
        </w:rPr>
        <w:t xml:space="preserve"> de la parte de distribución igualitaria (30%)</w:t>
      </w:r>
      <w:r w:rsidR="001A23D3" w:rsidRPr="00A04585">
        <w:rPr>
          <w:rFonts w:ascii="Trebuchet MS" w:hAnsi="Trebuchet MS"/>
          <w:color w:val="000000"/>
          <w:sz w:val="24"/>
          <w:szCs w:val="24"/>
          <w:lang w:val="es-ES_tradnl" w:eastAsia="es-MX"/>
        </w:rPr>
        <w:t>.</w:t>
      </w:r>
    </w:p>
    <w:p w14:paraId="76178475" w14:textId="7F41762F" w:rsidR="003224E9" w:rsidRPr="00A04585" w:rsidRDefault="003224E9" w:rsidP="002E7CFF">
      <w:pPr>
        <w:pStyle w:val="Sinespaciado"/>
        <w:jc w:val="both"/>
        <w:rPr>
          <w:rFonts w:ascii="Trebuchet MS" w:hAnsi="Trebuchet MS"/>
          <w:color w:val="000000"/>
          <w:sz w:val="24"/>
          <w:szCs w:val="24"/>
          <w:lang w:val="es-ES_tradnl" w:eastAsia="es-MX"/>
        </w:rPr>
      </w:pPr>
    </w:p>
    <w:p w14:paraId="0D5FE8AE" w14:textId="529ACCBE" w:rsidR="003224E9" w:rsidRPr="00A04585" w:rsidRDefault="003224E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El restante </w:t>
      </w:r>
      <w:r w:rsidR="000D5B07" w:rsidRPr="00242547">
        <w:rPr>
          <w:rFonts w:ascii="Trebuchet MS" w:hAnsi="Trebuchet MS"/>
          <w:color w:val="000000"/>
          <w:sz w:val="24"/>
          <w:szCs w:val="24"/>
          <w:lang w:val="es-ES_tradnl" w:eastAsia="es-MX"/>
        </w:rPr>
        <w:t>setenta por ciento</w:t>
      </w:r>
      <w:r w:rsidR="000D5B07"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de cada bolsa se repartirá conforme al porcentaje de votación válida obtenido en la elección de diputaciones de mayoría relativa por cada partido político en el proceso electoral</w:t>
      </w:r>
      <w:r w:rsidR="0046662E" w:rsidRPr="00A04585">
        <w:rPr>
          <w:rFonts w:ascii="Trebuchet MS" w:hAnsi="Trebuchet MS"/>
          <w:color w:val="000000"/>
          <w:sz w:val="24"/>
          <w:szCs w:val="24"/>
          <w:lang w:val="es-ES_tradnl" w:eastAsia="es-MX"/>
        </w:rPr>
        <w:t xml:space="preserve"> inmediato anterior</w:t>
      </w:r>
      <w:r w:rsidR="0060474A"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 xml:space="preserve">en el entendido </w:t>
      </w:r>
      <w:r w:rsidR="0046662E" w:rsidRPr="00A04585">
        <w:rPr>
          <w:rFonts w:ascii="Trebuchet MS" w:hAnsi="Trebuchet MS"/>
          <w:color w:val="000000"/>
          <w:sz w:val="24"/>
          <w:szCs w:val="24"/>
          <w:lang w:val="es-ES_tradnl" w:eastAsia="es-MX"/>
        </w:rPr>
        <w:t xml:space="preserve">de </w:t>
      </w:r>
      <w:r w:rsidRPr="00A04585">
        <w:rPr>
          <w:rFonts w:ascii="Trebuchet MS" w:hAnsi="Trebuchet MS"/>
          <w:color w:val="000000"/>
          <w:sz w:val="24"/>
          <w:szCs w:val="24"/>
          <w:lang w:val="es-ES_tradnl" w:eastAsia="es-MX"/>
        </w:rPr>
        <w:t xml:space="preserve">que en la bolsa de financiamiento nacional no se repartirá </w:t>
      </w:r>
      <w:r w:rsidR="0060474A" w:rsidRPr="00A04585">
        <w:rPr>
          <w:rFonts w:ascii="Trebuchet MS" w:hAnsi="Trebuchet MS"/>
          <w:color w:val="000000"/>
          <w:sz w:val="24"/>
          <w:szCs w:val="24"/>
          <w:lang w:val="es-ES_tradnl" w:eastAsia="es-MX"/>
        </w:rPr>
        <w:t>de esa cantidad, la</w:t>
      </w:r>
      <w:r w:rsidRPr="00A04585">
        <w:rPr>
          <w:rFonts w:ascii="Trebuchet MS" w:hAnsi="Trebuchet MS"/>
          <w:color w:val="000000"/>
          <w:sz w:val="24"/>
          <w:szCs w:val="24"/>
          <w:lang w:val="es-ES_tradnl" w:eastAsia="es-MX"/>
        </w:rPr>
        <w:t xml:space="preserve"> porción que represente la votación de los partidos políticos locales y, en la estatal, no será distribuido el financiamiento relativo a la porción que represente la votación de los partidos políticos nacionales.</w:t>
      </w:r>
    </w:p>
    <w:p w14:paraId="60A5740A" w14:textId="5127C763" w:rsidR="0060474A" w:rsidRPr="00A04585" w:rsidRDefault="0060474A" w:rsidP="002E7CFF">
      <w:pPr>
        <w:pStyle w:val="Sinespaciado"/>
        <w:jc w:val="both"/>
        <w:rPr>
          <w:rFonts w:ascii="Trebuchet MS" w:hAnsi="Trebuchet MS"/>
          <w:color w:val="000000"/>
          <w:sz w:val="24"/>
          <w:szCs w:val="24"/>
          <w:lang w:val="es-ES_tradnl" w:eastAsia="es-MX"/>
        </w:rPr>
      </w:pPr>
    </w:p>
    <w:p w14:paraId="7E85C6B2" w14:textId="7349688A" w:rsidR="006D07AD" w:rsidRPr="00A04585" w:rsidRDefault="00FF70A9"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B</w:t>
      </w:r>
      <w:r w:rsidR="0060474A" w:rsidRPr="00A04585">
        <w:rPr>
          <w:rFonts w:ascii="Trebuchet MS" w:hAnsi="Trebuchet MS"/>
          <w:b/>
          <w:bCs/>
          <w:color w:val="000000"/>
          <w:sz w:val="24"/>
          <w:szCs w:val="24"/>
          <w:lang w:val="es-ES_tradnl" w:eastAsia="es-MX"/>
        </w:rPr>
        <w:t>. Financiamiento local para partidos políticos nacionales.</w:t>
      </w:r>
      <w:r w:rsidR="0060474A" w:rsidRPr="00A04585">
        <w:rPr>
          <w:rFonts w:ascii="Trebuchet MS" w:hAnsi="Trebuchet MS"/>
          <w:color w:val="000000"/>
          <w:sz w:val="24"/>
          <w:szCs w:val="24"/>
          <w:lang w:val="es-ES_tradnl" w:eastAsia="es-MX"/>
        </w:rPr>
        <w:t xml:space="preserve"> </w:t>
      </w:r>
      <w:r w:rsidR="003224E9" w:rsidRPr="00A04585">
        <w:rPr>
          <w:rFonts w:ascii="Trebuchet MS" w:hAnsi="Trebuchet MS"/>
          <w:color w:val="000000"/>
          <w:sz w:val="24"/>
          <w:szCs w:val="24"/>
          <w:lang w:val="es-ES_tradnl" w:eastAsia="es-MX"/>
        </w:rPr>
        <w:t>Como ya se estableció en los recuadros corre</w:t>
      </w:r>
      <w:r w:rsidR="0060474A" w:rsidRPr="00A04585">
        <w:rPr>
          <w:rFonts w:ascii="Trebuchet MS" w:hAnsi="Trebuchet MS"/>
          <w:color w:val="000000"/>
          <w:sz w:val="24"/>
          <w:szCs w:val="24"/>
          <w:lang w:val="es-ES_tradnl" w:eastAsia="es-MX"/>
        </w:rPr>
        <w:t xml:space="preserve">spondientes, el financiamiento </w:t>
      </w:r>
      <w:r w:rsidR="000904FF" w:rsidRPr="00A04585">
        <w:rPr>
          <w:rFonts w:ascii="Trebuchet MS" w:hAnsi="Trebuchet MS"/>
          <w:color w:val="000000"/>
          <w:sz w:val="24"/>
          <w:szCs w:val="24"/>
          <w:lang w:val="es-ES_tradnl" w:eastAsia="es-MX"/>
        </w:rPr>
        <w:t>público para actividades ordinarias que debe distribu</w:t>
      </w:r>
      <w:r w:rsidR="00966053" w:rsidRPr="00A04585">
        <w:rPr>
          <w:rFonts w:ascii="Trebuchet MS" w:hAnsi="Trebuchet MS"/>
          <w:color w:val="000000"/>
          <w:sz w:val="24"/>
          <w:szCs w:val="24"/>
          <w:lang w:val="es-ES_tradnl" w:eastAsia="es-MX"/>
        </w:rPr>
        <w:t>irse entre los partidos nacionales es de $</w:t>
      </w:r>
      <w:r w:rsidR="00E8285A" w:rsidRPr="00A04585">
        <w:rPr>
          <w:rFonts w:ascii="Trebuchet MS" w:hAnsi="Trebuchet MS"/>
          <w:color w:val="000000"/>
          <w:sz w:val="24"/>
          <w:szCs w:val="24"/>
          <w:lang w:val="es-ES_tradnl" w:eastAsia="es-MX"/>
        </w:rPr>
        <w:t>121´286,618.59</w:t>
      </w:r>
      <w:r w:rsidR="00966053" w:rsidRPr="00A04585">
        <w:rPr>
          <w:rFonts w:ascii="Trebuchet MS" w:hAnsi="Trebuchet MS"/>
          <w:color w:val="000000"/>
          <w:sz w:val="24"/>
          <w:szCs w:val="24"/>
          <w:lang w:val="es-ES_tradnl" w:eastAsia="es-MX"/>
        </w:rPr>
        <w:t xml:space="preserve"> (</w:t>
      </w:r>
      <w:r w:rsidR="00E8285A" w:rsidRPr="00A04585">
        <w:rPr>
          <w:rFonts w:ascii="Trebuchet MS" w:hAnsi="Trebuchet MS"/>
          <w:color w:val="000000"/>
          <w:sz w:val="24"/>
          <w:szCs w:val="24"/>
          <w:lang w:val="es-ES_tradnl" w:eastAsia="es-MX"/>
        </w:rPr>
        <w:t>ciento veintiún millones doscientos ochenta y seis mil seiscientos dieciocho pesos 59</w:t>
      </w:r>
      <w:r w:rsidR="00E45E1C" w:rsidRPr="00A04585">
        <w:rPr>
          <w:rFonts w:ascii="Trebuchet MS" w:hAnsi="Trebuchet MS"/>
          <w:color w:val="000000"/>
          <w:sz w:val="24"/>
          <w:szCs w:val="24"/>
          <w:lang w:val="es-ES_tradnl" w:eastAsia="es-MX"/>
        </w:rPr>
        <w:t>/100 M.N.</w:t>
      </w:r>
      <w:r w:rsidR="00966053" w:rsidRPr="00A04585">
        <w:rPr>
          <w:rFonts w:ascii="Trebuchet MS" w:hAnsi="Trebuchet MS"/>
          <w:color w:val="000000"/>
          <w:sz w:val="24"/>
          <w:szCs w:val="24"/>
          <w:lang w:val="es-ES_tradnl" w:eastAsia="es-MX"/>
        </w:rPr>
        <w:t>), lo cual equivale al total</w:t>
      </w:r>
      <w:r w:rsidR="000D5B07" w:rsidRPr="00A04585">
        <w:rPr>
          <w:rFonts w:ascii="Trebuchet MS" w:hAnsi="Trebuchet MS"/>
          <w:color w:val="000000"/>
          <w:sz w:val="24"/>
          <w:szCs w:val="24"/>
          <w:lang w:val="es-ES_tradnl" w:eastAsia="es-MX"/>
        </w:rPr>
        <w:t xml:space="preserve"> del padrón electoral por el </w:t>
      </w:r>
      <w:r w:rsidR="000D5B07" w:rsidRPr="00242547">
        <w:rPr>
          <w:rFonts w:ascii="Trebuchet MS" w:hAnsi="Trebuchet MS"/>
          <w:color w:val="000000"/>
          <w:sz w:val="24"/>
          <w:szCs w:val="24"/>
          <w:lang w:val="es-ES_tradnl" w:eastAsia="es-MX"/>
        </w:rPr>
        <w:t>veinte por ciento</w:t>
      </w:r>
      <w:r w:rsidR="00966053" w:rsidRPr="00A04585">
        <w:rPr>
          <w:rFonts w:ascii="Trebuchet MS" w:hAnsi="Trebuchet MS"/>
          <w:color w:val="000000"/>
          <w:sz w:val="24"/>
          <w:szCs w:val="24"/>
          <w:lang w:val="es-ES_tradnl" w:eastAsia="es-MX"/>
        </w:rPr>
        <w:t xml:space="preserve"> de la Unidad de Medida y Actualiza</w:t>
      </w:r>
      <w:r w:rsidR="00C90A77" w:rsidRPr="00A04585">
        <w:rPr>
          <w:rFonts w:ascii="Trebuchet MS" w:hAnsi="Trebuchet MS"/>
          <w:color w:val="000000"/>
          <w:sz w:val="24"/>
          <w:szCs w:val="24"/>
          <w:lang w:val="es-ES_tradnl" w:eastAsia="es-MX"/>
        </w:rPr>
        <w:t>ción</w:t>
      </w:r>
      <w:r w:rsidR="008D230A" w:rsidRPr="00A04585">
        <w:rPr>
          <w:rFonts w:ascii="Trebuchet MS" w:hAnsi="Trebuchet MS"/>
          <w:color w:val="000000"/>
          <w:sz w:val="24"/>
          <w:szCs w:val="24"/>
          <w:lang w:val="es-ES_tradnl" w:eastAsia="es-MX"/>
        </w:rPr>
        <w:t>.</w:t>
      </w:r>
    </w:p>
    <w:p w14:paraId="09D82220" w14:textId="1EB2285C" w:rsidR="00C90A77" w:rsidRPr="00242547" w:rsidRDefault="00C90A77" w:rsidP="002E7CFF">
      <w:pPr>
        <w:pStyle w:val="Sinespaciado"/>
        <w:jc w:val="both"/>
        <w:rPr>
          <w:rFonts w:ascii="Trebuchet MS" w:hAnsi="Trebuchet MS"/>
          <w:color w:val="000000"/>
          <w:sz w:val="24"/>
          <w:szCs w:val="24"/>
          <w:lang w:val="es-ES_tradnl" w:eastAsia="es-MX"/>
        </w:rPr>
      </w:pPr>
    </w:p>
    <w:p w14:paraId="33C301AD" w14:textId="63D5135D" w:rsidR="00C90A77" w:rsidRPr="00A04585" w:rsidRDefault="00C90A77"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El</w:t>
      </w:r>
      <w:r w:rsidR="000D5B07" w:rsidRPr="00A04585">
        <w:rPr>
          <w:rFonts w:ascii="Trebuchet MS" w:hAnsi="Trebuchet MS"/>
          <w:color w:val="000000"/>
          <w:sz w:val="24"/>
          <w:szCs w:val="24"/>
          <w:lang w:val="es-ES_tradnl" w:eastAsia="es-MX"/>
        </w:rPr>
        <w:t xml:space="preserve"> </w:t>
      </w:r>
      <w:r w:rsidR="000D5B07"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de esa cantidad equivale a $</w:t>
      </w:r>
      <w:r w:rsidR="00E8285A" w:rsidRPr="00A04585">
        <w:rPr>
          <w:rFonts w:ascii="Trebuchet MS" w:hAnsi="Trebuchet MS"/>
          <w:color w:val="000000"/>
          <w:sz w:val="24"/>
          <w:szCs w:val="24"/>
          <w:lang w:val="es-ES_tradnl" w:eastAsia="es-MX"/>
        </w:rPr>
        <w:t>36´385,985.58</w:t>
      </w:r>
      <w:r w:rsidR="00E45E1C" w:rsidRPr="00A04585">
        <w:rPr>
          <w:rFonts w:ascii="Trebuchet MS" w:hAnsi="Trebuchet MS"/>
          <w:color w:val="000000"/>
          <w:sz w:val="24"/>
          <w:szCs w:val="24"/>
          <w:lang w:val="es-ES_tradnl" w:eastAsia="es-MX"/>
        </w:rPr>
        <w:t xml:space="preserve"> (</w:t>
      </w:r>
      <w:r w:rsidR="00E8285A" w:rsidRPr="00A04585">
        <w:rPr>
          <w:rFonts w:ascii="Trebuchet MS" w:hAnsi="Trebuchet MS"/>
          <w:color w:val="000000"/>
          <w:sz w:val="24"/>
          <w:szCs w:val="24"/>
          <w:lang w:val="es-ES_tradnl" w:eastAsia="es-MX"/>
        </w:rPr>
        <w:t>treinta y seis millones trescientos ochenta y cinco mil novecientos ochenta y cinco pesos 58</w:t>
      </w:r>
      <w:r w:rsidR="00986D63" w:rsidRPr="00A04585">
        <w:rPr>
          <w:rFonts w:ascii="Trebuchet MS" w:hAnsi="Trebuchet MS"/>
          <w:color w:val="000000"/>
          <w:sz w:val="24"/>
          <w:szCs w:val="24"/>
          <w:lang w:val="es-ES_tradnl" w:eastAsia="es-MX"/>
        </w:rPr>
        <w:t>/100 M.N.)</w:t>
      </w:r>
      <w:r w:rsidR="000D5B07" w:rsidRPr="00A04585">
        <w:rPr>
          <w:rFonts w:ascii="Trebuchet MS" w:hAnsi="Trebuchet MS"/>
          <w:color w:val="000000"/>
          <w:sz w:val="24"/>
          <w:szCs w:val="24"/>
          <w:lang w:val="es-ES_tradnl" w:eastAsia="es-MX"/>
        </w:rPr>
        <w:t xml:space="preserve">. En tanto que el </w:t>
      </w:r>
      <w:r w:rsidR="000D5B07" w:rsidRPr="00242547">
        <w:rPr>
          <w:rFonts w:ascii="Trebuchet MS" w:hAnsi="Trebuchet MS"/>
          <w:color w:val="000000"/>
          <w:sz w:val="24"/>
          <w:szCs w:val="24"/>
          <w:lang w:val="es-ES_tradnl" w:eastAsia="es-MX"/>
        </w:rPr>
        <w:t>setenta por ciento</w:t>
      </w:r>
      <w:r w:rsidR="005D5DC8" w:rsidRPr="00A04585">
        <w:rPr>
          <w:rFonts w:ascii="Trebuchet MS" w:hAnsi="Trebuchet MS"/>
          <w:color w:val="000000"/>
          <w:sz w:val="24"/>
          <w:szCs w:val="24"/>
          <w:lang w:val="es-ES_tradnl" w:eastAsia="es-MX"/>
        </w:rPr>
        <w:t xml:space="preserve"> restante equivale a $</w:t>
      </w:r>
      <w:r w:rsidR="00E8285A" w:rsidRPr="00A04585">
        <w:rPr>
          <w:rFonts w:ascii="Trebuchet MS" w:hAnsi="Trebuchet MS"/>
          <w:color w:val="000000"/>
          <w:sz w:val="24"/>
          <w:szCs w:val="24"/>
          <w:lang w:val="es-ES_tradnl" w:eastAsia="es-MX"/>
        </w:rPr>
        <w:t>84´900,633.01</w:t>
      </w:r>
      <w:r w:rsidR="005D5DC8" w:rsidRPr="00A04585">
        <w:rPr>
          <w:rFonts w:ascii="Trebuchet MS" w:hAnsi="Trebuchet MS"/>
          <w:color w:val="000000"/>
          <w:sz w:val="24"/>
          <w:szCs w:val="24"/>
          <w:lang w:val="es-ES_tradnl" w:eastAsia="es-MX"/>
        </w:rPr>
        <w:t xml:space="preserve"> (</w:t>
      </w:r>
      <w:r w:rsidR="00E8285A" w:rsidRPr="00A04585">
        <w:rPr>
          <w:rFonts w:ascii="Trebuchet MS" w:hAnsi="Trebuchet MS"/>
          <w:color w:val="000000"/>
          <w:sz w:val="24"/>
          <w:szCs w:val="24"/>
          <w:lang w:val="es-ES_tradnl" w:eastAsia="es-MX"/>
        </w:rPr>
        <w:t>ochenta y cuatro millones novecientos mil seiscientos treinta y tres pesos 01</w:t>
      </w:r>
      <w:r w:rsidR="00986D63" w:rsidRPr="00A04585">
        <w:rPr>
          <w:rFonts w:ascii="Trebuchet MS" w:hAnsi="Trebuchet MS"/>
          <w:color w:val="000000"/>
          <w:sz w:val="24"/>
          <w:szCs w:val="24"/>
          <w:lang w:val="es-ES_tradnl" w:eastAsia="es-MX"/>
        </w:rPr>
        <w:t>/100 M.N.). Lo anterior</w:t>
      </w:r>
      <w:r w:rsidR="005D5DC8" w:rsidRPr="00A04585">
        <w:rPr>
          <w:rFonts w:ascii="Trebuchet MS" w:hAnsi="Trebuchet MS"/>
          <w:color w:val="000000"/>
          <w:sz w:val="24"/>
          <w:szCs w:val="24"/>
          <w:lang w:val="es-ES_tradnl" w:eastAsia="es-MX"/>
        </w:rPr>
        <w:t xml:space="preserve"> se muestra en la tabla </w:t>
      </w:r>
      <w:r w:rsidR="00E8285A" w:rsidRPr="00A04585">
        <w:rPr>
          <w:rFonts w:ascii="Trebuchet MS" w:hAnsi="Trebuchet MS"/>
          <w:color w:val="000000"/>
          <w:sz w:val="24"/>
          <w:szCs w:val="24"/>
          <w:lang w:val="es-ES_tradnl" w:eastAsia="es-MX"/>
        </w:rPr>
        <w:t>siguiente</w:t>
      </w:r>
      <w:r w:rsidR="005D5DC8" w:rsidRPr="00A04585">
        <w:rPr>
          <w:rFonts w:ascii="Trebuchet MS" w:hAnsi="Trebuchet MS"/>
          <w:color w:val="000000"/>
          <w:sz w:val="24"/>
          <w:szCs w:val="24"/>
          <w:lang w:val="es-ES_tradnl" w:eastAsia="es-MX"/>
        </w:rPr>
        <w:t>:</w:t>
      </w:r>
    </w:p>
    <w:p w14:paraId="74A9503B" w14:textId="1E77DEDF" w:rsidR="005D5DC8" w:rsidRPr="00242547" w:rsidRDefault="005D5DC8" w:rsidP="002E7CFF">
      <w:pPr>
        <w:pStyle w:val="Sinespaciado"/>
        <w:jc w:val="both"/>
        <w:rPr>
          <w:rFonts w:ascii="Trebuchet MS" w:hAnsi="Trebuchet MS"/>
          <w:color w:val="000000"/>
          <w:sz w:val="24"/>
          <w:szCs w:val="24"/>
          <w:lang w:val="es-ES_tradnl" w:eastAsia="es-MX"/>
        </w:rPr>
      </w:pPr>
    </w:p>
    <w:tbl>
      <w:tblPr>
        <w:tblW w:w="7351" w:type="dxa"/>
        <w:jc w:val="center"/>
        <w:tblCellMar>
          <w:left w:w="70" w:type="dxa"/>
          <w:right w:w="70" w:type="dxa"/>
        </w:tblCellMar>
        <w:tblLook w:val="04A0" w:firstRow="1" w:lastRow="0" w:firstColumn="1" w:lastColumn="0" w:noHBand="0" w:noVBand="1"/>
      </w:tblPr>
      <w:tblGrid>
        <w:gridCol w:w="3261"/>
        <w:gridCol w:w="4090"/>
      </w:tblGrid>
      <w:tr w:rsidR="00E8285A" w:rsidRPr="00A04585" w14:paraId="126CBCA4" w14:textId="77777777" w:rsidTr="00E8285A">
        <w:trPr>
          <w:trHeight w:val="908"/>
          <w:jc w:val="center"/>
        </w:trPr>
        <w:tc>
          <w:tcPr>
            <w:tcW w:w="7351" w:type="dxa"/>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7E6561FA" w14:textId="77777777" w:rsidR="00E8285A" w:rsidRPr="00A04585" w:rsidRDefault="00E8285A" w:rsidP="00E8285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1.2 Criterio de distribución: 30% en forma igualitaria, 70% en forma proporcional y cantidades resultantes</w:t>
            </w:r>
          </w:p>
        </w:tc>
      </w:tr>
      <w:tr w:rsidR="00E8285A" w:rsidRPr="00A04585" w14:paraId="1FB84AF8" w14:textId="77777777" w:rsidTr="00E8285A">
        <w:trPr>
          <w:trHeight w:val="644"/>
          <w:jc w:val="center"/>
        </w:trPr>
        <w:tc>
          <w:tcPr>
            <w:tcW w:w="3261" w:type="dxa"/>
            <w:tcBorders>
              <w:top w:val="nil"/>
              <w:left w:val="single" w:sz="8" w:space="0" w:color="808080"/>
              <w:bottom w:val="single" w:sz="4" w:space="0" w:color="808080"/>
              <w:right w:val="single" w:sz="4" w:space="0" w:color="808080"/>
            </w:tcBorders>
            <w:shd w:val="clear" w:color="auto" w:fill="auto"/>
            <w:vAlign w:val="center"/>
            <w:hideMark/>
          </w:tcPr>
          <w:p w14:paraId="708DAD20" w14:textId="77777777" w:rsidR="00E8285A" w:rsidRPr="00A04585" w:rsidRDefault="00E8285A" w:rsidP="00E8285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distribuir</w:t>
            </w:r>
          </w:p>
        </w:tc>
        <w:tc>
          <w:tcPr>
            <w:tcW w:w="4090" w:type="dxa"/>
            <w:tcBorders>
              <w:top w:val="nil"/>
              <w:left w:val="nil"/>
              <w:bottom w:val="single" w:sz="4" w:space="0" w:color="808080"/>
              <w:right w:val="single" w:sz="8" w:space="0" w:color="808080"/>
            </w:tcBorders>
            <w:shd w:val="clear" w:color="auto" w:fill="auto"/>
            <w:noWrap/>
            <w:vAlign w:val="center"/>
            <w:hideMark/>
          </w:tcPr>
          <w:p w14:paraId="0637A4C2" w14:textId="77777777" w:rsidR="00E8285A" w:rsidRPr="00A04585" w:rsidRDefault="00E8285A" w:rsidP="00E8285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$121,286,618.59</w:t>
            </w:r>
          </w:p>
        </w:tc>
      </w:tr>
      <w:tr w:rsidR="00E8285A" w:rsidRPr="00A04585" w14:paraId="7B8AF4E2" w14:textId="77777777" w:rsidTr="00E8285A">
        <w:trPr>
          <w:trHeight w:val="644"/>
          <w:jc w:val="center"/>
        </w:trPr>
        <w:tc>
          <w:tcPr>
            <w:tcW w:w="3261"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7C20D12D" w14:textId="77777777" w:rsidR="00E8285A" w:rsidRPr="00A04585" w:rsidRDefault="00E8285A" w:rsidP="00E8285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forma igualitaria</w:t>
            </w:r>
          </w:p>
        </w:tc>
        <w:tc>
          <w:tcPr>
            <w:tcW w:w="4090" w:type="dxa"/>
            <w:tcBorders>
              <w:top w:val="single" w:sz="4" w:space="0" w:color="808080"/>
              <w:left w:val="nil"/>
              <w:bottom w:val="single" w:sz="4" w:space="0" w:color="808080"/>
              <w:right w:val="single" w:sz="8" w:space="0" w:color="808080"/>
            </w:tcBorders>
            <w:shd w:val="clear" w:color="auto" w:fill="auto"/>
            <w:noWrap/>
            <w:vAlign w:val="center"/>
            <w:hideMark/>
          </w:tcPr>
          <w:p w14:paraId="12059753" w14:textId="77777777" w:rsidR="00E8285A" w:rsidRPr="00A04585" w:rsidRDefault="00E8285A" w:rsidP="00E8285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$36,385,985.58</w:t>
            </w:r>
          </w:p>
        </w:tc>
      </w:tr>
      <w:tr w:rsidR="00E8285A" w:rsidRPr="00A04585" w14:paraId="14C44263" w14:textId="77777777" w:rsidTr="00E8285A">
        <w:trPr>
          <w:trHeight w:val="644"/>
          <w:jc w:val="center"/>
        </w:trPr>
        <w:tc>
          <w:tcPr>
            <w:tcW w:w="3261" w:type="dxa"/>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1CE188FA" w14:textId="77777777" w:rsidR="00E8285A" w:rsidRPr="00A04585" w:rsidRDefault="00E8285A" w:rsidP="00E8285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forma proporcional</w:t>
            </w:r>
          </w:p>
        </w:tc>
        <w:tc>
          <w:tcPr>
            <w:tcW w:w="4090" w:type="dxa"/>
            <w:tcBorders>
              <w:top w:val="single" w:sz="4" w:space="0" w:color="808080"/>
              <w:left w:val="nil"/>
              <w:bottom w:val="single" w:sz="8" w:space="0" w:color="808080"/>
              <w:right w:val="single" w:sz="8" w:space="0" w:color="808080"/>
            </w:tcBorders>
            <w:shd w:val="clear" w:color="000000" w:fill="FFFFFF"/>
            <w:vAlign w:val="center"/>
            <w:hideMark/>
          </w:tcPr>
          <w:p w14:paraId="13509080" w14:textId="77777777" w:rsidR="00E8285A" w:rsidRPr="00A04585" w:rsidRDefault="00E8285A" w:rsidP="00E8285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$84,900,633.01</w:t>
            </w:r>
          </w:p>
        </w:tc>
      </w:tr>
    </w:tbl>
    <w:p w14:paraId="77ADD92A" w14:textId="5B277DC1" w:rsidR="005D5DC8" w:rsidRPr="00242547" w:rsidRDefault="005D5DC8" w:rsidP="002E7CFF">
      <w:pPr>
        <w:pStyle w:val="Sinespaciado"/>
        <w:jc w:val="center"/>
        <w:rPr>
          <w:rFonts w:ascii="Trebuchet MS" w:hAnsi="Trebuchet MS"/>
          <w:color w:val="000000"/>
          <w:sz w:val="24"/>
          <w:szCs w:val="24"/>
          <w:lang w:val="es-ES_tradnl" w:eastAsia="es-MX"/>
        </w:rPr>
      </w:pPr>
    </w:p>
    <w:p w14:paraId="61F137CC" w14:textId="33210144" w:rsidR="005D5DC8" w:rsidRPr="00242547" w:rsidRDefault="005D5DC8" w:rsidP="002E7CFF">
      <w:pPr>
        <w:pStyle w:val="Sinespaciado"/>
        <w:jc w:val="both"/>
        <w:rPr>
          <w:rFonts w:ascii="Trebuchet MS" w:hAnsi="Trebuchet MS"/>
          <w:color w:val="000000"/>
          <w:sz w:val="24"/>
          <w:szCs w:val="24"/>
          <w:lang w:val="es-ES_tradnl" w:eastAsia="es-MX"/>
        </w:rPr>
      </w:pPr>
    </w:p>
    <w:p w14:paraId="143A6872" w14:textId="56A1445D" w:rsidR="005D5DC8" w:rsidRPr="00A04585" w:rsidRDefault="005D5DC8"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Como se adelantó el monto equivalente al </w:t>
      </w:r>
      <w:r w:rsidR="000D5B07"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de la cantidad </w:t>
      </w:r>
      <w:r w:rsidR="00986D63" w:rsidRPr="00A04585">
        <w:rPr>
          <w:rFonts w:ascii="Trebuchet MS" w:hAnsi="Trebuchet MS"/>
          <w:color w:val="000000"/>
          <w:sz w:val="24"/>
          <w:szCs w:val="24"/>
          <w:lang w:val="es-ES_tradnl" w:eastAsia="es-MX"/>
        </w:rPr>
        <w:t>a distribuir, debe dividirse entre siete</w:t>
      </w:r>
      <w:r w:rsidR="005C56F6" w:rsidRPr="00A04585">
        <w:rPr>
          <w:rFonts w:ascii="Trebuchet MS" w:hAnsi="Trebuchet MS"/>
          <w:color w:val="000000"/>
          <w:sz w:val="24"/>
          <w:szCs w:val="24"/>
          <w:lang w:val="es-ES_tradnl" w:eastAsia="es-MX"/>
        </w:rPr>
        <w:t xml:space="preserve"> (partidos con derecho a recibir financiamiento)</w:t>
      </w:r>
      <w:r w:rsidR="00986D63" w:rsidRPr="00A04585">
        <w:rPr>
          <w:rFonts w:ascii="Trebuchet MS" w:hAnsi="Trebuchet MS"/>
          <w:color w:val="000000"/>
          <w:sz w:val="24"/>
          <w:szCs w:val="24"/>
          <w:lang w:val="es-ES_tradnl" w:eastAsia="es-MX"/>
        </w:rPr>
        <w:t xml:space="preserve">, para asignar una séptima parte de ese monto a cada una </w:t>
      </w:r>
      <w:r w:rsidRPr="00A04585">
        <w:rPr>
          <w:rFonts w:ascii="Trebuchet MS" w:hAnsi="Trebuchet MS"/>
          <w:color w:val="000000"/>
          <w:sz w:val="24"/>
          <w:szCs w:val="24"/>
          <w:lang w:val="es-ES_tradnl" w:eastAsia="es-MX"/>
        </w:rPr>
        <w:t xml:space="preserve">de las cinco fuerzas políticas nacionales con acreditación en la entidad federativa que tienen derecho </w:t>
      </w:r>
      <w:r w:rsidR="00E8285A" w:rsidRPr="00A04585">
        <w:rPr>
          <w:rFonts w:ascii="Trebuchet MS" w:hAnsi="Trebuchet MS"/>
          <w:color w:val="000000"/>
          <w:sz w:val="24"/>
          <w:szCs w:val="24"/>
          <w:lang w:val="es-ES_tradnl" w:eastAsia="es-MX"/>
        </w:rPr>
        <w:t xml:space="preserve">al financiamiento público, </w:t>
      </w:r>
      <w:r w:rsidRPr="00A04585">
        <w:rPr>
          <w:rFonts w:ascii="Trebuchet MS" w:hAnsi="Trebuchet MS"/>
          <w:color w:val="000000"/>
          <w:sz w:val="24"/>
          <w:szCs w:val="24"/>
          <w:lang w:val="es-ES_tradnl" w:eastAsia="es-MX"/>
        </w:rPr>
        <w:t xml:space="preserve">en este caso, </w:t>
      </w:r>
      <w:r w:rsidR="00E8285A" w:rsidRPr="00A04585">
        <w:rPr>
          <w:rFonts w:ascii="Trebuchet MS" w:hAnsi="Trebuchet MS"/>
          <w:color w:val="000000"/>
          <w:sz w:val="24"/>
          <w:szCs w:val="24"/>
          <w:lang w:val="es-ES_tradnl" w:eastAsia="es-MX"/>
        </w:rPr>
        <w:t xml:space="preserve">a los partidos políticos </w:t>
      </w:r>
      <w:r w:rsidRPr="00A04585">
        <w:rPr>
          <w:rFonts w:ascii="Trebuchet MS" w:hAnsi="Trebuchet MS"/>
          <w:color w:val="000000"/>
          <w:sz w:val="24"/>
          <w:szCs w:val="24"/>
          <w:lang w:val="es-ES_tradnl" w:eastAsia="es-MX"/>
        </w:rPr>
        <w:t xml:space="preserve">Acción Nacional, Revolucionario Institucional, Verde Ecologista de México, Movimiento Ciudadano y Morena, por lo que a cada uno </w:t>
      </w:r>
      <w:r w:rsidR="00E8285A" w:rsidRPr="00A04585">
        <w:rPr>
          <w:rFonts w:ascii="Trebuchet MS" w:hAnsi="Trebuchet MS"/>
          <w:color w:val="000000"/>
          <w:sz w:val="24"/>
          <w:szCs w:val="24"/>
          <w:lang w:val="es-ES_tradnl" w:eastAsia="es-MX"/>
        </w:rPr>
        <w:t>de los anteriores</w:t>
      </w:r>
      <w:r w:rsidRPr="00A04585">
        <w:rPr>
          <w:rFonts w:ascii="Trebuchet MS" w:hAnsi="Trebuchet MS"/>
          <w:color w:val="000000"/>
          <w:sz w:val="24"/>
          <w:szCs w:val="24"/>
          <w:lang w:val="es-ES_tradnl" w:eastAsia="es-MX"/>
        </w:rPr>
        <w:t xml:space="preserve"> corresponde </w:t>
      </w:r>
      <w:r w:rsidR="00986D63" w:rsidRPr="00A04585">
        <w:rPr>
          <w:rFonts w:ascii="Trebuchet MS" w:hAnsi="Trebuchet MS"/>
          <w:color w:val="000000"/>
          <w:sz w:val="24"/>
          <w:szCs w:val="24"/>
          <w:lang w:val="es-ES_tradnl" w:eastAsia="es-MX"/>
        </w:rPr>
        <w:t>l</w:t>
      </w:r>
      <w:r w:rsidR="00E8285A" w:rsidRPr="00A04585">
        <w:rPr>
          <w:rFonts w:ascii="Trebuchet MS" w:hAnsi="Trebuchet MS"/>
          <w:color w:val="000000"/>
          <w:sz w:val="24"/>
          <w:szCs w:val="24"/>
          <w:lang w:val="es-ES_tradnl" w:eastAsia="es-MX"/>
        </w:rPr>
        <w:t>a cantidad referida en la tabla siguiente</w:t>
      </w:r>
      <w:r w:rsidRPr="00A04585">
        <w:rPr>
          <w:rFonts w:ascii="Trebuchet MS" w:hAnsi="Trebuchet MS"/>
          <w:color w:val="000000"/>
          <w:sz w:val="24"/>
          <w:szCs w:val="24"/>
          <w:lang w:val="es-ES_tradnl" w:eastAsia="es-MX"/>
        </w:rPr>
        <w:t>:</w:t>
      </w:r>
    </w:p>
    <w:p w14:paraId="3FAA4A67" w14:textId="02F522DE" w:rsidR="005D5DC8" w:rsidRPr="00242547" w:rsidRDefault="005D5DC8" w:rsidP="002E7CFF">
      <w:pPr>
        <w:pStyle w:val="Sinespaciado"/>
        <w:jc w:val="both"/>
        <w:rPr>
          <w:rFonts w:ascii="Trebuchet MS" w:hAnsi="Trebuchet MS"/>
          <w:color w:val="000000"/>
          <w:sz w:val="24"/>
          <w:szCs w:val="24"/>
          <w:lang w:val="es-ES_tradnl" w:eastAsia="es-MX"/>
        </w:rPr>
      </w:pPr>
    </w:p>
    <w:tbl>
      <w:tblPr>
        <w:tblW w:w="7541" w:type="dxa"/>
        <w:jc w:val="center"/>
        <w:tblCellMar>
          <w:left w:w="70" w:type="dxa"/>
          <w:right w:w="70" w:type="dxa"/>
        </w:tblCellMar>
        <w:tblLook w:val="04A0" w:firstRow="1" w:lastRow="0" w:firstColumn="1" w:lastColumn="0" w:noHBand="0" w:noVBand="1"/>
      </w:tblPr>
      <w:tblGrid>
        <w:gridCol w:w="3346"/>
        <w:gridCol w:w="4195"/>
      </w:tblGrid>
      <w:tr w:rsidR="008E06EB" w:rsidRPr="00A04585" w14:paraId="3867CAD3" w14:textId="77777777" w:rsidTr="008E06EB">
        <w:trPr>
          <w:trHeight w:val="931"/>
          <w:jc w:val="center"/>
        </w:trPr>
        <w:tc>
          <w:tcPr>
            <w:tcW w:w="7541" w:type="dxa"/>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ABE0F90" w14:textId="77777777" w:rsidR="008E06EB" w:rsidRPr="00A04585" w:rsidRDefault="008E06EB" w:rsidP="008E06EB">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1.3 Distribución de la parte igualitaria: 30% de la cantidad a distribuir</w:t>
            </w:r>
            <w:r w:rsidRPr="00A04585">
              <w:rPr>
                <w:rFonts w:ascii="Trebuchet MS" w:eastAsia="Times New Roman" w:hAnsi="Trebuchet MS" w:cs="Calibri Light"/>
                <w:b/>
                <w:bCs/>
                <w:color w:val="000000"/>
                <w:sz w:val="20"/>
                <w:szCs w:val="20"/>
                <w:lang w:eastAsia="es-MX"/>
              </w:rPr>
              <w:br/>
              <w:t>Artículos 13 CPEJ y 46 del CEEJ.</w:t>
            </w:r>
          </w:p>
        </w:tc>
      </w:tr>
      <w:tr w:rsidR="008E06EB" w:rsidRPr="00A04585" w14:paraId="286ABCF1" w14:textId="77777777" w:rsidTr="008E06EB">
        <w:trPr>
          <w:trHeight w:val="630"/>
          <w:jc w:val="center"/>
        </w:trPr>
        <w:tc>
          <w:tcPr>
            <w:tcW w:w="3346" w:type="dxa"/>
            <w:tcBorders>
              <w:top w:val="nil"/>
              <w:left w:val="single" w:sz="8" w:space="0" w:color="808080"/>
              <w:bottom w:val="single" w:sz="4" w:space="0" w:color="808080"/>
              <w:right w:val="single" w:sz="4" w:space="0" w:color="808080"/>
            </w:tcBorders>
            <w:shd w:val="clear" w:color="auto" w:fill="auto"/>
            <w:vAlign w:val="center"/>
            <w:hideMark/>
          </w:tcPr>
          <w:p w14:paraId="00DCCD62" w14:textId="77777777" w:rsidR="008E06EB" w:rsidRPr="00A04585" w:rsidRDefault="008E06EB" w:rsidP="008E06EB">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en la parte igualitaria</w:t>
            </w:r>
          </w:p>
        </w:tc>
        <w:tc>
          <w:tcPr>
            <w:tcW w:w="4195" w:type="dxa"/>
            <w:tcBorders>
              <w:top w:val="nil"/>
              <w:left w:val="nil"/>
              <w:bottom w:val="single" w:sz="4" w:space="0" w:color="808080"/>
              <w:right w:val="single" w:sz="8" w:space="0" w:color="808080"/>
            </w:tcBorders>
            <w:shd w:val="clear" w:color="auto" w:fill="auto"/>
            <w:noWrap/>
            <w:vAlign w:val="center"/>
            <w:hideMark/>
          </w:tcPr>
          <w:p w14:paraId="31BFDC14" w14:textId="77777777" w:rsidR="008E06EB" w:rsidRPr="00A04585" w:rsidRDefault="008E06EB" w:rsidP="008E06EB">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$36,385,985.58</w:t>
            </w:r>
          </w:p>
        </w:tc>
      </w:tr>
      <w:tr w:rsidR="008E06EB" w:rsidRPr="00A04585" w14:paraId="7B3B853D" w14:textId="77777777" w:rsidTr="008E06EB">
        <w:trPr>
          <w:trHeight w:val="630"/>
          <w:jc w:val="center"/>
        </w:trPr>
        <w:tc>
          <w:tcPr>
            <w:tcW w:w="3346"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21DF2815" w14:textId="77777777" w:rsidR="008E06EB" w:rsidRPr="00A04585" w:rsidRDefault="008E06EB" w:rsidP="008E06EB">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Partidos políticos con derecho a recibirlo</w:t>
            </w:r>
          </w:p>
        </w:tc>
        <w:tc>
          <w:tcPr>
            <w:tcW w:w="4195" w:type="dxa"/>
            <w:tcBorders>
              <w:top w:val="single" w:sz="4" w:space="0" w:color="808080"/>
              <w:left w:val="nil"/>
              <w:bottom w:val="single" w:sz="4" w:space="0" w:color="808080"/>
              <w:right w:val="single" w:sz="8" w:space="0" w:color="808080"/>
            </w:tcBorders>
            <w:shd w:val="clear" w:color="auto" w:fill="auto"/>
            <w:noWrap/>
            <w:vAlign w:val="center"/>
            <w:hideMark/>
          </w:tcPr>
          <w:p w14:paraId="09116425" w14:textId="1574EACC" w:rsidR="008E06EB" w:rsidRPr="00A04585" w:rsidRDefault="008E06EB" w:rsidP="008E06EB">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w:t>
            </w:r>
          </w:p>
        </w:tc>
      </w:tr>
      <w:tr w:rsidR="008E06EB" w:rsidRPr="00A04585" w14:paraId="4AE9F51F" w14:textId="77777777" w:rsidTr="008E06EB">
        <w:trPr>
          <w:trHeight w:val="630"/>
          <w:jc w:val="center"/>
        </w:trPr>
        <w:tc>
          <w:tcPr>
            <w:tcW w:w="3346" w:type="dxa"/>
            <w:tcBorders>
              <w:top w:val="single" w:sz="4" w:space="0" w:color="808080"/>
              <w:left w:val="single" w:sz="8" w:space="0" w:color="808080"/>
              <w:bottom w:val="single" w:sz="8" w:space="0" w:color="808080"/>
              <w:right w:val="single" w:sz="4" w:space="0" w:color="808080"/>
            </w:tcBorders>
            <w:shd w:val="clear" w:color="000000" w:fill="F3EBF9"/>
            <w:vAlign w:val="center"/>
            <w:hideMark/>
          </w:tcPr>
          <w:p w14:paraId="35737AA5" w14:textId="0B83C671" w:rsidR="008E06EB" w:rsidRPr="00A04585" w:rsidRDefault="008E06EB" w:rsidP="008E06EB">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entregar por partido político</w:t>
            </w:r>
          </w:p>
        </w:tc>
        <w:tc>
          <w:tcPr>
            <w:tcW w:w="4195" w:type="dxa"/>
            <w:tcBorders>
              <w:top w:val="single" w:sz="4" w:space="0" w:color="808080"/>
              <w:left w:val="nil"/>
              <w:bottom w:val="single" w:sz="8" w:space="0" w:color="808080"/>
              <w:right w:val="single" w:sz="8" w:space="0" w:color="808080"/>
            </w:tcBorders>
            <w:shd w:val="clear" w:color="000000" w:fill="F3EBF9"/>
            <w:vAlign w:val="center"/>
            <w:hideMark/>
          </w:tcPr>
          <w:p w14:paraId="2A34E961" w14:textId="77777777" w:rsidR="008E06EB" w:rsidRPr="00A04585" w:rsidRDefault="008E06EB" w:rsidP="008E06EB">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$5,197,997.94</w:t>
            </w:r>
          </w:p>
        </w:tc>
      </w:tr>
    </w:tbl>
    <w:p w14:paraId="11476323" w14:textId="0AA2BBE1" w:rsidR="005D5DC8" w:rsidRPr="00242547" w:rsidRDefault="005D5DC8" w:rsidP="002E7CFF">
      <w:pPr>
        <w:pStyle w:val="Sinespaciado"/>
        <w:jc w:val="center"/>
        <w:rPr>
          <w:rFonts w:ascii="Trebuchet MS" w:hAnsi="Trebuchet MS"/>
          <w:color w:val="000000"/>
          <w:sz w:val="24"/>
          <w:szCs w:val="24"/>
          <w:lang w:val="es-ES_tradnl" w:eastAsia="es-MX"/>
        </w:rPr>
      </w:pPr>
    </w:p>
    <w:p w14:paraId="54619C3B" w14:textId="235F66C1" w:rsidR="00986D63" w:rsidRPr="00A04585" w:rsidRDefault="00986D6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La suma de lo que deberá distribuirse a los partidos nacionales por el concepto de financiamiento</w:t>
      </w:r>
      <w:r w:rsidR="000D5B07" w:rsidRPr="00A04585">
        <w:rPr>
          <w:rFonts w:ascii="Trebuchet MS" w:hAnsi="Trebuchet MS"/>
          <w:color w:val="000000"/>
          <w:sz w:val="24"/>
          <w:szCs w:val="24"/>
          <w:lang w:val="es-ES_tradnl" w:eastAsia="es-MX"/>
        </w:rPr>
        <w:t xml:space="preserve"> público respecto al </w:t>
      </w:r>
      <w:r w:rsidR="000D5B07" w:rsidRPr="00242547">
        <w:rPr>
          <w:rFonts w:ascii="Trebuchet MS" w:hAnsi="Trebuchet MS"/>
          <w:color w:val="000000"/>
          <w:sz w:val="24"/>
          <w:szCs w:val="24"/>
          <w:lang w:val="es-ES_tradnl" w:eastAsia="es-MX"/>
        </w:rPr>
        <w:t>treinta por ciento</w:t>
      </w:r>
      <w:r w:rsidR="000D5B07" w:rsidRPr="00A04585">
        <w:rPr>
          <w:rFonts w:ascii="Trebuchet MS" w:hAnsi="Trebuchet MS"/>
          <w:color w:val="000000"/>
          <w:sz w:val="24"/>
          <w:szCs w:val="24"/>
          <w:lang w:val="es-ES_tradnl" w:eastAsia="es-MX"/>
        </w:rPr>
        <w:t xml:space="preserve"> </w:t>
      </w:r>
      <w:r w:rsidR="00423BF4" w:rsidRPr="00A04585">
        <w:rPr>
          <w:rFonts w:ascii="Trebuchet MS" w:hAnsi="Trebuchet MS"/>
          <w:color w:val="000000"/>
          <w:sz w:val="24"/>
          <w:szCs w:val="24"/>
          <w:lang w:val="es-ES_tradnl" w:eastAsia="es-MX"/>
        </w:rPr>
        <w:t>a distribuirse de forma igualitaria</w:t>
      </w:r>
      <w:r w:rsidRPr="00A04585">
        <w:rPr>
          <w:rFonts w:ascii="Trebuchet MS" w:hAnsi="Trebuchet MS"/>
          <w:color w:val="000000"/>
          <w:sz w:val="24"/>
          <w:szCs w:val="24"/>
          <w:lang w:val="es-ES_tradnl" w:eastAsia="es-MX"/>
        </w:rPr>
        <w:t xml:space="preserve"> equivale a $</w:t>
      </w:r>
      <w:r w:rsidR="00423BF4" w:rsidRPr="00A04585">
        <w:rPr>
          <w:rFonts w:ascii="Trebuchet MS" w:hAnsi="Trebuchet MS"/>
          <w:color w:val="000000"/>
          <w:sz w:val="24"/>
          <w:szCs w:val="24"/>
          <w:lang w:val="es-ES_tradnl" w:eastAsia="es-MX"/>
        </w:rPr>
        <w:t xml:space="preserve">25´989,989.70 </w:t>
      </w:r>
      <w:r w:rsidRPr="00A04585">
        <w:rPr>
          <w:rFonts w:ascii="Trebuchet MS" w:hAnsi="Trebuchet MS"/>
          <w:color w:val="000000"/>
          <w:sz w:val="24"/>
          <w:szCs w:val="24"/>
          <w:lang w:val="es-ES_tradnl" w:eastAsia="es-MX"/>
        </w:rPr>
        <w:t>(veinti</w:t>
      </w:r>
      <w:r w:rsidR="00423BF4" w:rsidRPr="00A04585">
        <w:rPr>
          <w:rFonts w:ascii="Trebuchet MS" w:hAnsi="Trebuchet MS"/>
          <w:color w:val="000000"/>
          <w:sz w:val="24"/>
          <w:szCs w:val="24"/>
          <w:lang w:val="es-ES_tradnl" w:eastAsia="es-MX"/>
        </w:rPr>
        <w:t>cinco</w:t>
      </w:r>
      <w:r w:rsidRPr="00A04585">
        <w:rPr>
          <w:rFonts w:ascii="Trebuchet MS" w:hAnsi="Trebuchet MS"/>
          <w:color w:val="000000"/>
          <w:sz w:val="24"/>
          <w:szCs w:val="24"/>
          <w:lang w:val="es-ES_tradnl" w:eastAsia="es-MX"/>
        </w:rPr>
        <w:t xml:space="preserve"> millones </w:t>
      </w:r>
      <w:r w:rsidR="00423BF4" w:rsidRPr="00A04585">
        <w:rPr>
          <w:rFonts w:ascii="Trebuchet MS" w:hAnsi="Trebuchet MS"/>
          <w:color w:val="000000"/>
          <w:sz w:val="24"/>
          <w:szCs w:val="24"/>
          <w:lang w:val="es-ES_tradnl" w:eastAsia="es-MX"/>
        </w:rPr>
        <w:t xml:space="preserve">novecientos ochenta y nueve mil  novecientos ochenta y nueve </w:t>
      </w:r>
      <w:r w:rsidRPr="00A04585">
        <w:rPr>
          <w:rFonts w:ascii="Trebuchet MS" w:hAnsi="Trebuchet MS"/>
          <w:color w:val="000000"/>
          <w:sz w:val="24"/>
          <w:szCs w:val="24"/>
          <w:lang w:val="es-ES_tradnl" w:eastAsia="es-MX"/>
        </w:rPr>
        <w:t xml:space="preserve">pesos </w:t>
      </w:r>
      <w:r w:rsidR="00423BF4" w:rsidRPr="00A04585">
        <w:rPr>
          <w:rFonts w:ascii="Trebuchet MS" w:hAnsi="Trebuchet MS"/>
          <w:color w:val="000000"/>
          <w:sz w:val="24"/>
          <w:szCs w:val="24"/>
          <w:lang w:val="es-ES_tradnl" w:eastAsia="es-MX"/>
        </w:rPr>
        <w:t>7</w:t>
      </w:r>
      <w:r w:rsidRPr="00A04585">
        <w:rPr>
          <w:rFonts w:ascii="Trebuchet MS" w:hAnsi="Trebuchet MS"/>
          <w:color w:val="000000"/>
          <w:sz w:val="24"/>
          <w:szCs w:val="24"/>
          <w:lang w:val="es-ES_tradnl" w:eastAsia="es-MX"/>
        </w:rPr>
        <w:t xml:space="preserve">0/100 M.N.), de lo que se deriva que no será repartida la cantidad de </w:t>
      </w:r>
      <w:r w:rsidR="00C81BB9" w:rsidRPr="00A04585">
        <w:rPr>
          <w:rFonts w:ascii="Trebuchet MS" w:hAnsi="Trebuchet MS"/>
          <w:color w:val="000000"/>
          <w:sz w:val="24"/>
          <w:szCs w:val="24"/>
          <w:lang w:val="es-ES_tradnl" w:eastAsia="es-MX"/>
        </w:rPr>
        <w:t>$</w:t>
      </w:r>
      <w:r w:rsidR="00E53538" w:rsidRPr="00A04585">
        <w:rPr>
          <w:rFonts w:ascii="Trebuchet MS" w:hAnsi="Trebuchet MS"/>
          <w:color w:val="000000"/>
          <w:sz w:val="24"/>
          <w:szCs w:val="24"/>
          <w:lang w:val="es-ES_tradnl" w:eastAsia="es-MX"/>
        </w:rPr>
        <w:t>10´395,995.88</w:t>
      </w:r>
      <w:r w:rsidR="00C81BB9" w:rsidRPr="00A04585">
        <w:rPr>
          <w:rFonts w:ascii="Trebuchet MS" w:hAnsi="Trebuchet MS"/>
          <w:color w:val="000000"/>
          <w:sz w:val="24"/>
          <w:szCs w:val="24"/>
          <w:lang w:val="es-ES_tradnl" w:eastAsia="es-MX"/>
        </w:rPr>
        <w:t xml:space="preserve"> (</w:t>
      </w:r>
      <w:r w:rsidR="00E53538" w:rsidRPr="00A04585">
        <w:rPr>
          <w:rFonts w:ascii="Trebuchet MS" w:hAnsi="Trebuchet MS"/>
          <w:color w:val="000000"/>
          <w:sz w:val="24"/>
          <w:szCs w:val="24"/>
          <w:lang w:val="es-ES_tradnl" w:eastAsia="es-MX"/>
        </w:rPr>
        <w:t>diez millones trescientos noventa y cinco mil novecientos noventa y cinco pesos 88</w:t>
      </w:r>
      <w:r w:rsidR="00C81BB9" w:rsidRPr="00A04585">
        <w:rPr>
          <w:rFonts w:ascii="Trebuchet MS" w:hAnsi="Trebuchet MS"/>
          <w:color w:val="000000"/>
          <w:sz w:val="24"/>
          <w:szCs w:val="24"/>
          <w:lang w:val="es-ES_tradnl" w:eastAsia="es-MX"/>
        </w:rPr>
        <w:t>/100 M.N.).</w:t>
      </w:r>
    </w:p>
    <w:p w14:paraId="3FB365BD" w14:textId="77777777" w:rsidR="00986D63" w:rsidRPr="00242547" w:rsidRDefault="00986D63" w:rsidP="002E7CFF">
      <w:pPr>
        <w:pStyle w:val="Sinespaciado"/>
        <w:jc w:val="both"/>
        <w:rPr>
          <w:rFonts w:ascii="Trebuchet MS" w:hAnsi="Trebuchet MS"/>
          <w:color w:val="000000"/>
          <w:sz w:val="24"/>
          <w:szCs w:val="24"/>
          <w:lang w:val="es-ES_tradnl" w:eastAsia="es-MX"/>
        </w:rPr>
      </w:pPr>
    </w:p>
    <w:p w14:paraId="45839261" w14:textId="0A334086" w:rsidR="006A453A" w:rsidRPr="00A04585" w:rsidRDefault="006A453A"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Por otro lado, la cantidad correspondiente al total del financiamiento que d</w:t>
      </w:r>
      <w:r w:rsidR="00E53538" w:rsidRPr="00A04585">
        <w:rPr>
          <w:rFonts w:ascii="Trebuchet MS" w:hAnsi="Trebuchet MS"/>
          <w:color w:val="000000"/>
          <w:sz w:val="24"/>
          <w:szCs w:val="24"/>
          <w:lang w:val="es-ES_tradnl" w:eastAsia="es-MX"/>
        </w:rPr>
        <w:t xml:space="preserve">ebe destinarse </w:t>
      </w:r>
      <w:r w:rsidR="005C56F6" w:rsidRPr="00A04585">
        <w:rPr>
          <w:rFonts w:ascii="Trebuchet MS" w:hAnsi="Trebuchet MS"/>
          <w:color w:val="000000"/>
          <w:sz w:val="24"/>
          <w:szCs w:val="24"/>
          <w:lang w:val="es-ES_tradnl" w:eastAsia="es-MX"/>
        </w:rPr>
        <w:t xml:space="preserve">a los partidos </w:t>
      </w:r>
      <w:r w:rsidR="00E53538" w:rsidRPr="00A04585">
        <w:rPr>
          <w:rFonts w:ascii="Trebuchet MS" w:hAnsi="Trebuchet MS"/>
          <w:color w:val="000000"/>
          <w:sz w:val="24"/>
          <w:szCs w:val="24"/>
          <w:lang w:val="es-ES_tradnl" w:eastAsia="es-MX"/>
        </w:rPr>
        <w:t xml:space="preserve">políticos </w:t>
      </w:r>
      <w:r w:rsidR="005C56F6" w:rsidRPr="00A04585">
        <w:rPr>
          <w:rFonts w:ascii="Trebuchet MS" w:hAnsi="Trebuchet MS"/>
          <w:color w:val="000000"/>
          <w:sz w:val="24"/>
          <w:szCs w:val="24"/>
          <w:lang w:val="es-ES_tradnl" w:eastAsia="es-MX"/>
        </w:rPr>
        <w:t xml:space="preserve">nacionales </w:t>
      </w:r>
      <w:r w:rsidRPr="00A04585">
        <w:rPr>
          <w:rFonts w:ascii="Trebuchet MS" w:hAnsi="Trebuchet MS"/>
          <w:color w:val="000000"/>
          <w:sz w:val="24"/>
          <w:szCs w:val="24"/>
          <w:lang w:val="es-ES_tradnl" w:eastAsia="es-MX"/>
        </w:rPr>
        <w:t>conforme al porcentaje de la votación obtenida por cada uno de e</w:t>
      </w:r>
      <w:r w:rsidR="00E53538" w:rsidRPr="00A04585">
        <w:rPr>
          <w:rFonts w:ascii="Trebuchet MS" w:hAnsi="Trebuchet MS"/>
          <w:color w:val="000000"/>
          <w:sz w:val="24"/>
          <w:szCs w:val="24"/>
          <w:lang w:val="es-ES_tradnl" w:eastAsia="es-MX"/>
        </w:rPr>
        <w:t xml:space="preserve">llos, </w:t>
      </w:r>
      <w:r w:rsidRPr="00A04585">
        <w:rPr>
          <w:rFonts w:ascii="Trebuchet MS" w:hAnsi="Trebuchet MS"/>
          <w:color w:val="000000"/>
          <w:sz w:val="24"/>
          <w:szCs w:val="24"/>
          <w:lang w:val="es-ES_tradnl" w:eastAsia="es-MX"/>
        </w:rPr>
        <w:t>se muestra a continuación:</w:t>
      </w:r>
    </w:p>
    <w:p w14:paraId="6D5379D2" w14:textId="36755BCF" w:rsidR="006A453A" w:rsidRPr="00242547" w:rsidRDefault="006A453A" w:rsidP="002E7CFF">
      <w:pPr>
        <w:pStyle w:val="Sinespaciado"/>
        <w:jc w:val="both"/>
        <w:rPr>
          <w:rFonts w:ascii="Trebuchet MS" w:hAnsi="Trebuchet MS"/>
          <w:color w:val="000000"/>
          <w:sz w:val="24"/>
          <w:szCs w:val="24"/>
          <w:lang w:val="es-ES_tradnl" w:eastAsia="es-MX"/>
        </w:rPr>
      </w:pPr>
    </w:p>
    <w:tbl>
      <w:tblPr>
        <w:tblW w:w="8668" w:type="dxa"/>
        <w:tblCellMar>
          <w:left w:w="70" w:type="dxa"/>
          <w:right w:w="70" w:type="dxa"/>
        </w:tblCellMar>
        <w:tblLook w:val="04A0" w:firstRow="1" w:lastRow="0" w:firstColumn="1" w:lastColumn="0" w:noHBand="0" w:noVBand="1"/>
      </w:tblPr>
      <w:tblGrid>
        <w:gridCol w:w="1605"/>
        <w:gridCol w:w="1918"/>
        <w:gridCol w:w="2384"/>
        <w:gridCol w:w="2761"/>
      </w:tblGrid>
      <w:tr w:rsidR="00E53538" w:rsidRPr="00A04585" w14:paraId="51A8C470" w14:textId="77777777" w:rsidTr="00E53538">
        <w:trPr>
          <w:trHeight w:val="371"/>
        </w:trPr>
        <w:tc>
          <w:tcPr>
            <w:tcW w:w="8668" w:type="dxa"/>
            <w:gridSpan w:val="4"/>
            <w:tcBorders>
              <w:top w:val="single" w:sz="8" w:space="0" w:color="808080"/>
              <w:left w:val="single" w:sz="8" w:space="0" w:color="808080"/>
              <w:bottom w:val="single" w:sz="8" w:space="0" w:color="808080"/>
              <w:right w:val="single" w:sz="8" w:space="0" w:color="808080"/>
            </w:tcBorders>
            <w:shd w:val="clear" w:color="000000" w:fill="F3EBF9"/>
            <w:noWrap/>
            <w:vAlign w:val="center"/>
            <w:hideMark/>
          </w:tcPr>
          <w:p w14:paraId="2C18E227"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1.4 Distribución de la parte proporcional: 70% de la cantidad a distribuir</w:t>
            </w:r>
          </w:p>
        </w:tc>
      </w:tr>
      <w:tr w:rsidR="00E53538" w:rsidRPr="00A04585" w14:paraId="3E652329" w14:textId="77777777" w:rsidTr="00E53538">
        <w:trPr>
          <w:trHeight w:val="371"/>
        </w:trPr>
        <w:tc>
          <w:tcPr>
            <w:tcW w:w="3523" w:type="dxa"/>
            <w:gridSpan w:val="2"/>
            <w:tcBorders>
              <w:top w:val="nil"/>
              <w:left w:val="single" w:sz="8" w:space="0" w:color="808080"/>
              <w:bottom w:val="nil"/>
              <w:right w:val="single" w:sz="4" w:space="0" w:color="808080"/>
            </w:tcBorders>
            <w:shd w:val="clear" w:color="auto" w:fill="auto"/>
            <w:vAlign w:val="center"/>
            <w:hideMark/>
          </w:tcPr>
          <w:p w14:paraId="5284E776"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cantidad a distribuir</w:t>
            </w:r>
          </w:p>
        </w:tc>
        <w:tc>
          <w:tcPr>
            <w:tcW w:w="5145" w:type="dxa"/>
            <w:gridSpan w:val="2"/>
            <w:tcBorders>
              <w:top w:val="nil"/>
              <w:left w:val="nil"/>
              <w:bottom w:val="single" w:sz="4" w:space="0" w:color="808080"/>
              <w:right w:val="single" w:sz="8" w:space="0" w:color="808080"/>
            </w:tcBorders>
            <w:shd w:val="clear" w:color="000000" w:fill="FFFFFF"/>
            <w:vAlign w:val="center"/>
            <w:hideMark/>
          </w:tcPr>
          <w:p w14:paraId="4FB06D7D"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$84,900,633.01</w:t>
            </w:r>
          </w:p>
        </w:tc>
      </w:tr>
      <w:tr w:rsidR="00E53538" w:rsidRPr="00A04585" w14:paraId="50EAC4D7" w14:textId="77777777" w:rsidTr="00E53538">
        <w:trPr>
          <w:trHeight w:val="836"/>
        </w:trPr>
        <w:tc>
          <w:tcPr>
            <w:tcW w:w="3523" w:type="dxa"/>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4902B210" w14:textId="77777777" w:rsidR="00E53538" w:rsidRPr="00A04585" w:rsidRDefault="00E53538" w:rsidP="00E53538">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Criterio de distribución</w:t>
            </w:r>
          </w:p>
        </w:tc>
        <w:tc>
          <w:tcPr>
            <w:tcW w:w="5145" w:type="dxa"/>
            <w:gridSpan w:val="2"/>
            <w:tcBorders>
              <w:top w:val="single" w:sz="4" w:space="0" w:color="808080"/>
              <w:left w:val="nil"/>
              <w:bottom w:val="single" w:sz="4" w:space="0" w:color="808080"/>
              <w:right w:val="single" w:sz="8" w:space="0" w:color="808080"/>
            </w:tcBorders>
            <w:shd w:val="clear" w:color="auto" w:fill="auto"/>
            <w:vAlign w:val="center"/>
            <w:hideMark/>
          </w:tcPr>
          <w:p w14:paraId="0775E54F" w14:textId="77777777" w:rsidR="00E53538" w:rsidRPr="00A04585" w:rsidRDefault="00E53538" w:rsidP="00E53538">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 xml:space="preserve">De acuerdo con el porcentaje de votos obtenidos en la elección de diputaciones por el principio de mayoría relativa inmediata anterior. </w:t>
            </w:r>
            <w:r w:rsidRPr="00A04585">
              <w:rPr>
                <w:rFonts w:ascii="Trebuchet MS" w:eastAsia="Times New Roman" w:hAnsi="Trebuchet MS" w:cs="Calibri Light"/>
                <w:color w:val="000000"/>
                <w:sz w:val="20"/>
                <w:szCs w:val="20"/>
                <w:lang w:eastAsia="es-MX"/>
              </w:rPr>
              <w:br/>
              <w:t>(Art. 13 CPEJ y 46 del CEEJ)</w:t>
            </w:r>
          </w:p>
        </w:tc>
      </w:tr>
      <w:tr w:rsidR="00E53538" w:rsidRPr="00A04585" w14:paraId="588975A2" w14:textId="77777777" w:rsidTr="00E53538">
        <w:trPr>
          <w:trHeight w:val="371"/>
        </w:trPr>
        <w:tc>
          <w:tcPr>
            <w:tcW w:w="3523" w:type="dxa"/>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598E4E56" w14:textId="77777777" w:rsidR="00E53538" w:rsidRPr="00A04585" w:rsidRDefault="00E53538" w:rsidP="00E53538">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Votación Obtenida por Partidos Políticos con Derecho a recibir financiamiento público</w:t>
            </w:r>
          </w:p>
        </w:tc>
        <w:tc>
          <w:tcPr>
            <w:tcW w:w="5145"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4360181A"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2,679,747 </w:t>
            </w:r>
          </w:p>
        </w:tc>
      </w:tr>
      <w:tr w:rsidR="00E53538" w:rsidRPr="00A04585" w14:paraId="2C0D3FA6" w14:textId="77777777" w:rsidTr="00E53538">
        <w:trPr>
          <w:trHeight w:val="371"/>
        </w:trPr>
        <w:tc>
          <w:tcPr>
            <w:tcW w:w="1605" w:type="dxa"/>
            <w:tcBorders>
              <w:top w:val="nil"/>
              <w:left w:val="single" w:sz="8" w:space="0" w:color="808080"/>
              <w:bottom w:val="single" w:sz="4" w:space="0" w:color="808080"/>
              <w:right w:val="single" w:sz="4" w:space="0" w:color="808080"/>
            </w:tcBorders>
            <w:shd w:val="clear" w:color="auto" w:fill="auto"/>
            <w:noWrap/>
            <w:vAlign w:val="center"/>
            <w:hideMark/>
          </w:tcPr>
          <w:p w14:paraId="2C72C00A"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1917" w:type="dxa"/>
            <w:tcBorders>
              <w:top w:val="nil"/>
              <w:left w:val="nil"/>
              <w:bottom w:val="single" w:sz="4" w:space="0" w:color="808080"/>
              <w:right w:val="single" w:sz="4" w:space="0" w:color="808080"/>
            </w:tcBorders>
            <w:shd w:val="clear" w:color="000000" w:fill="FFFFFF"/>
            <w:vAlign w:val="center"/>
            <w:hideMark/>
          </w:tcPr>
          <w:p w14:paraId="493E0098"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Votación obtenida</w:t>
            </w:r>
          </w:p>
        </w:tc>
        <w:tc>
          <w:tcPr>
            <w:tcW w:w="2384" w:type="dxa"/>
            <w:tcBorders>
              <w:top w:val="single" w:sz="4" w:space="0" w:color="808080"/>
              <w:left w:val="nil"/>
              <w:bottom w:val="single" w:sz="4" w:space="0" w:color="808080"/>
              <w:right w:val="single" w:sz="4" w:space="0" w:color="808080"/>
            </w:tcBorders>
            <w:shd w:val="clear" w:color="000000" w:fill="FFFFFF"/>
            <w:vAlign w:val="center"/>
            <w:hideMark/>
          </w:tcPr>
          <w:p w14:paraId="6AA9B390"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de la votación obtenida</w:t>
            </w:r>
          </w:p>
        </w:tc>
        <w:tc>
          <w:tcPr>
            <w:tcW w:w="2761" w:type="dxa"/>
            <w:tcBorders>
              <w:top w:val="single" w:sz="4" w:space="0" w:color="808080"/>
              <w:left w:val="nil"/>
              <w:bottom w:val="single" w:sz="4" w:space="0" w:color="808080"/>
              <w:right w:val="single" w:sz="8" w:space="0" w:color="808080"/>
            </w:tcBorders>
            <w:shd w:val="clear" w:color="000000" w:fill="FFFFFF"/>
            <w:vAlign w:val="center"/>
            <w:hideMark/>
          </w:tcPr>
          <w:p w14:paraId="0B5A8E2E"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entregar</w:t>
            </w:r>
          </w:p>
        </w:tc>
      </w:tr>
      <w:tr w:rsidR="00E53538" w:rsidRPr="00A04585" w14:paraId="4D30BC83" w14:textId="77777777" w:rsidTr="00E53538">
        <w:trPr>
          <w:trHeight w:val="371"/>
        </w:trPr>
        <w:tc>
          <w:tcPr>
            <w:tcW w:w="1605" w:type="dxa"/>
            <w:tcBorders>
              <w:top w:val="nil"/>
              <w:left w:val="single" w:sz="8" w:space="0" w:color="808080"/>
              <w:bottom w:val="single" w:sz="4" w:space="0" w:color="808080"/>
              <w:right w:val="single" w:sz="4" w:space="0" w:color="808080"/>
            </w:tcBorders>
            <w:shd w:val="clear" w:color="auto" w:fill="auto"/>
            <w:noWrap/>
            <w:vAlign w:val="bottom"/>
            <w:hideMark/>
          </w:tcPr>
          <w:p w14:paraId="134F7AFB"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PAN</w:t>
            </w:r>
          </w:p>
        </w:tc>
        <w:tc>
          <w:tcPr>
            <w:tcW w:w="1917" w:type="dxa"/>
            <w:tcBorders>
              <w:top w:val="nil"/>
              <w:left w:val="nil"/>
              <w:bottom w:val="single" w:sz="4" w:space="0" w:color="808080"/>
              <w:right w:val="single" w:sz="4" w:space="0" w:color="808080"/>
            </w:tcBorders>
            <w:shd w:val="clear" w:color="000000" w:fill="FFFFFF"/>
            <w:vAlign w:val="center"/>
            <w:hideMark/>
          </w:tcPr>
          <w:p w14:paraId="6B2DA115"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371,381 </w:t>
            </w:r>
          </w:p>
        </w:tc>
        <w:tc>
          <w:tcPr>
            <w:tcW w:w="2384" w:type="dxa"/>
            <w:tcBorders>
              <w:top w:val="single" w:sz="4" w:space="0" w:color="808080"/>
              <w:left w:val="nil"/>
              <w:bottom w:val="single" w:sz="4" w:space="0" w:color="808080"/>
              <w:right w:val="single" w:sz="4" w:space="0" w:color="808080"/>
            </w:tcBorders>
            <w:shd w:val="clear" w:color="000000" w:fill="FFFFFF"/>
            <w:vAlign w:val="center"/>
            <w:hideMark/>
          </w:tcPr>
          <w:p w14:paraId="5089A1C8"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13.8588%</w:t>
            </w:r>
          </w:p>
        </w:tc>
        <w:tc>
          <w:tcPr>
            <w:tcW w:w="2761" w:type="dxa"/>
            <w:tcBorders>
              <w:top w:val="single" w:sz="4" w:space="0" w:color="808080"/>
              <w:left w:val="nil"/>
              <w:bottom w:val="single" w:sz="4" w:space="0" w:color="808080"/>
              <w:right w:val="single" w:sz="8" w:space="0" w:color="808080"/>
            </w:tcBorders>
            <w:shd w:val="clear" w:color="000000" w:fill="FFFFFF"/>
            <w:vAlign w:val="center"/>
            <w:hideMark/>
          </w:tcPr>
          <w:p w14:paraId="4B1058F0"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$11,766,215.99</w:t>
            </w:r>
          </w:p>
        </w:tc>
      </w:tr>
      <w:tr w:rsidR="00E53538" w:rsidRPr="00A04585" w14:paraId="56338F1C" w14:textId="77777777" w:rsidTr="00E53538">
        <w:trPr>
          <w:trHeight w:val="371"/>
        </w:trPr>
        <w:tc>
          <w:tcPr>
            <w:tcW w:w="1605" w:type="dxa"/>
            <w:tcBorders>
              <w:top w:val="nil"/>
              <w:left w:val="single" w:sz="8" w:space="0" w:color="808080"/>
              <w:bottom w:val="single" w:sz="4" w:space="0" w:color="808080"/>
              <w:right w:val="single" w:sz="4" w:space="0" w:color="808080"/>
            </w:tcBorders>
            <w:shd w:val="clear" w:color="auto" w:fill="auto"/>
            <w:noWrap/>
            <w:vAlign w:val="bottom"/>
            <w:hideMark/>
          </w:tcPr>
          <w:p w14:paraId="61BCD8CF"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PRI</w:t>
            </w:r>
          </w:p>
        </w:tc>
        <w:tc>
          <w:tcPr>
            <w:tcW w:w="1917" w:type="dxa"/>
            <w:tcBorders>
              <w:top w:val="nil"/>
              <w:left w:val="nil"/>
              <w:bottom w:val="single" w:sz="4" w:space="0" w:color="808080"/>
              <w:right w:val="single" w:sz="4" w:space="0" w:color="808080"/>
            </w:tcBorders>
            <w:shd w:val="clear" w:color="000000" w:fill="FFFFFF"/>
            <w:vAlign w:val="center"/>
            <w:hideMark/>
          </w:tcPr>
          <w:p w14:paraId="24D67AA2"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367,139 </w:t>
            </w:r>
          </w:p>
        </w:tc>
        <w:tc>
          <w:tcPr>
            <w:tcW w:w="2384" w:type="dxa"/>
            <w:tcBorders>
              <w:top w:val="single" w:sz="4" w:space="0" w:color="808080"/>
              <w:left w:val="nil"/>
              <w:bottom w:val="single" w:sz="4" w:space="0" w:color="808080"/>
              <w:right w:val="single" w:sz="4" w:space="0" w:color="808080"/>
            </w:tcBorders>
            <w:shd w:val="clear" w:color="000000" w:fill="FFFFFF"/>
            <w:vAlign w:val="center"/>
            <w:hideMark/>
          </w:tcPr>
          <w:p w14:paraId="532B4EE0"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13.7005%</w:t>
            </w:r>
          </w:p>
        </w:tc>
        <w:tc>
          <w:tcPr>
            <w:tcW w:w="2761" w:type="dxa"/>
            <w:tcBorders>
              <w:top w:val="single" w:sz="4" w:space="0" w:color="808080"/>
              <w:left w:val="nil"/>
              <w:bottom w:val="single" w:sz="4" w:space="0" w:color="808080"/>
              <w:right w:val="single" w:sz="8" w:space="0" w:color="808080"/>
            </w:tcBorders>
            <w:shd w:val="clear" w:color="000000" w:fill="FFFFFF"/>
            <w:vAlign w:val="center"/>
            <w:hideMark/>
          </w:tcPr>
          <w:p w14:paraId="3F7DBFCA"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$11,631,819.54</w:t>
            </w:r>
          </w:p>
        </w:tc>
      </w:tr>
      <w:tr w:rsidR="00E53538" w:rsidRPr="00A04585" w14:paraId="1F2053C2" w14:textId="77777777" w:rsidTr="00E53538">
        <w:trPr>
          <w:trHeight w:val="371"/>
        </w:trPr>
        <w:tc>
          <w:tcPr>
            <w:tcW w:w="1605" w:type="dxa"/>
            <w:tcBorders>
              <w:top w:val="nil"/>
              <w:left w:val="single" w:sz="8" w:space="0" w:color="808080"/>
              <w:bottom w:val="single" w:sz="4" w:space="0" w:color="808080"/>
              <w:right w:val="single" w:sz="4" w:space="0" w:color="808080"/>
            </w:tcBorders>
            <w:shd w:val="clear" w:color="auto" w:fill="auto"/>
            <w:noWrap/>
            <w:vAlign w:val="bottom"/>
            <w:hideMark/>
          </w:tcPr>
          <w:p w14:paraId="13060023"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PVEM</w:t>
            </w:r>
          </w:p>
        </w:tc>
        <w:tc>
          <w:tcPr>
            <w:tcW w:w="1917" w:type="dxa"/>
            <w:tcBorders>
              <w:top w:val="nil"/>
              <w:left w:val="nil"/>
              <w:bottom w:val="single" w:sz="4" w:space="0" w:color="808080"/>
              <w:right w:val="single" w:sz="4" w:space="0" w:color="808080"/>
            </w:tcBorders>
            <w:shd w:val="clear" w:color="000000" w:fill="FFFFFF"/>
            <w:vAlign w:val="center"/>
            <w:hideMark/>
          </w:tcPr>
          <w:p w14:paraId="684005D2"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94,973 </w:t>
            </w:r>
          </w:p>
        </w:tc>
        <w:tc>
          <w:tcPr>
            <w:tcW w:w="2384" w:type="dxa"/>
            <w:tcBorders>
              <w:top w:val="single" w:sz="4" w:space="0" w:color="808080"/>
              <w:left w:val="nil"/>
              <w:bottom w:val="single" w:sz="4" w:space="0" w:color="808080"/>
              <w:right w:val="single" w:sz="4" w:space="0" w:color="808080"/>
            </w:tcBorders>
            <w:shd w:val="clear" w:color="000000" w:fill="FFFFFF"/>
            <w:vAlign w:val="center"/>
            <w:hideMark/>
          </w:tcPr>
          <w:p w14:paraId="7B2C3196"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3.5441%</w:t>
            </w:r>
          </w:p>
        </w:tc>
        <w:tc>
          <w:tcPr>
            <w:tcW w:w="2761" w:type="dxa"/>
            <w:tcBorders>
              <w:top w:val="single" w:sz="4" w:space="0" w:color="808080"/>
              <w:left w:val="nil"/>
              <w:bottom w:val="single" w:sz="4" w:space="0" w:color="808080"/>
              <w:right w:val="single" w:sz="8" w:space="0" w:color="808080"/>
            </w:tcBorders>
            <w:shd w:val="clear" w:color="000000" w:fill="FFFFFF"/>
            <w:vAlign w:val="center"/>
            <w:hideMark/>
          </w:tcPr>
          <w:p w14:paraId="697741B3"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$3,008,966.08</w:t>
            </w:r>
          </w:p>
        </w:tc>
      </w:tr>
      <w:tr w:rsidR="00E53538" w:rsidRPr="00A04585" w14:paraId="4C1DDF2E" w14:textId="77777777" w:rsidTr="00E53538">
        <w:trPr>
          <w:trHeight w:val="371"/>
        </w:trPr>
        <w:tc>
          <w:tcPr>
            <w:tcW w:w="1605" w:type="dxa"/>
            <w:tcBorders>
              <w:top w:val="nil"/>
              <w:left w:val="single" w:sz="8" w:space="0" w:color="808080"/>
              <w:bottom w:val="single" w:sz="4" w:space="0" w:color="808080"/>
              <w:right w:val="single" w:sz="4" w:space="0" w:color="808080"/>
            </w:tcBorders>
            <w:shd w:val="clear" w:color="auto" w:fill="auto"/>
            <w:noWrap/>
            <w:vAlign w:val="bottom"/>
            <w:hideMark/>
          </w:tcPr>
          <w:p w14:paraId="363A0A40"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MC</w:t>
            </w:r>
          </w:p>
        </w:tc>
        <w:tc>
          <w:tcPr>
            <w:tcW w:w="1917" w:type="dxa"/>
            <w:tcBorders>
              <w:top w:val="nil"/>
              <w:left w:val="nil"/>
              <w:bottom w:val="single" w:sz="4" w:space="0" w:color="808080"/>
              <w:right w:val="single" w:sz="4" w:space="0" w:color="808080"/>
            </w:tcBorders>
            <w:shd w:val="clear" w:color="000000" w:fill="FFFFFF"/>
            <w:vAlign w:val="center"/>
            <w:hideMark/>
          </w:tcPr>
          <w:p w14:paraId="6BA80BBE"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965,089 </w:t>
            </w:r>
          </w:p>
        </w:tc>
        <w:tc>
          <w:tcPr>
            <w:tcW w:w="2384" w:type="dxa"/>
            <w:tcBorders>
              <w:top w:val="single" w:sz="4" w:space="0" w:color="808080"/>
              <w:left w:val="nil"/>
              <w:bottom w:val="single" w:sz="4" w:space="0" w:color="808080"/>
              <w:right w:val="single" w:sz="4" w:space="0" w:color="808080"/>
            </w:tcBorders>
            <w:shd w:val="clear" w:color="000000" w:fill="FFFFFF"/>
            <w:vAlign w:val="center"/>
            <w:hideMark/>
          </w:tcPr>
          <w:p w14:paraId="28D777B4"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36.0142%</w:t>
            </w:r>
          </w:p>
        </w:tc>
        <w:tc>
          <w:tcPr>
            <w:tcW w:w="2761" w:type="dxa"/>
            <w:tcBorders>
              <w:top w:val="single" w:sz="4" w:space="0" w:color="808080"/>
              <w:left w:val="nil"/>
              <w:bottom w:val="single" w:sz="4" w:space="0" w:color="808080"/>
              <w:right w:val="single" w:sz="8" w:space="0" w:color="808080"/>
            </w:tcBorders>
            <w:shd w:val="clear" w:color="000000" w:fill="FFFFFF"/>
            <w:vAlign w:val="center"/>
            <w:hideMark/>
          </w:tcPr>
          <w:p w14:paraId="6D17FBA5"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$30,576,269.71</w:t>
            </w:r>
          </w:p>
        </w:tc>
      </w:tr>
      <w:tr w:rsidR="00E53538" w:rsidRPr="00A04585" w14:paraId="188AE471" w14:textId="77777777" w:rsidTr="00E53538">
        <w:trPr>
          <w:trHeight w:val="371"/>
        </w:trPr>
        <w:tc>
          <w:tcPr>
            <w:tcW w:w="1605" w:type="dxa"/>
            <w:tcBorders>
              <w:top w:val="nil"/>
              <w:left w:val="single" w:sz="8" w:space="0" w:color="808080"/>
              <w:bottom w:val="single" w:sz="4" w:space="0" w:color="808080"/>
              <w:right w:val="single" w:sz="4" w:space="0" w:color="808080"/>
            </w:tcBorders>
            <w:shd w:val="clear" w:color="auto" w:fill="auto"/>
            <w:noWrap/>
            <w:vAlign w:val="bottom"/>
            <w:hideMark/>
          </w:tcPr>
          <w:p w14:paraId="3107B377"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MORENA</w:t>
            </w:r>
          </w:p>
        </w:tc>
        <w:tc>
          <w:tcPr>
            <w:tcW w:w="1917" w:type="dxa"/>
            <w:tcBorders>
              <w:top w:val="nil"/>
              <w:left w:val="nil"/>
              <w:bottom w:val="single" w:sz="4" w:space="0" w:color="808080"/>
              <w:right w:val="single" w:sz="4" w:space="0" w:color="808080"/>
            </w:tcBorders>
            <w:shd w:val="clear" w:color="000000" w:fill="FFFFFF"/>
            <w:vAlign w:val="center"/>
            <w:hideMark/>
          </w:tcPr>
          <w:p w14:paraId="0F7CA836"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618,777 </w:t>
            </w:r>
          </w:p>
        </w:tc>
        <w:tc>
          <w:tcPr>
            <w:tcW w:w="2384" w:type="dxa"/>
            <w:tcBorders>
              <w:top w:val="single" w:sz="4" w:space="0" w:color="808080"/>
              <w:left w:val="nil"/>
              <w:bottom w:val="single" w:sz="4" w:space="0" w:color="808080"/>
              <w:right w:val="single" w:sz="4" w:space="0" w:color="808080"/>
            </w:tcBorders>
            <w:shd w:val="clear" w:color="000000" w:fill="FFFFFF"/>
            <w:vAlign w:val="center"/>
            <w:hideMark/>
          </w:tcPr>
          <w:p w14:paraId="3C4DDA23"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23.0909%</w:t>
            </w:r>
          </w:p>
        </w:tc>
        <w:tc>
          <w:tcPr>
            <w:tcW w:w="2761" w:type="dxa"/>
            <w:tcBorders>
              <w:top w:val="single" w:sz="4" w:space="0" w:color="808080"/>
              <w:left w:val="nil"/>
              <w:bottom w:val="single" w:sz="4" w:space="0" w:color="808080"/>
              <w:right w:val="single" w:sz="8" w:space="0" w:color="808080"/>
            </w:tcBorders>
            <w:shd w:val="clear" w:color="000000" w:fill="FFFFFF"/>
            <w:vAlign w:val="center"/>
            <w:hideMark/>
          </w:tcPr>
          <w:p w14:paraId="11B6453D"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$19,604,298.09</w:t>
            </w:r>
          </w:p>
        </w:tc>
      </w:tr>
      <w:tr w:rsidR="00E53538" w:rsidRPr="00A04585" w14:paraId="44386526" w14:textId="77777777" w:rsidTr="00E53538">
        <w:trPr>
          <w:trHeight w:val="371"/>
        </w:trPr>
        <w:tc>
          <w:tcPr>
            <w:tcW w:w="1605" w:type="dxa"/>
            <w:tcBorders>
              <w:top w:val="nil"/>
              <w:left w:val="single" w:sz="8" w:space="0" w:color="808080"/>
              <w:bottom w:val="single" w:sz="8" w:space="0" w:color="808080"/>
              <w:right w:val="single" w:sz="4" w:space="0" w:color="808080"/>
            </w:tcBorders>
            <w:shd w:val="clear" w:color="000000" w:fill="F3EBF9"/>
            <w:noWrap/>
            <w:vAlign w:val="center"/>
            <w:hideMark/>
          </w:tcPr>
          <w:p w14:paraId="236A8E22"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w:t>
            </w:r>
          </w:p>
        </w:tc>
        <w:tc>
          <w:tcPr>
            <w:tcW w:w="1917" w:type="dxa"/>
            <w:tcBorders>
              <w:top w:val="nil"/>
              <w:left w:val="nil"/>
              <w:bottom w:val="single" w:sz="8" w:space="0" w:color="808080"/>
              <w:right w:val="single" w:sz="4" w:space="0" w:color="808080"/>
            </w:tcBorders>
            <w:shd w:val="clear" w:color="000000" w:fill="F3EBF9"/>
            <w:vAlign w:val="center"/>
            <w:hideMark/>
          </w:tcPr>
          <w:p w14:paraId="49DB61FA"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2,417,359 </w:t>
            </w:r>
          </w:p>
        </w:tc>
        <w:tc>
          <w:tcPr>
            <w:tcW w:w="2384" w:type="dxa"/>
            <w:tcBorders>
              <w:top w:val="single" w:sz="4" w:space="0" w:color="808080"/>
              <w:left w:val="nil"/>
              <w:bottom w:val="single" w:sz="8" w:space="0" w:color="808080"/>
              <w:right w:val="single" w:sz="4" w:space="0" w:color="808080"/>
            </w:tcBorders>
            <w:shd w:val="clear" w:color="000000" w:fill="F3EBF9"/>
            <w:vAlign w:val="center"/>
            <w:hideMark/>
          </w:tcPr>
          <w:p w14:paraId="004A936F" w14:textId="1163CDA1" w:rsidR="00E53538" w:rsidRPr="00A04585" w:rsidRDefault="00E53538" w:rsidP="00E53538">
            <w:pPr>
              <w:jc w:val="center"/>
              <w:rPr>
                <w:rFonts w:ascii="Trebuchet MS" w:eastAsia="Times New Roman" w:hAnsi="Trebuchet MS" w:cs="Calibri Light"/>
                <w:b/>
                <w:bCs/>
                <w:color w:val="000000"/>
                <w:sz w:val="20"/>
                <w:szCs w:val="20"/>
                <w:lang w:eastAsia="es-MX"/>
              </w:rPr>
            </w:pPr>
            <w:r w:rsidRPr="00242547">
              <w:rPr>
                <w:rFonts w:ascii="Trebuchet MS" w:eastAsia="Times New Roman" w:hAnsi="Trebuchet MS" w:cs="Calibri Light"/>
                <w:b/>
                <w:bCs/>
                <w:color w:val="000000"/>
                <w:sz w:val="20"/>
                <w:szCs w:val="20"/>
                <w:lang w:eastAsia="es-MX"/>
              </w:rPr>
              <w:t>90</w:t>
            </w:r>
            <w:r w:rsidR="00BB37BD" w:rsidRPr="00242547">
              <w:rPr>
                <w:rFonts w:ascii="Trebuchet MS" w:eastAsia="Times New Roman" w:hAnsi="Trebuchet MS" w:cs="Calibri Light"/>
                <w:b/>
                <w:bCs/>
                <w:color w:val="000000"/>
                <w:sz w:val="20"/>
                <w:szCs w:val="20"/>
                <w:lang w:eastAsia="es-MX"/>
              </w:rPr>
              <w:t>.2085</w:t>
            </w:r>
            <w:r w:rsidRPr="00242547">
              <w:rPr>
                <w:rFonts w:ascii="Trebuchet MS" w:eastAsia="Times New Roman" w:hAnsi="Trebuchet MS" w:cs="Calibri Light"/>
                <w:b/>
                <w:bCs/>
                <w:color w:val="000000"/>
                <w:sz w:val="20"/>
                <w:szCs w:val="20"/>
                <w:lang w:eastAsia="es-MX"/>
              </w:rPr>
              <w:t>%</w:t>
            </w:r>
          </w:p>
        </w:tc>
        <w:tc>
          <w:tcPr>
            <w:tcW w:w="2761" w:type="dxa"/>
            <w:tcBorders>
              <w:top w:val="single" w:sz="4" w:space="0" w:color="808080"/>
              <w:left w:val="nil"/>
              <w:bottom w:val="single" w:sz="8" w:space="0" w:color="808080"/>
              <w:right w:val="single" w:sz="8" w:space="0" w:color="808080"/>
            </w:tcBorders>
            <w:shd w:val="clear" w:color="000000" w:fill="F3EBF9"/>
            <w:vAlign w:val="center"/>
            <w:hideMark/>
          </w:tcPr>
          <w:p w14:paraId="4806B41C" w14:textId="77777777" w:rsidR="00E53538" w:rsidRPr="00A04585" w:rsidRDefault="00E53538" w:rsidP="00E53538">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$76,587,569.39</w:t>
            </w:r>
          </w:p>
        </w:tc>
      </w:tr>
    </w:tbl>
    <w:p w14:paraId="4F4FEB0A" w14:textId="74180B25" w:rsidR="006A453A" w:rsidRPr="00242547" w:rsidRDefault="006A453A" w:rsidP="002E7CFF">
      <w:pPr>
        <w:pStyle w:val="Sinespaciado"/>
        <w:jc w:val="center"/>
        <w:rPr>
          <w:rFonts w:ascii="Trebuchet MS" w:hAnsi="Trebuchet MS"/>
          <w:color w:val="000000"/>
          <w:sz w:val="24"/>
          <w:szCs w:val="24"/>
          <w:lang w:val="es-ES_tradnl" w:eastAsia="es-MX"/>
        </w:rPr>
      </w:pPr>
    </w:p>
    <w:p w14:paraId="5D613EC9" w14:textId="3CEEAAA5" w:rsidR="00DA6208" w:rsidRPr="00A04585" w:rsidRDefault="00DA6208"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Del recuadro anterior, se advierte que la votación de los partidos políticos nacionales suma el </w:t>
      </w:r>
      <w:r w:rsidR="000D5B07" w:rsidRPr="00242547">
        <w:rPr>
          <w:rFonts w:ascii="Trebuchet MS" w:hAnsi="Trebuchet MS"/>
          <w:color w:val="000000"/>
          <w:sz w:val="24"/>
          <w:szCs w:val="24"/>
          <w:lang w:val="es-ES_tradnl" w:eastAsia="es-MX"/>
        </w:rPr>
        <w:t>noventa por ciento</w:t>
      </w:r>
      <w:r w:rsidRPr="00A04585">
        <w:rPr>
          <w:rFonts w:ascii="Trebuchet MS" w:hAnsi="Trebuchet MS"/>
          <w:color w:val="000000"/>
          <w:sz w:val="24"/>
          <w:szCs w:val="24"/>
          <w:lang w:val="es-ES_tradnl" w:eastAsia="es-MX"/>
        </w:rPr>
        <w:t xml:space="preserve"> </w:t>
      </w:r>
      <w:r w:rsidR="00E10016" w:rsidRPr="00A04585">
        <w:rPr>
          <w:rFonts w:ascii="Trebuchet MS" w:hAnsi="Trebuchet MS"/>
          <w:color w:val="000000"/>
          <w:sz w:val="24"/>
          <w:szCs w:val="24"/>
          <w:lang w:val="es-ES_tradnl" w:eastAsia="es-MX"/>
        </w:rPr>
        <w:t xml:space="preserve">(redondeado a enteros) </w:t>
      </w:r>
      <w:r w:rsidR="009E3043" w:rsidRPr="00A04585">
        <w:rPr>
          <w:rFonts w:ascii="Trebuchet MS" w:hAnsi="Trebuchet MS"/>
          <w:color w:val="000000"/>
          <w:sz w:val="24"/>
          <w:szCs w:val="24"/>
          <w:lang w:val="es-ES_tradnl" w:eastAsia="es-MX"/>
        </w:rPr>
        <w:t>de la suma de los votos de los partidos políticos con derecho a financiamiento que participaron</w:t>
      </w:r>
      <w:r w:rsidRPr="00A04585">
        <w:rPr>
          <w:rFonts w:ascii="Trebuchet MS" w:hAnsi="Trebuchet MS"/>
          <w:color w:val="000000"/>
          <w:sz w:val="24"/>
          <w:szCs w:val="24"/>
          <w:lang w:val="es-ES_tradnl" w:eastAsia="es-MX"/>
        </w:rPr>
        <w:t xml:space="preserve"> en la elección de diputaciones de mayoría relativa e</w:t>
      </w:r>
      <w:r w:rsidR="00986D63" w:rsidRPr="00A04585">
        <w:rPr>
          <w:rFonts w:ascii="Trebuchet MS" w:hAnsi="Trebuchet MS"/>
          <w:color w:val="000000"/>
          <w:sz w:val="24"/>
          <w:szCs w:val="24"/>
          <w:lang w:val="es-ES_tradnl" w:eastAsia="es-MX"/>
        </w:rPr>
        <w:t>n el último proceso y, por otra,</w:t>
      </w:r>
      <w:r w:rsidRPr="00A04585">
        <w:rPr>
          <w:rFonts w:ascii="Trebuchet MS" w:hAnsi="Trebuchet MS"/>
          <w:color w:val="000000"/>
          <w:sz w:val="24"/>
          <w:szCs w:val="24"/>
          <w:lang w:val="es-ES_tradnl" w:eastAsia="es-MX"/>
        </w:rPr>
        <w:t xml:space="preserve"> del contenido de la tabla se deriva que a cada uno de los institutos políticos le fue asignada la p</w:t>
      </w:r>
      <w:r w:rsidR="001A23D3" w:rsidRPr="00A04585">
        <w:rPr>
          <w:rFonts w:ascii="Trebuchet MS" w:hAnsi="Trebuchet MS"/>
          <w:color w:val="000000"/>
          <w:sz w:val="24"/>
          <w:szCs w:val="24"/>
          <w:lang w:val="es-ES_tradnl" w:eastAsia="es-MX"/>
        </w:rPr>
        <w:t>arte</w:t>
      </w:r>
      <w:r w:rsidRPr="00A04585">
        <w:rPr>
          <w:rFonts w:ascii="Trebuchet MS" w:hAnsi="Trebuchet MS"/>
          <w:color w:val="000000"/>
          <w:sz w:val="24"/>
          <w:szCs w:val="24"/>
          <w:lang w:val="es-ES_tradnl" w:eastAsia="es-MX"/>
        </w:rPr>
        <w:t xml:space="preserve"> de financiamiento correspondiente al monto que debe repartirse proporcionalmente, en razón a la votación obtenida, de forma que no</w:t>
      </w:r>
      <w:r w:rsidR="00E10016" w:rsidRPr="00A04585">
        <w:rPr>
          <w:rFonts w:ascii="Trebuchet MS" w:hAnsi="Trebuchet MS"/>
          <w:color w:val="000000"/>
          <w:sz w:val="24"/>
          <w:szCs w:val="24"/>
          <w:lang w:val="es-ES_tradnl" w:eastAsia="es-MX"/>
        </w:rPr>
        <w:t xml:space="preserve"> se </w:t>
      </w:r>
      <w:r w:rsidR="009F088E" w:rsidRPr="00A04585">
        <w:rPr>
          <w:rFonts w:ascii="Trebuchet MS" w:hAnsi="Trebuchet MS"/>
          <w:color w:val="000000"/>
          <w:sz w:val="24"/>
          <w:szCs w:val="24"/>
          <w:lang w:val="es-ES_tradnl" w:eastAsia="es-MX"/>
        </w:rPr>
        <w:t>distribuyó</w:t>
      </w:r>
      <w:r w:rsidR="00E10016" w:rsidRPr="00A04585">
        <w:rPr>
          <w:rFonts w:ascii="Trebuchet MS" w:hAnsi="Trebuchet MS"/>
          <w:color w:val="000000"/>
          <w:sz w:val="24"/>
          <w:szCs w:val="24"/>
          <w:lang w:val="es-ES_tradnl" w:eastAsia="es-MX"/>
        </w:rPr>
        <w:t xml:space="preserve"> el diez por ciento</w:t>
      </w:r>
      <w:r w:rsidR="00E53538" w:rsidRPr="00A04585">
        <w:rPr>
          <w:rFonts w:ascii="Trebuchet MS" w:hAnsi="Trebuchet MS"/>
          <w:color w:val="000000"/>
          <w:sz w:val="24"/>
          <w:szCs w:val="24"/>
          <w:lang w:val="es-ES_tradnl" w:eastAsia="es-MX"/>
        </w:rPr>
        <w:t xml:space="preserve"> restante</w:t>
      </w:r>
      <w:r w:rsidR="009F088E" w:rsidRPr="00A04585">
        <w:rPr>
          <w:rFonts w:ascii="Trebuchet MS" w:hAnsi="Trebuchet MS"/>
          <w:color w:val="000000"/>
          <w:sz w:val="24"/>
          <w:szCs w:val="24"/>
          <w:lang w:val="es-ES_tradnl" w:eastAsia="es-MX"/>
        </w:rPr>
        <w:t>,</w:t>
      </w:r>
      <w:r w:rsidR="00E10016" w:rsidRPr="00A04585">
        <w:rPr>
          <w:rFonts w:ascii="Trebuchet MS" w:hAnsi="Trebuchet MS"/>
          <w:color w:val="000000"/>
          <w:sz w:val="24"/>
          <w:szCs w:val="24"/>
          <w:lang w:val="es-ES_tradnl" w:eastAsia="es-MX"/>
        </w:rPr>
        <w:t xml:space="preserve"> </w:t>
      </w:r>
      <w:r w:rsidR="00986D63" w:rsidRPr="00A04585">
        <w:rPr>
          <w:rFonts w:ascii="Trebuchet MS" w:hAnsi="Trebuchet MS"/>
          <w:color w:val="000000"/>
          <w:sz w:val="24"/>
          <w:szCs w:val="24"/>
          <w:lang w:val="es-ES_tradnl" w:eastAsia="es-MX"/>
        </w:rPr>
        <w:t>puesto</w:t>
      </w:r>
      <w:r w:rsidR="00E10016" w:rsidRPr="00A04585">
        <w:rPr>
          <w:rFonts w:ascii="Trebuchet MS" w:hAnsi="Trebuchet MS"/>
          <w:color w:val="000000"/>
          <w:sz w:val="24"/>
          <w:szCs w:val="24"/>
          <w:lang w:val="es-ES_tradnl" w:eastAsia="es-MX"/>
        </w:rPr>
        <w:t xml:space="preserve"> que los partidos locales representan conjuntamente ese porcentaje de votación</w:t>
      </w:r>
      <w:r w:rsidR="00823D9E" w:rsidRPr="00A04585">
        <w:rPr>
          <w:rFonts w:ascii="Trebuchet MS" w:hAnsi="Trebuchet MS"/>
          <w:color w:val="000000"/>
          <w:sz w:val="24"/>
          <w:szCs w:val="24"/>
          <w:lang w:val="es-ES_tradnl" w:eastAsia="es-MX"/>
        </w:rPr>
        <w:t xml:space="preserve">, </w:t>
      </w:r>
      <w:r w:rsidR="00E53538" w:rsidRPr="00A04585">
        <w:rPr>
          <w:rFonts w:ascii="Trebuchet MS" w:hAnsi="Trebuchet MS"/>
          <w:color w:val="000000"/>
          <w:sz w:val="24"/>
          <w:szCs w:val="24"/>
          <w:lang w:val="es-ES_tradnl" w:eastAsia="es-MX"/>
        </w:rPr>
        <w:t xml:space="preserve">por </w:t>
      </w:r>
      <w:r w:rsidR="00823D9E" w:rsidRPr="00A04585">
        <w:rPr>
          <w:rFonts w:ascii="Trebuchet MS" w:hAnsi="Trebuchet MS"/>
          <w:color w:val="000000"/>
          <w:sz w:val="24"/>
          <w:szCs w:val="24"/>
          <w:lang w:val="es-ES_tradnl" w:eastAsia="es-MX"/>
        </w:rPr>
        <w:t xml:space="preserve">lo que no serán </w:t>
      </w:r>
      <w:r w:rsidR="009F088E" w:rsidRPr="00A04585">
        <w:rPr>
          <w:rFonts w:ascii="Trebuchet MS" w:hAnsi="Trebuchet MS"/>
          <w:color w:val="000000"/>
          <w:sz w:val="24"/>
          <w:szCs w:val="24"/>
          <w:lang w:val="es-ES_tradnl" w:eastAsia="es-MX"/>
        </w:rPr>
        <w:t>asignados</w:t>
      </w:r>
      <w:r w:rsidR="00823D9E" w:rsidRPr="00A04585">
        <w:rPr>
          <w:rFonts w:ascii="Trebuchet MS" w:hAnsi="Trebuchet MS"/>
          <w:color w:val="000000"/>
          <w:sz w:val="24"/>
          <w:szCs w:val="24"/>
          <w:lang w:val="es-ES_tradnl" w:eastAsia="es-MX"/>
        </w:rPr>
        <w:t xml:space="preserve"> $</w:t>
      </w:r>
      <w:r w:rsidR="00997446" w:rsidRPr="00A04585">
        <w:rPr>
          <w:rFonts w:ascii="Trebuchet MS" w:hAnsi="Trebuchet MS"/>
          <w:color w:val="000000"/>
          <w:sz w:val="24"/>
          <w:szCs w:val="24"/>
          <w:lang w:val="es-ES_tradnl" w:eastAsia="es-MX"/>
        </w:rPr>
        <w:t>8´313,063.62</w:t>
      </w:r>
      <w:r w:rsidR="00823D9E" w:rsidRPr="00A04585">
        <w:rPr>
          <w:rFonts w:ascii="Trebuchet MS" w:hAnsi="Trebuchet MS"/>
          <w:color w:val="000000"/>
          <w:sz w:val="24"/>
          <w:szCs w:val="24"/>
          <w:lang w:val="es-ES_tradnl" w:eastAsia="es-MX"/>
        </w:rPr>
        <w:t xml:space="preserve"> (</w:t>
      </w:r>
      <w:r w:rsidR="00997446" w:rsidRPr="00A04585">
        <w:rPr>
          <w:rFonts w:ascii="Trebuchet MS" w:hAnsi="Trebuchet MS"/>
          <w:color w:val="000000"/>
          <w:sz w:val="24"/>
          <w:szCs w:val="24"/>
          <w:lang w:val="es-ES_tradnl" w:eastAsia="es-MX"/>
        </w:rPr>
        <w:t>ocho millones trescientos trece mil sesenta y tres pesos 62/</w:t>
      </w:r>
      <w:r w:rsidR="00823D9E" w:rsidRPr="00A04585">
        <w:rPr>
          <w:rFonts w:ascii="Trebuchet MS" w:hAnsi="Trebuchet MS"/>
          <w:color w:val="000000"/>
          <w:sz w:val="24"/>
          <w:szCs w:val="24"/>
          <w:lang w:val="es-ES_tradnl" w:eastAsia="es-MX"/>
        </w:rPr>
        <w:t xml:space="preserve">100 M.N.) dado que, como fue establecido, el financiamiento para </w:t>
      </w:r>
      <w:r w:rsidR="00E53538" w:rsidRPr="00A04585">
        <w:rPr>
          <w:rFonts w:ascii="Trebuchet MS" w:hAnsi="Trebuchet MS"/>
          <w:color w:val="000000"/>
          <w:sz w:val="24"/>
          <w:szCs w:val="24"/>
          <w:lang w:val="es-ES_tradnl" w:eastAsia="es-MX"/>
        </w:rPr>
        <w:t xml:space="preserve">los </w:t>
      </w:r>
      <w:r w:rsidR="00823D9E" w:rsidRPr="00A04585">
        <w:rPr>
          <w:rFonts w:ascii="Trebuchet MS" w:hAnsi="Trebuchet MS"/>
          <w:color w:val="000000"/>
          <w:sz w:val="24"/>
          <w:szCs w:val="24"/>
          <w:lang w:val="es-ES_tradnl" w:eastAsia="es-MX"/>
        </w:rPr>
        <w:t xml:space="preserve">institutos políticos </w:t>
      </w:r>
      <w:r w:rsidR="00E53538" w:rsidRPr="00A04585">
        <w:rPr>
          <w:rFonts w:ascii="Trebuchet MS" w:hAnsi="Trebuchet MS"/>
          <w:color w:val="000000"/>
          <w:sz w:val="24"/>
          <w:szCs w:val="24"/>
          <w:lang w:val="es-ES_tradnl" w:eastAsia="es-MX"/>
        </w:rPr>
        <w:t xml:space="preserve">con registro local </w:t>
      </w:r>
      <w:r w:rsidR="00823D9E" w:rsidRPr="00A04585">
        <w:rPr>
          <w:rFonts w:ascii="Trebuchet MS" w:hAnsi="Trebuchet MS"/>
          <w:color w:val="000000"/>
          <w:sz w:val="24"/>
          <w:szCs w:val="24"/>
          <w:lang w:val="es-ES_tradnl" w:eastAsia="es-MX"/>
        </w:rPr>
        <w:t>debe ser calculado en otra bolsa con una base distinta.</w:t>
      </w:r>
    </w:p>
    <w:p w14:paraId="0E18EFA1" w14:textId="6DADBBB7" w:rsidR="00823D9E" w:rsidRPr="00A04585" w:rsidRDefault="00823D9E" w:rsidP="002E7CFF">
      <w:pPr>
        <w:pStyle w:val="Sinespaciado"/>
        <w:jc w:val="both"/>
        <w:rPr>
          <w:rFonts w:ascii="Trebuchet MS" w:hAnsi="Trebuchet MS"/>
          <w:color w:val="000000"/>
          <w:sz w:val="24"/>
          <w:szCs w:val="24"/>
          <w:lang w:val="es-ES_tradnl" w:eastAsia="es-MX"/>
        </w:rPr>
      </w:pPr>
    </w:p>
    <w:p w14:paraId="29A91FAC" w14:textId="5E5D8B2B" w:rsidR="00823D9E" w:rsidRPr="00A04585" w:rsidRDefault="00823D9E"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Entonces, las cantidades de financiamiento público que </w:t>
      </w:r>
      <w:r w:rsidR="004C1544" w:rsidRPr="00A04585">
        <w:rPr>
          <w:rFonts w:ascii="Trebuchet MS" w:hAnsi="Trebuchet MS"/>
          <w:color w:val="000000"/>
          <w:sz w:val="24"/>
          <w:szCs w:val="24"/>
          <w:lang w:val="es-ES_tradnl" w:eastAsia="es-MX"/>
        </w:rPr>
        <w:t>deben recibir</w:t>
      </w:r>
      <w:r w:rsidRPr="00A04585">
        <w:rPr>
          <w:rFonts w:ascii="Trebuchet MS" w:hAnsi="Trebuchet MS"/>
          <w:color w:val="000000"/>
          <w:sz w:val="24"/>
          <w:szCs w:val="24"/>
          <w:lang w:val="es-ES_tradnl" w:eastAsia="es-MX"/>
        </w:rPr>
        <w:t xml:space="preserve"> los partidos políticos nacionales con acreditación en el Estado de Jalisco, </w:t>
      </w:r>
      <w:r w:rsidR="00D41FAD" w:rsidRPr="00A04585">
        <w:rPr>
          <w:rFonts w:ascii="Trebuchet MS" w:hAnsi="Trebuchet MS"/>
          <w:color w:val="000000"/>
          <w:sz w:val="24"/>
          <w:szCs w:val="24"/>
          <w:lang w:val="es-ES_tradnl" w:eastAsia="es-MX"/>
        </w:rPr>
        <w:t xml:space="preserve">con derecho a recibir financiamiento público </w:t>
      </w:r>
      <w:r w:rsidRPr="00A04585">
        <w:rPr>
          <w:rFonts w:ascii="Trebuchet MS" w:hAnsi="Trebuchet MS"/>
          <w:color w:val="000000"/>
          <w:sz w:val="24"/>
          <w:szCs w:val="24"/>
          <w:lang w:val="es-ES_tradnl" w:eastAsia="es-MX"/>
        </w:rPr>
        <w:t>para actividades ordinarias</w:t>
      </w:r>
      <w:r w:rsidR="00D41FAD" w:rsidRPr="00A04585">
        <w:rPr>
          <w:rFonts w:ascii="Trebuchet MS" w:hAnsi="Trebuchet MS"/>
          <w:color w:val="000000"/>
          <w:sz w:val="24"/>
          <w:szCs w:val="24"/>
          <w:lang w:val="es-ES_tradnl" w:eastAsia="es-MX"/>
        </w:rPr>
        <w:t xml:space="preserve"> permanentes</w:t>
      </w:r>
      <w:r w:rsidRPr="00A04585">
        <w:rPr>
          <w:rFonts w:ascii="Trebuchet MS" w:hAnsi="Trebuchet MS"/>
          <w:color w:val="000000"/>
          <w:sz w:val="24"/>
          <w:szCs w:val="24"/>
          <w:lang w:val="es-ES_tradnl" w:eastAsia="es-MX"/>
        </w:rPr>
        <w:t>,</w:t>
      </w:r>
      <w:r w:rsidR="00286756" w:rsidRPr="00A04585">
        <w:rPr>
          <w:rFonts w:ascii="Trebuchet MS" w:hAnsi="Trebuchet MS"/>
          <w:color w:val="000000"/>
          <w:sz w:val="24"/>
          <w:szCs w:val="24"/>
          <w:lang w:val="es-ES_tradnl" w:eastAsia="es-MX"/>
        </w:rPr>
        <w:t xml:space="preserve"> son</w:t>
      </w:r>
      <w:r w:rsidRPr="00A04585">
        <w:rPr>
          <w:rFonts w:ascii="Trebuchet MS" w:hAnsi="Trebuchet MS"/>
          <w:color w:val="000000"/>
          <w:sz w:val="24"/>
          <w:szCs w:val="24"/>
          <w:lang w:val="es-ES_tradnl" w:eastAsia="es-MX"/>
        </w:rPr>
        <w:t xml:space="preserve"> </w:t>
      </w:r>
      <w:r w:rsidR="00286756" w:rsidRPr="00A04585">
        <w:rPr>
          <w:rFonts w:ascii="Trebuchet MS" w:hAnsi="Trebuchet MS"/>
          <w:color w:val="000000"/>
          <w:sz w:val="24"/>
          <w:szCs w:val="24"/>
          <w:lang w:val="es-ES_tradnl" w:eastAsia="es-MX"/>
        </w:rPr>
        <w:t>las</w:t>
      </w:r>
      <w:r w:rsidRPr="00A04585">
        <w:rPr>
          <w:rFonts w:ascii="Trebuchet MS" w:hAnsi="Trebuchet MS"/>
          <w:color w:val="000000"/>
          <w:sz w:val="24"/>
          <w:szCs w:val="24"/>
          <w:lang w:val="es-ES_tradnl" w:eastAsia="es-MX"/>
        </w:rPr>
        <w:t xml:space="preserve"> que se muestra</w:t>
      </w:r>
      <w:r w:rsidR="00286756" w:rsidRPr="00A04585">
        <w:rPr>
          <w:rFonts w:ascii="Trebuchet MS" w:hAnsi="Trebuchet MS"/>
          <w:color w:val="000000"/>
          <w:sz w:val="24"/>
          <w:szCs w:val="24"/>
          <w:lang w:val="es-ES_tradnl" w:eastAsia="es-MX"/>
        </w:rPr>
        <w:t>n</w:t>
      </w:r>
      <w:r w:rsidRPr="00A04585">
        <w:rPr>
          <w:rFonts w:ascii="Trebuchet MS" w:hAnsi="Trebuchet MS"/>
          <w:color w:val="000000"/>
          <w:sz w:val="24"/>
          <w:szCs w:val="24"/>
          <w:lang w:val="es-ES_tradnl" w:eastAsia="es-MX"/>
        </w:rPr>
        <w:t xml:space="preserve"> a continuación:</w:t>
      </w:r>
    </w:p>
    <w:p w14:paraId="0350EFA8" w14:textId="77777777" w:rsidR="00D41FAD" w:rsidRPr="00A04585" w:rsidRDefault="00D41FAD" w:rsidP="002E7CFF">
      <w:pPr>
        <w:pStyle w:val="Sinespaciado"/>
        <w:jc w:val="both"/>
        <w:rPr>
          <w:rFonts w:ascii="Trebuchet MS" w:hAnsi="Trebuchet MS"/>
          <w:color w:val="000000"/>
          <w:sz w:val="24"/>
          <w:szCs w:val="24"/>
          <w:lang w:val="es-ES_tradnl" w:eastAsia="es-MX"/>
        </w:rPr>
      </w:pPr>
    </w:p>
    <w:tbl>
      <w:tblPr>
        <w:tblW w:w="8832" w:type="dxa"/>
        <w:tblCellMar>
          <w:left w:w="70" w:type="dxa"/>
          <w:right w:w="70" w:type="dxa"/>
        </w:tblCellMar>
        <w:tblLook w:val="04A0" w:firstRow="1" w:lastRow="0" w:firstColumn="1" w:lastColumn="0" w:noHBand="0" w:noVBand="1"/>
      </w:tblPr>
      <w:tblGrid>
        <w:gridCol w:w="1266"/>
        <w:gridCol w:w="1859"/>
        <w:gridCol w:w="3206"/>
        <w:gridCol w:w="2501"/>
      </w:tblGrid>
      <w:tr w:rsidR="00D41FAD" w:rsidRPr="00A04585" w14:paraId="15B23A3E" w14:textId="77777777" w:rsidTr="00D41FAD">
        <w:trPr>
          <w:trHeight w:val="808"/>
        </w:trPr>
        <w:tc>
          <w:tcPr>
            <w:tcW w:w="8832" w:type="dxa"/>
            <w:gridSpan w:val="4"/>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6BC0255"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1.5 Cantidades a entregar por concepto de financiamiento público por actividades ordinarias permanentes para partidos políticos nacionales acreditados, con derecho a recibirlo 2023.</w:t>
            </w:r>
          </w:p>
        </w:tc>
      </w:tr>
      <w:tr w:rsidR="00D41FAD" w:rsidRPr="00A04585" w14:paraId="1237D14F" w14:textId="77777777" w:rsidTr="00D41FAD">
        <w:trPr>
          <w:trHeight w:val="613"/>
        </w:trPr>
        <w:tc>
          <w:tcPr>
            <w:tcW w:w="1266" w:type="dxa"/>
            <w:tcBorders>
              <w:top w:val="nil"/>
              <w:left w:val="single" w:sz="8" w:space="0" w:color="808080"/>
              <w:bottom w:val="single" w:sz="4" w:space="0" w:color="808080"/>
              <w:right w:val="single" w:sz="4" w:space="0" w:color="808080"/>
            </w:tcBorders>
            <w:shd w:val="clear" w:color="auto" w:fill="auto"/>
            <w:vAlign w:val="center"/>
            <w:hideMark/>
          </w:tcPr>
          <w:p w14:paraId="71711B50"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1859" w:type="dxa"/>
            <w:tcBorders>
              <w:top w:val="nil"/>
              <w:left w:val="nil"/>
              <w:bottom w:val="single" w:sz="4" w:space="0" w:color="808080"/>
              <w:right w:val="single" w:sz="4" w:space="0" w:color="808080"/>
            </w:tcBorders>
            <w:shd w:val="clear" w:color="000000" w:fill="FFFFFF"/>
            <w:vAlign w:val="center"/>
            <w:hideMark/>
          </w:tcPr>
          <w:p w14:paraId="1B31AE25"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la parte igualitaria</w:t>
            </w:r>
          </w:p>
        </w:tc>
        <w:tc>
          <w:tcPr>
            <w:tcW w:w="3206" w:type="dxa"/>
            <w:tcBorders>
              <w:top w:val="nil"/>
              <w:left w:val="nil"/>
              <w:bottom w:val="single" w:sz="4" w:space="0" w:color="808080"/>
              <w:right w:val="single" w:sz="4" w:space="0" w:color="808080"/>
            </w:tcBorders>
            <w:shd w:val="clear" w:color="000000" w:fill="FFFFFF"/>
            <w:vAlign w:val="center"/>
            <w:hideMark/>
          </w:tcPr>
          <w:p w14:paraId="5BF29270"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parte proporcional</w:t>
            </w:r>
          </w:p>
        </w:tc>
        <w:tc>
          <w:tcPr>
            <w:tcW w:w="2500" w:type="dxa"/>
            <w:tcBorders>
              <w:top w:val="nil"/>
              <w:left w:val="nil"/>
              <w:bottom w:val="single" w:sz="4" w:space="0" w:color="808080"/>
              <w:right w:val="single" w:sz="8" w:space="0" w:color="808080"/>
            </w:tcBorders>
            <w:shd w:val="clear" w:color="000000" w:fill="FFFFFF"/>
            <w:vAlign w:val="center"/>
            <w:hideMark/>
          </w:tcPr>
          <w:p w14:paraId="03E8BA18"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TOTAL </w:t>
            </w:r>
          </w:p>
        </w:tc>
      </w:tr>
      <w:tr w:rsidR="00D41FAD" w:rsidRPr="00A04585" w14:paraId="58FA89B5" w14:textId="77777777" w:rsidTr="00D41FAD">
        <w:trPr>
          <w:trHeight w:val="613"/>
        </w:trPr>
        <w:tc>
          <w:tcPr>
            <w:tcW w:w="1266" w:type="dxa"/>
            <w:tcBorders>
              <w:top w:val="nil"/>
              <w:left w:val="single" w:sz="8" w:space="0" w:color="808080"/>
              <w:bottom w:val="single" w:sz="4" w:space="0" w:color="808080"/>
              <w:right w:val="single" w:sz="4" w:space="0" w:color="808080"/>
            </w:tcBorders>
            <w:shd w:val="clear" w:color="auto" w:fill="auto"/>
            <w:noWrap/>
            <w:vAlign w:val="center"/>
            <w:hideMark/>
          </w:tcPr>
          <w:p w14:paraId="02658C16"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PAN</w:t>
            </w:r>
          </w:p>
        </w:tc>
        <w:tc>
          <w:tcPr>
            <w:tcW w:w="1859" w:type="dxa"/>
            <w:tcBorders>
              <w:top w:val="nil"/>
              <w:left w:val="nil"/>
              <w:bottom w:val="single" w:sz="4" w:space="0" w:color="808080"/>
              <w:right w:val="single" w:sz="4" w:space="0" w:color="808080"/>
            </w:tcBorders>
            <w:shd w:val="clear" w:color="000000" w:fill="FFFFFF"/>
            <w:vAlign w:val="center"/>
            <w:hideMark/>
          </w:tcPr>
          <w:p w14:paraId="0CBBC6F1" w14:textId="1D8B3ADC" w:rsidR="00D41FAD" w:rsidRPr="00A04585" w:rsidRDefault="00E10710"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w:t>
            </w:r>
            <w:r w:rsidR="00D41FAD" w:rsidRPr="00A04585">
              <w:rPr>
                <w:rFonts w:ascii="Trebuchet MS" w:eastAsia="Times New Roman" w:hAnsi="Trebuchet MS" w:cs="Calibri Light"/>
                <w:bCs/>
                <w:color w:val="000000"/>
                <w:sz w:val="20"/>
                <w:szCs w:val="20"/>
                <w:lang w:eastAsia="es-MX"/>
              </w:rPr>
              <w:t xml:space="preserve">5,197,997.94 </w:t>
            </w:r>
          </w:p>
        </w:tc>
        <w:tc>
          <w:tcPr>
            <w:tcW w:w="3206" w:type="dxa"/>
            <w:tcBorders>
              <w:top w:val="single" w:sz="4" w:space="0" w:color="808080"/>
              <w:left w:val="nil"/>
              <w:bottom w:val="single" w:sz="4" w:space="0" w:color="808080"/>
              <w:right w:val="single" w:sz="4" w:space="0" w:color="808080"/>
            </w:tcBorders>
            <w:shd w:val="clear" w:color="000000" w:fill="FFFFFF"/>
            <w:vAlign w:val="center"/>
            <w:hideMark/>
          </w:tcPr>
          <w:p w14:paraId="1ACBBFB5" w14:textId="77777777" w:rsidR="00D41FAD" w:rsidRPr="00A04585" w:rsidRDefault="00D41FAD"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$11,766,215.99</w:t>
            </w:r>
          </w:p>
        </w:tc>
        <w:tc>
          <w:tcPr>
            <w:tcW w:w="2500" w:type="dxa"/>
            <w:tcBorders>
              <w:top w:val="single" w:sz="4" w:space="0" w:color="808080"/>
              <w:left w:val="nil"/>
              <w:bottom w:val="single" w:sz="4" w:space="0" w:color="808080"/>
              <w:right w:val="single" w:sz="8" w:space="0" w:color="808080"/>
            </w:tcBorders>
            <w:shd w:val="clear" w:color="000000" w:fill="FFFFFF"/>
            <w:vAlign w:val="center"/>
            <w:hideMark/>
          </w:tcPr>
          <w:p w14:paraId="1586370C"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$16,964,213.93</w:t>
            </w:r>
          </w:p>
        </w:tc>
      </w:tr>
      <w:tr w:rsidR="00D41FAD" w:rsidRPr="00A04585" w14:paraId="67DCBE05" w14:textId="77777777" w:rsidTr="00D41FAD">
        <w:trPr>
          <w:trHeight w:val="613"/>
        </w:trPr>
        <w:tc>
          <w:tcPr>
            <w:tcW w:w="1266" w:type="dxa"/>
            <w:tcBorders>
              <w:top w:val="nil"/>
              <w:left w:val="single" w:sz="8" w:space="0" w:color="808080"/>
              <w:bottom w:val="single" w:sz="4" w:space="0" w:color="808080"/>
              <w:right w:val="single" w:sz="4" w:space="0" w:color="808080"/>
            </w:tcBorders>
            <w:shd w:val="clear" w:color="auto" w:fill="auto"/>
            <w:noWrap/>
            <w:vAlign w:val="center"/>
            <w:hideMark/>
          </w:tcPr>
          <w:p w14:paraId="1E81CBBF"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PRI</w:t>
            </w:r>
          </w:p>
        </w:tc>
        <w:tc>
          <w:tcPr>
            <w:tcW w:w="1859" w:type="dxa"/>
            <w:tcBorders>
              <w:top w:val="nil"/>
              <w:left w:val="nil"/>
              <w:bottom w:val="single" w:sz="4" w:space="0" w:color="808080"/>
              <w:right w:val="single" w:sz="4" w:space="0" w:color="808080"/>
            </w:tcBorders>
            <w:shd w:val="clear" w:color="000000" w:fill="FFFFFF"/>
            <w:vAlign w:val="center"/>
            <w:hideMark/>
          </w:tcPr>
          <w:p w14:paraId="7472183A" w14:textId="015DDC7F" w:rsidR="00D41FAD" w:rsidRPr="00A04585" w:rsidRDefault="00E10710"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w:t>
            </w:r>
            <w:r w:rsidR="00D41FAD" w:rsidRPr="00A04585">
              <w:rPr>
                <w:rFonts w:ascii="Trebuchet MS" w:eastAsia="Times New Roman" w:hAnsi="Trebuchet MS" w:cs="Calibri Light"/>
                <w:bCs/>
                <w:color w:val="000000"/>
                <w:sz w:val="20"/>
                <w:szCs w:val="20"/>
                <w:lang w:eastAsia="es-MX"/>
              </w:rPr>
              <w:t xml:space="preserve">5,197,997.94 </w:t>
            </w:r>
          </w:p>
        </w:tc>
        <w:tc>
          <w:tcPr>
            <w:tcW w:w="3206" w:type="dxa"/>
            <w:tcBorders>
              <w:top w:val="single" w:sz="4" w:space="0" w:color="808080"/>
              <w:left w:val="nil"/>
              <w:bottom w:val="single" w:sz="4" w:space="0" w:color="808080"/>
              <w:right w:val="single" w:sz="4" w:space="0" w:color="808080"/>
            </w:tcBorders>
            <w:shd w:val="clear" w:color="000000" w:fill="FFFFFF"/>
            <w:vAlign w:val="center"/>
            <w:hideMark/>
          </w:tcPr>
          <w:p w14:paraId="581871F7" w14:textId="77777777" w:rsidR="00D41FAD" w:rsidRPr="00A04585" w:rsidRDefault="00D41FAD"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$11,631,819.54</w:t>
            </w:r>
          </w:p>
        </w:tc>
        <w:tc>
          <w:tcPr>
            <w:tcW w:w="2500" w:type="dxa"/>
            <w:tcBorders>
              <w:top w:val="single" w:sz="4" w:space="0" w:color="808080"/>
              <w:left w:val="nil"/>
              <w:bottom w:val="single" w:sz="4" w:space="0" w:color="808080"/>
              <w:right w:val="single" w:sz="8" w:space="0" w:color="808080"/>
            </w:tcBorders>
            <w:shd w:val="clear" w:color="000000" w:fill="FFFFFF"/>
            <w:vAlign w:val="center"/>
            <w:hideMark/>
          </w:tcPr>
          <w:p w14:paraId="3CD8E52D"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$16,829,817.47</w:t>
            </w:r>
          </w:p>
        </w:tc>
      </w:tr>
      <w:tr w:rsidR="00D41FAD" w:rsidRPr="00A04585" w14:paraId="739C8562" w14:textId="77777777" w:rsidTr="00D41FAD">
        <w:trPr>
          <w:trHeight w:val="613"/>
        </w:trPr>
        <w:tc>
          <w:tcPr>
            <w:tcW w:w="1266" w:type="dxa"/>
            <w:tcBorders>
              <w:top w:val="nil"/>
              <w:left w:val="single" w:sz="8" w:space="0" w:color="808080"/>
              <w:bottom w:val="single" w:sz="4" w:space="0" w:color="808080"/>
              <w:right w:val="single" w:sz="4" w:space="0" w:color="808080"/>
            </w:tcBorders>
            <w:shd w:val="clear" w:color="auto" w:fill="auto"/>
            <w:noWrap/>
            <w:vAlign w:val="center"/>
            <w:hideMark/>
          </w:tcPr>
          <w:p w14:paraId="1A72BB62"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PVEM</w:t>
            </w:r>
          </w:p>
        </w:tc>
        <w:tc>
          <w:tcPr>
            <w:tcW w:w="1859" w:type="dxa"/>
            <w:tcBorders>
              <w:top w:val="nil"/>
              <w:left w:val="nil"/>
              <w:bottom w:val="single" w:sz="4" w:space="0" w:color="808080"/>
              <w:right w:val="single" w:sz="4" w:space="0" w:color="808080"/>
            </w:tcBorders>
            <w:shd w:val="clear" w:color="000000" w:fill="FFFFFF"/>
            <w:vAlign w:val="center"/>
            <w:hideMark/>
          </w:tcPr>
          <w:p w14:paraId="3E8B51DA" w14:textId="08E0AE0F" w:rsidR="00D41FAD" w:rsidRPr="00A04585" w:rsidRDefault="00E10710"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w:t>
            </w:r>
            <w:r w:rsidR="00D41FAD" w:rsidRPr="00A04585">
              <w:rPr>
                <w:rFonts w:ascii="Trebuchet MS" w:eastAsia="Times New Roman" w:hAnsi="Trebuchet MS" w:cs="Calibri Light"/>
                <w:bCs/>
                <w:color w:val="000000"/>
                <w:sz w:val="20"/>
                <w:szCs w:val="20"/>
                <w:lang w:eastAsia="es-MX"/>
              </w:rPr>
              <w:t xml:space="preserve">5,197,997.94 </w:t>
            </w:r>
          </w:p>
        </w:tc>
        <w:tc>
          <w:tcPr>
            <w:tcW w:w="3206" w:type="dxa"/>
            <w:tcBorders>
              <w:top w:val="single" w:sz="4" w:space="0" w:color="808080"/>
              <w:left w:val="nil"/>
              <w:bottom w:val="single" w:sz="4" w:space="0" w:color="808080"/>
              <w:right w:val="single" w:sz="4" w:space="0" w:color="808080"/>
            </w:tcBorders>
            <w:shd w:val="clear" w:color="000000" w:fill="FFFFFF"/>
            <w:vAlign w:val="center"/>
            <w:hideMark/>
          </w:tcPr>
          <w:p w14:paraId="01CFFB54" w14:textId="77777777" w:rsidR="00D41FAD" w:rsidRPr="00A04585" w:rsidRDefault="00D41FAD"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$3,008,966.08</w:t>
            </w:r>
          </w:p>
        </w:tc>
        <w:tc>
          <w:tcPr>
            <w:tcW w:w="2500" w:type="dxa"/>
            <w:tcBorders>
              <w:top w:val="single" w:sz="4" w:space="0" w:color="808080"/>
              <w:left w:val="nil"/>
              <w:bottom w:val="single" w:sz="4" w:space="0" w:color="808080"/>
              <w:right w:val="single" w:sz="8" w:space="0" w:color="808080"/>
            </w:tcBorders>
            <w:shd w:val="clear" w:color="000000" w:fill="FFFFFF"/>
            <w:vAlign w:val="center"/>
            <w:hideMark/>
          </w:tcPr>
          <w:p w14:paraId="22E984E8"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$8,206,964.02</w:t>
            </w:r>
          </w:p>
        </w:tc>
      </w:tr>
      <w:tr w:rsidR="00D41FAD" w:rsidRPr="00A04585" w14:paraId="72F62817" w14:textId="77777777" w:rsidTr="00D41FAD">
        <w:trPr>
          <w:trHeight w:val="613"/>
        </w:trPr>
        <w:tc>
          <w:tcPr>
            <w:tcW w:w="1266" w:type="dxa"/>
            <w:tcBorders>
              <w:top w:val="nil"/>
              <w:left w:val="single" w:sz="8" w:space="0" w:color="808080"/>
              <w:bottom w:val="single" w:sz="4" w:space="0" w:color="808080"/>
              <w:right w:val="single" w:sz="4" w:space="0" w:color="808080"/>
            </w:tcBorders>
            <w:shd w:val="clear" w:color="auto" w:fill="auto"/>
            <w:noWrap/>
            <w:vAlign w:val="center"/>
            <w:hideMark/>
          </w:tcPr>
          <w:p w14:paraId="56B5EDEC"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MC</w:t>
            </w:r>
          </w:p>
        </w:tc>
        <w:tc>
          <w:tcPr>
            <w:tcW w:w="1859" w:type="dxa"/>
            <w:tcBorders>
              <w:top w:val="nil"/>
              <w:left w:val="nil"/>
              <w:bottom w:val="single" w:sz="4" w:space="0" w:color="808080"/>
              <w:right w:val="single" w:sz="4" w:space="0" w:color="808080"/>
            </w:tcBorders>
            <w:shd w:val="clear" w:color="000000" w:fill="FFFFFF"/>
            <w:vAlign w:val="center"/>
            <w:hideMark/>
          </w:tcPr>
          <w:p w14:paraId="1C75512D" w14:textId="2E823896" w:rsidR="00D41FAD" w:rsidRPr="00A04585" w:rsidRDefault="00E10710"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w:t>
            </w:r>
            <w:r w:rsidR="00D41FAD" w:rsidRPr="00A04585">
              <w:rPr>
                <w:rFonts w:ascii="Trebuchet MS" w:eastAsia="Times New Roman" w:hAnsi="Trebuchet MS" w:cs="Calibri Light"/>
                <w:bCs/>
                <w:color w:val="000000"/>
                <w:sz w:val="20"/>
                <w:szCs w:val="20"/>
                <w:lang w:eastAsia="es-MX"/>
              </w:rPr>
              <w:t xml:space="preserve">5,197,997.94 </w:t>
            </w:r>
          </w:p>
        </w:tc>
        <w:tc>
          <w:tcPr>
            <w:tcW w:w="3206" w:type="dxa"/>
            <w:tcBorders>
              <w:top w:val="single" w:sz="4" w:space="0" w:color="808080"/>
              <w:left w:val="nil"/>
              <w:bottom w:val="single" w:sz="4" w:space="0" w:color="808080"/>
              <w:right w:val="single" w:sz="4" w:space="0" w:color="808080"/>
            </w:tcBorders>
            <w:shd w:val="clear" w:color="000000" w:fill="FFFFFF"/>
            <w:vAlign w:val="center"/>
            <w:hideMark/>
          </w:tcPr>
          <w:p w14:paraId="5BB7E80A" w14:textId="77777777" w:rsidR="00D41FAD" w:rsidRPr="00A04585" w:rsidRDefault="00D41FAD"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$30,576,269.71</w:t>
            </w:r>
          </w:p>
        </w:tc>
        <w:tc>
          <w:tcPr>
            <w:tcW w:w="2500" w:type="dxa"/>
            <w:tcBorders>
              <w:top w:val="single" w:sz="4" w:space="0" w:color="808080"/>
              <w:left w:val="nil"/>
              <w:bottom w:val="single" w:sz="4" w:space="0" w:color="808080"/>
              <w:right w:val="single" w:sz="8" w:space="0" w:color="808080"/>
            </w:tcBorders>
            <w:shd w:val="clear" w:color="000000" w:fill="FFFFFF"/>
            <w:vAlign w:val="center"/>
            <w:hideMark/>
          </w:tcPr>
          <w:p w14:paraId="394DA66B"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$35,774,267.65</w:t>
            </w:r>
          </w:p>
        </w:tc>
      </w:tr>
      <w:tr w:rsidR="00D41FAD" w:rsidRPr="00A04585" w14:paraId="661CF775" w14:textId="77777777" w:rsidTr="00D41FAD">
        <w:trPr>
          <w:trHeight w:val="613"/>
        </w:trPr>
        <w:tc>
          <w:tcPr>
            <w:tcW w:w="1266" w:type="dxa"/>
            <w:tcBorders>
              <w:top w:val="nil"/>
              <w:left w:val="single" w:sz="8" w:space="0" w:color="808080"/>
              <w:bottom w:val="single" w:sz="4" w:space="0" w:color="808080"/>
              <w:right w:val="single" w:sz="4" w:space="0" w:color="808080"/>
            </w:tcBorders>
            <w:shd w:val="clear" w:color="auto" w:fill="auto"/>
            <w:noWrap/>
            <w:vAlign w:val="center"/>
            <w:hideMark/>
          </w:tcPr>
          <w:p w14:paraId="686CF6A9"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MORENA</w:t>
            </w:r>
          </w:p>
        </w:tc>
        <w:tc>
          <w:tcPr>
            <w:tcW w:w="1859" w:type="dxa"/>
            <w:tcBorders>
              <w:top w:val="nil"/>
              <w:left w:val="nil"/>
              <w:bottom w:val="single" w:sz="4" w:space="0" w:color="808080"/>
              <w:right w:val="single" w:sz="4" w:space="0" w:color="808080"/>
            </w:tcBorders>
            <w:shd w:val="clear" w:color="000000" w:fill="FFFFFF"/>
            <w:vAlign w:val="center"/>
            <w:hideMark/>
          </w:tcPr>
          <w:p w14:paraId="373F986C" w14:textId="54C1AE3E" w:rsidR="00D41FAD" w:rsidRPr="00A04585" w:rsidRDefault="00E10710"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w:t>
            </w:r>
            <w:r w:rsidR="00D41FAD" w:rsidRPr="00A04585">
              <w:rPr>
                <w:rFonts w:ascii="Trebuchet MS" w:eastAsia="Times New Roman" w:hAnsi="Trebuchet MS" w:cs="Calibri Light"/>
                <w:bCs/>
                <w:color w:val="000000"/>
                <w:sz w:val="20"/>
                <w:szCs w:val="20"/>
                <w:lang w:eastAsia="es-MX"/>
              </w:rPr>
              <w:t xml:space="preserve">5,197,997.94 </w:t>
            </w:r>
          </w:p>
        </w:tc>
        <w:tc>
          <w:tcPr>
            <w:tcW w:w="3206" w:type="dxa"/>
            <w:tcBorders>
              <w:top w:val="single" w:sz="4" w:space="0" w:color="808080"/>
              <w:left w:val="nil"/>
              <w:bottom w:val="single" w:sz="4" w:space="0" w:color="808080"/>
              <w:right w:val="single" w:sz="4" w:space="0" w:color="808080"/>
            </w:tcBorders>
            <w:shd w:val="clear" w:color="000000" w:fill="FFFFFF"/>
            <w:vAlign w:val="center"/>
            <w:hideMark/>
          </w:tcPr>
          <w:p w14:paraId="1DC737B6" w14:textId="77777777" w:rsidR="00D41FAD" w:rsidRPr="00A04585" w:rsidRDefault="00D41FAD" w:rsidP="00D41FAD">
            <w:pPr>
              <w:jc w:val="center"/>
              <w:rPr>
                <w:rFonts w:ascii="Trebuchet MS" w:eastAsia="Times New Roman" w:hAnsi="Trebuchet MS" w:cs="Calibri Light"/>
                <w:bCs/>
                <w:color w:val="000000"/>
                <w:sz w:val="20"/>
                <w:szCs w:val="20"/>
                <w:lang w:eastAsia="es-MX"/>
              </w:rPr>
            </w:pPr>
            <w:r w:rsidRPr="00A04585">
              <w:rPr>
                <w:rFonts w:ascii="Trebuchet MS" w:eastAsia="Times New Roman" w:hAnsi="Trebuchet MS" w:cs="Calibri Light"/>
                <w:bCs/>
                <w:color w:val="000000"/>
                <w:sz w:val="20"/>
                <w:szCs w:val="20"/>
                <w:lang w:eastAsia="es-MX"/>
              </w:rPr>
              <w:t>$19,604,298.09</w:t>
            </w:r>
          </w:p>
        </w:tc>
        <w:tc>
          <w:tcPr>
            <w:tcW w:w="2500" w:type="dxa"/>
            <w:tcBorders>
              <w:top w:val="single" w:sz="4" w:space="0" w:color="808080"/>
              <w:left w:val="nil"/>
              <w:bottom w:val="single" w:sz="4" w:space="0" w:color="808080"/>
              <w:right w:val="single" w:sz="8" w:space="0" w:color="808080"/>
            </w:tcBorders>
            <w:shd w:val="clear" w:color="000000" w:fill="FFFFFF"/>
            <w:vAlign w:val="center"/>
            <w:hideMark/>
          </w:tcPr>
          <w:p w14:paraId="7EB0F7BD"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$24,802,296.03</w:t>
            </w:r>
          </w:p>
        </w:tc>
      </w:tr>
      <w:tr w:rsidR="00D41FAD" w:rsidRPr="00A04585" w14:paraId="385DD8BF" w14:textId="77777777" w:rsidTr="00D41FAD">
        <w:trPr>
          <w:trHeight w:val="613"/>
        </w:trPr>
        <w:tc>
          <w:tcPr>
            <w:tcW w:w="1266" w:type="dxa"/>
            <w:tcBorders>
              <w:top w:val="nil"/>
              <w:left w:val="single" w:sz="8" w:space="0" w:color="808080"/>
              <w:bottom w:val="single" w:sz="8" w:space="0" w:color="808080"/>
              <w:right w:val="single" w:sz="4" w:space="0" w:color="808080"/>
            </w:tcBorders>
            <w:shd w:val="clear" w:color="000000" w:fill="F3EBF9"/>
            <w:noWrap/>
            <w:vAlign w:val="center"/>
            <w:hideMark/>
          </w:tcPr>
          <w:p w14:paraId="004E2FA1"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w:t>
            </w:r>
          </w:p>
        </w:tc>
        <w:tc>
          <w:tcPr>
            <w:tcW w:w="1859" w:type="dxa"/>
            <w:tcBorders>
              <w:top w:val="nil"/>
              <w:left w:val="nil"/>
              <w:bottom w:val="single" w:sz="8" w:space="0" w:color="808080"/>
              <w:right w:val="single" w:sz="4" w:space="0" w:color="808080"/>
            </w:tcBorders>
            <w:shd w:val="clear" w:color="000000" w:fill="F3EBF9"/>
            <w:vAlign w:val="center"/>
            <w:hideMark/>
          </w:tcPr>
          <w:p w14:paraId="5285EB16" w14:textId="25465741" w:rsidR="00D41FAD" w:rsidRPr="00A04585" w:rsidRDefault="00E10710"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w:t>
            </w:r>
            <w:r w:rsidR="00D41FAD" w:rsidRPr="00A04585">
              <w:rPr>
                <w:rFonts w:ascii="Trebuchet MS" w:eastAsia="Times New Roman" w:hAnsi="Trebuchet MS" w:cs="Calibri Light"/>
                <w:b/>
                <w:bCs/>
                <w:color w:val="000000"/>
                <w:sz w:val="20"/>
                <w:szCs w:val="20"/>
                <w:lang w:eastAsia="es-MX"/>
              </w:rPr>
              <w:t xml:space="preserve">25,989,989.70 </w:t>
            </w:r>
          </w:p>
        </w:tc>
        <w:tc>
          <w:tcPr>
            <w:tcW w:w="3206" w:type="dxa"/>
            <w:tcBorders>
              <w:top w:val="single" w:sz="4" w:space="0" w:color="808080"/>
              <w:left w:val="nil"/>
              <w:bottom w:val="single" w:sz="8" w:space="0" w:color="808080"/>
              <w:right w:val="single" w:sz="4" w:space="0" w:color="808080"/>
            </w:tcBorders>
            <w:shd w:val="clear" w:color="000000" w:fill="F3EBF9"/>
            <w:vAlign w:val="center"/>
            <w:hideMark/>
          </w:tcPr>
          <w:p w14:paraId="76987C4A"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$76,587,569.39</w:t>
            </w:r>
          </w:p>
        </w:tc>
        <w:tc>
          <w:tcPr>
            <w:tcW w:w="2500" w:type="dxa"/>
            <w:tcBorders>
              <w:top w:val="single" w:sz="4" w:space="0" w:color="808080"/>
              <w:left w:val="nil"/>
              <w:bottom w:val="single" w:sz="8" w:space="0" w:color="808080"/>
              <w:right w:val="single" w:sz="8" w:space="0" w:color="808080"/>
            </w:tcBorders>
            <w:shd w:val="clear" w:color="000000" w:fill="F3EBF9"/>
            <w:vAlign w:val="center"/>
            <w:hideMark/>
          </w:tcPr>
          <w:p w14:paraId="52E50E2E" w14:textId="77777777" w:rsidR="00D41FAD" w:rsidRPr="00A04585" w:rsidRDefault="00D41FAD" w:rsidP="00D41FAD">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$102,577,559.09</w:t>
            </w:r>
          </w:p>
        </w:tc>
      </w:tr>
    </w:tbl>
    <w:p w14:paraId="16ED7252" w14:textId="1B03433B" w:rsidR="004C1544" w:rsidRPr="00242547" w:rsidRDefault="004C1544" w:rsidP="002E7CFF">
      <w:pPr>
        <w:pStyle w:val="Sinespaciado"/>
        <w:jc w:val="both"/>
        <w:rPr>
          <w:rFonts w:ascii="Trebuchet MS" w:hAnsi="Trebuchet MS"/>
          <w:color w:val="000000"/>
          <w:sz w:val="24"/>
          <w:szCs w:val="24"/>
          <w:lang w:val="es-ES_tradnl" w:eastAsia="es-MX"/>
        </w:rPr>
      </w:pPr>
    </w:p>
    <w:p w14:paraId="43CF9735" w14:textId="23603F46" w:rsidR="00823D9E" w:rsidRPr="00242547" w:rsidRDefault="00823D9E" w:rsidP="002E7CFF">
      <w:pPr>
        <w:pStyle w:val="Sinespaciado"/>
        <w:jc w:val="both"/>
        <w:rPr>
          <w:rFonts w:ascii="Trebuchet MS" w:hAnsi="Trebuchet MS"/>
          <w:color w:val="000000"/>
          <w:sz w:val="24"/>
          <w:szCs w:val="24"/>
          <w:lang w:val="es-ES_tradnl" w:eastAsia="es-MX"/>
        </w:rPr>
      </w:pPr>
    </w:p>
    <w:p w14:paraId="3E68316D" w14:textId="5E62035D" w:rsidR="004C1544" w:rsidRPr="00A04585" w:rsidRDefault="004C1544" w:rsidP="002E7CFF">
      <w:pPr>
        <w:pStyle w:val="Sinespaciado"/>
        <w:jc w:val="both"/>
        <w:rPr>
          <w:rFonts w:ascii="Trebuchet MS" w:hAnsi="Trebuchet MS"/>
          <w:color w:val="000000"/>
          <w:sz w:val="24"/>
          <w:szCs w:val="24"/>
          <w:lang w:val="es-ES_tradnl" w:eastAsia="es-MX"/>
        </w:rPr>
      </w:pPr>
      <w:r w:rsidRPr="00A04585">
        <w:rPr>
          <w:rFonts w:ascii="Trebuchet MS" w:hAnsi="Trebuchet MS"/>
          <w:sz w:val="24"/>
          <w:szCs w:val="24"/>
          <w:lang w:val="es-ES_tradnl" w:eastAsia="es-MX"/>
        </w:rPr>
        <w:t xml:space="preserve">En relación con ello, </w:t>
      </w:r>
      <w:r w:rsidRPr="00A04585">
        <w:rPr>
          <w:rFonts w:ascii="Trebuchet MS" w:hAnsi="Trebuchet MS"/>
          <w:color w:val="000000"/>
          <w:sz w:val="24"/>
          <w:szCs w:val="24"/>
          <w:lang w:val="es-ES_tradnl" w:eastAsia="es-MX"/>
        </w:rPr>
        <w:t xml:space="preserve">es importante </w:t>
      </w:r>
      <w:r w:rsidR="00A56DC3" w:rsidRPr="00A04585">
        <w:rPr>
          <w:rFonts w:ascii="Trebuchet MS" w:hAnsi="Trebuchet MS"/>
          <w:color w:val="000000"/>
          <w:sz w:val="24"/>
          <w:szCs w:val="24"/>
          <w:lang w:val="es-ES_tradnl" w:eastAsia="es-MX"/>
        </w:rPr>
        <w:t xml:space="preserve">referir que de los artículos 51, párrafo 1, inciso a), fracción </w:t>
      </w:r>
      <w:r w:rsidR="00B20373" w:rsidRPr="00A04585">
        <w:rPr>
          <w:rFonts w:ascii="Trebuchet MS" w:hAnsi="Trebuchet MS"/>
          <w:color w:val="000000"/>
          <w:sz w:val="24"/>
          <w:szCs w:val="24"/>
          <w:lang w:val="es-ES_tradnl" w:eastAsia="es-MX"/>
        </w:rPr>
        <w:t xml:space="preserve">V </w:t>
      </w:r>
      <w:r w:rsidR="00A56DC3" w:rsidRPr="00A04585">
        <w:rPr>
          <w:rFonts w:ascii="Trebuchet MS" w:hAnsi="Trebuchet MS"/>
          <w:color w:val="000000"/>
          <w:sz w:val="24"/>
          <w:szCs w:val="24"/>
          <w:lang w:val="es-ES_tradnl" w:eastAsia="es-MX"/>
        </w:rPr>
        <w:t>de la Ley</w:t>
      </w:r>
      <w:r w:rsidR="00C6648A" w:rsidRPr="00A04585">
        <w:rPr>
          <w:rFonts w:ascii="Trebuchet MS" w:hAnsi="Trebuchet MS"/>
          <w:color w:val="000000"/>
          <w:sz w:val="24"/>
          <w:szCs w:val="24"/>
          <w:lang w:val="es-ES_tradnl" w:eastAsia="es-MX"/>
        </w:rPr>
        <w:t xml:space="preserve"> General de Partidos Políticos, y </w:t>
      </w:r>
      <w:r w:rsidR="00B20373" w:rsidRPr="00A04585">
        <w:rPr>
          <w:rFonts w:ascii="Trebuchet MS" w:hAnsi="Trebuchet MS"/>
          <w:color w:val="000000"/>
          <w:sz w:val="24"/>
          <w:szCs w:val="24"/>
          <w:lang w:val="es-ES_tradnl" w:eastAsia="es-MX"/>
        </w:rPr>
        <w:t>89, párrafo 2 del Código Electoral del Estado de Jalisco, se desprende que, para la capacitación, promoción y el desarrollo del liderazgo político de las mujeres cada partido deberá destinar anualmente el tres por ciento del financiamiento público ordinario que perciba.</w:t>
      </w:r>
    </w:p>
    <w:p w14:paraId="6437E33D" w14:textId="4F158735" w:rsidR="00B20373" w:rsidRPr="00A04585" w:rsidRDefault="00B20373" w:rsidP="002E7CFF">
      <w:pPr>
        <w:pStyle w:val="Sinespaciado"/>
        <w:jc w:val="both"/>
        <w:rPr>
          <w:rFonts w:ascii="Trebuchet MS" w:hAnsi="Trebuchet MS"/>
          <w:color w:val="000000"/>
          <w:sz w:val="24"/>
          <w:szCs w:val="24"/>
          <w:lang w:val="es-ES_tradnl" w:eastAsia="es-MX"/>
        </w:rPr>
      </w:pPr>
    </w:p>
    <w:p w14:paraId="15A2261D" w14:textId="28BF58B7" w:rsidR="0093349D" w:rsidRPr="00A04585" w:rsidRDefault="00B2037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Entonces, </w:t>
      </w:r>
      <w:r w:rsidR="009F088E" w:rsidRPr="00A04585">
        <w:rPr>
          <w:rFonts w:ascii="Trebuchet MS" w:hAnsi="Trebuchet MS"/>
          <w:color w:val="000000"/>
          <w:sz w:val="24"/>
          <w:szCs w:val="24"/>
          <w:lang w:val="es-ES_tradnl" w:eastAsia="es-MX"/>
        </w:rPr>
        <w:t>d</w:t>
      </w:r>
      <w:r w:rsidRPr="00A04585">
        <w:rPr>
          <w:rFonts w:ascii="Trebuchet MS" w:hAnsi="Trebuchet MS"/>
          <w:color w:val="000000"/>
          <w:sz w:val="24"/>
          <w:szCs w:val="24"/>
          <w:lang w:val="es-ES_tradnl" w:eastAsia="es-MX"/>
        </w:rPr>
        <w:t xml:space="preserve">el total del financiamiento público para actividades ordinarias permanentes </w:t>
      </w:r>
      <w:r w:rsidR="009F088E" w:rsidRPr="00A04585">
        <w:rPr>
          <w:rFonts w:ascii="Trebuchet MS" w:hAnsi="Trebuchet MS"/>
          <w:color w:val="000000"/>
          <w:sz w:val="24"/>
          <w:szCs w:val="24"/>
          <w:lang w:val="es-ES_tradnl" w:eastAsia="es-MX"/>
        </w:rPr>
        <w:t xml:space="preserve">de cada instituto político </w:t>
      </w:r>
      <w:r w:rsidRPr="00A04585">
        <w:rPr>
          <w:rFonts w:ascii="Trebuchet MS" w:hAnsi="Trebuchet MS"/>
          <w:color w:val="000000"/>
          <w:sz w:val="24"/>
          <w:szCs w:val="24"/>
          <w:lang w:val="es-ES_tradnl" w:eastAsia="es-MX"/>
        </w:rPr>
        <w:t xml:space="preserve">debe obtenerse el equivalente al tres por ciento y ese monto quedará etiquetado para emplearse en el rubro especificado por los dispositivos legales citados. Es decir, no se suma del financiamiento ordinario otorgado, sino que, del cien por ciento </w:t>
      </w:r>
      <w:proofErr w:type="gramStart"/>
      <w:r w:rsidRPr="00A04585">
        <w:rPr>
          <w:rFonts w:ascii="Trebuchet MS" w:hAnsi="Trebuchet MS"/>
          <w:color w:val="000000"/>
          <w:sz w:val="24"/>
          <w:szCs w:val="24"/>
          <w:lang w:val="es-ES_tradnl" w:eastAsia="es-MX"/>
        </w:rPr>
        <w:t>asignado</w:t>
      </w:r>
      <w:proofErr w:type="gramEnd"/>
      <w:r w:rsidR="0093349D" w:rsidRPr="00A04585">
        <w:rPr>
          <w:rFonts w:ascii="Trebuchet MS" w:hAnsi="Trebuchet MS"/>
          <w:color w:val="000000"/>
          <w:sz w:val="24"/>
          <w:szCs w:val="24"/>
          <w:lang w:val="es-ES_tradnl" w:eastAsia="es-MX"/>
        </w:rPr>
        <w:t xml:space="preserve"> para ese efecto</w:t>
      </w:r>
      <w:r w:rsidRPr="00A04585">
        <w:rPr>
          <w:rFonts w:ascii="Trebuchet MS" w:hAnsi="Trebuchet MS"/>
          <w:color w:val="000000"/>
          <w:sz w:val="24"/>
          <w:szCs w:val="24"/>
          <w:lang w:val="es-ES_tradnl" w:eastAsia="es-MX"/>
        </w:rPr>
        <w:t xml:space="preserve">, el tres por ciento debe </w:t>
      </w:r>
      <w:r w:rsidR="009F088E" w:rsidRPr="00A04585">
        <w:rPr>
          <w:rFonts w:ascii="Trebuchet MS" w:hAnsi="Trebuchet MS"/>
          <w:color w:val="000000"/>
          <w:sz w:val="24"/>
          <w:szCs w:val="24"/>
          <w:lang w:val="es-ES_tradnl" w:eastAsia="es-MX"/>
        </w:rPr>
        <w:t>emplearse en actividades</w:t>
      </w:r>
      <w:r w:rsidRPr="00A04585">
        <w:rPr>
          <w:rFonts w:ascii="Trebuchet MS" w:hAnsi="Trebuchet MS"/>
          <w:color w:val="000000"/>
          <w:sz w:val="24"/>
          <w:szCs w:val="24"/>
          <w:lang w:val="es-ES_tradnl" w:eastAsia="es-MX"/>
        </w:rPr>
        <w:t xml:space="preserve"> </w:t>
      </w:r>
      <w:r w:rsidR="009F088E" w:rsidRPr="00A04585">
        <w:rPr>
          <w:rFonts w:ascii="Trebuchet MS" w:hAnsi="Trebuchet MS"/>
          <w:color w:val="000000"/>
          <w:sz w:val="24"/>
          <w:szCs w:val="24"/>
          <w:lang w:val="es-ES_tradnl" w:eastAsia="es-MX"/>
        </w:rPr>
        <w:t>tendientes</w:t>
      </w:r>
      <w:r w:rsidRPr="00A04585">
        <w:rPr>
          <w:rFonts w:ascii="Trebuchet MS" w:hAnsi="Trebuchet MS"/>
          <w:color w:val="000000"/>
          <w:sz w:val="24"/>
          <w:szCs w:val="24"/>
          <w:lang w:val="es-ES_tradnl" w:eastAsia="es-MX"/>
        </w:rPr>
        <w:t xml:space="preserve"> </w:t>
      </w:r>
      <w:r w:rsidR="009E3043" w:rsidRPr="00A04585">
        <w:rPr>
          <w:rFonts w:ascii="Trebuchet MS" w:hAnsi="Trebuchet MS"/>
          <w:color w:val="000000"/>
          <w:sz w:val="24"/>
          <w:szCs w:val="24"/>
          <w:lang w:val="es-ES_tradnl" w:eastAsia="es-MX"/>
        </w:rPr>
        <w:t xml:space="preserve">al </w:t>
      </w:r>
      <w:r w:rsidRPr="00A04585">
        <w:rPr>
          <w:rFonts w:ascii="Trebuchet MS" w:hAnsi="Trebuchet MS"/>
          <w:color w:val="000000"/>
          <w:sz w:val="24"/>
          <w:szCs w:val="24"/>
          <w:lang w:val="es-ES_tradnl" w:eastAsia="es-MX"/>
        </w:rPr>
        <w:t>desarrollo del liderazgo político de las mujeres.  Dicho cálculo, se expresa a continuación:</w:t>
      </w:r>
    </w:p>
    <w:p w14:paraId="4E37A30D" w14:textId="77777777" w:rsidR="0074231A" w:rsidRPr="00A04585" w:rsidRDefault="0074231A" w:rsidP="002E7CFF">
      <w:pPr>
        <w:pStyle w:val="Sinespaciado"/>
        <w:jc w:val="both"/>
        <w:rPr>
          <w:rFonts w:ascii="Trebuchet MS" w:hAnsi="Trebuchet MS"/>
          <w:color w:val="000000"/>
          <w:sz w:val="24"/>
          <w:szCs w:val="24"/>
          <w:lang w:val="es-ES_tradnl" w:eastAsia="es-MX"/>
        </w:rPr>
      </w:pPr>
    </w:p>
    <w:p w14:paraId="4776FFF7" w14:textId="77777777" w:rsidR="0074231A" w:rsidRPr="00A04585" w:rsidRDefault="0074231A" w:rsidP="002E7CFF">
      <w:pPr>
        <w:pStyle w:val="Sinespaciado"/>
        <w:jc w:val="both"/>
        <w:rPr>
          <w:rFonts w:ascii="Trebuchet MS" w:hAnsi="Trebuchet MS"/>
          <w:color w:val="000000"/>
          <w:sz w:val="24"/>
          <w:szCs w:val="24"/>
          <w:lang w:val="es-ES_tradnl" w:eastAsia="es-MX"/>
        </w:rPr>
      </w:pPr>
    </w:p>
    <w:p w14:paraId="1778440A" w14:textId="7BD6FFC2" w:rsidR="0093349D" w:rsidRPr="00242547" w:rsidRDefault="0093349D" w:rsidP="002E7CFF">
      <w:pPr>
        <w:pStyle w:val="Sinespaciado"/>
        <w:jc w:val="both"/>
        <w:rPr>
          <w:rFonts w:ascii="Trebuchet MS" w:hAnsi="Trebuchet MS"/>
          <w:color w:val="000000"/>
          <w:sz w:val="24"/>
          <w:szCs w:val="24"/>
          <w:lang w:val="es-ES_tradnl" w:eastAsia="es-MX"/>
        </w:rPr>
      </w:pPr>
    </w:p>
    <w:tbl>
      <w:tblPr>
        <w:tblW w:w="6671" w:type="dxa"/>
        <w:jc w:val="center"/>
        <w:tblCellMar>
          <w:left w:w="70" w:type="dxa"/>
          <w:right w:w="70" w:type="dxa"/>
        </w:tblCellMar>
        <w:tblLook w:val="04A0" w:firstRow="1" w:lastRow="0" w:firstColumn="1" w:lastColumn="0" w:noHBand="0" w:noVBand="1"/>
      </w:tblPr>
      <w:tblGrid>
        <w:gridCol w:w="2360"/>
        <w:gridCol w:w="4311"/>
      </w:tblGrid>
      <w:tr w:rsidR="00FC1151" w:rsidRPr="00A04585" w14:paraId="77E22D2D" w14:textId="77777777" w:rsidTr="00FC1151">
        <w:trPr>
          <w:trHeight w:val="316"/>
          <w:jc w:val="center"/>
        </w:trPr>
        <w:tc>
          <w:tcPr>
            <w:tcW w:w="6671" w:type="dxa"/>
            <w:gridSpan w:val="2"/>
            <w:vMerge w:val="restart"/>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67955EE" w14:textId="5614B5A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1.6 Para la capacitación, promoción y el desarrollo del Liderazgo Político de las Mujeres, cada Partido Político deberá destinar anualmente el 3% del financiamiento público ordinario. </w:t>
            </w:r>
            <w:r w:rsidRPr="00A04585">
              <w:rPr>
                <w:rFonts w:ascii="Trebuchet MS" w:eastAsia="Times New Roman" w:hAnsi="Trebuchet MS" w:cs="Calibri Light"/>
                <w:b/>
                <w:bCs/>
                <w:color w:val="000000"/>
                <w:sz w:val="20"/>
                <w:szCs w:val="20"/>
                <w:lang w:eastAsia="es-MX"/>
              </w:rPr>
              <w:br/>
            </w:r>
            <w:r w:rsidRPr="00A04585">
              <w:rPr>
                <w:rFonts w:ascii="Trebuchet MS" w:eastAsia="Times New Roman" w:hAnsi="Trebuchet MS" w:cs="Calibri Light"/>
                <w:color w:val="000000"/>
                <w:sz w:val="20"/>
                <w:szCs w:val="20"/>
                <w:lang w:eastAsia="es-MX"/>
              </w:rPr>
              <w:t>Artículo 89, párrafo 2 del CEEJ y artículo 51, párrafo 1, inciso a), fracción V de la Ley General de Partidos Políticos.</w:t>
            </w:r>
          </w:p>
        </w:tc>
      </w:tr>
      <w:tr w:rsidR="00FC1151" w:rsidRPr="00A04585" w14:paraId="0CCF1F4D" w14:textId="77777777" w:rsidTr="00FC1151">
        <w:trPr>
          <w:trHeight w:val="1146"/>
          <w:jc w:val="center"/>
        </w:trPr>
        <w:tc>
          <w:tcPr>
            <w:tcW w:w="6671" w:type="dxa"/>
            <w:gridSpan w:val="2"/>
            <w:vMerge/>
            <w:tcBorders>
              <w:top w:val="single" w:sz="8" w:space="0" w:color="808080"/>
              <w:left w:val="single" w:sz="8" w:space="0" w:color="808080"/>
              <w:bottom w:val="single" w:sz="8" w:space="0" w:color="808080"/>
              <w:right w:val="single" w:sz="8" w:space="0" w:color="808080"/>
            </w:tcBorders>
            <w:vAlign w:val="center"/>
            <w:hideMark/>
          </w:tcPr>
          <w:p w14:paraId="3AEC0D83"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p>
        </w:tc>
      </w:tr>
      <w:tr w:rsidR="00FC1151" w:rsidRPr="00A04585" w14:paraId="33C8D892" w14:textId="77777777" w:rsidTr="00FC1151">
        <w:trPr>
          <w:trHeight w:val="340"/>
          <w:jc w:val="center"/>
        </w:trPr>
        <w:tc>
          <w:tcPr>
            <w:tcW w:w="2360" w:type="dxa"/>
            <w:tcBorders>
              <w:top w:val="nil"/>
              <w:left w:val="single" w:sz="8" w:space="0" w:color="808080"/>
              <w:bottom w:val="single" w:sz="4" w:space="0" w:color="808080"/>
              <w:right w:val="single" w:sz="4" w:space="0" w:color="808080"/>
            </w:tcBorders>
            <w:shd w:val="clear" w:color="auto" w:fill="auto"/>
            <w:noWrap/>
            <w:vAlign w:val="center"/>
            <w:hideMark/>
          </w:tcPr>
          <w:p w14:paraId="00F0961B"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4310" w:type="dxa"/>
            <w:tcBorders>
              <w:top w:val="nil"/>
              <w:left w:val="nil"/>
              <w:bottom w:val="single" w:sz="4" w:space="0" w:color="808080"/>
              <w:right w:val="single" w:sz="8" w:space="0" w:color="808080"/>
            </w:tcBorders>
            <w:shd w:val="clear" w:color="000000" w:fill="FFFFFF"/>
            <w:vAlign w:val="center"/>
            <w:hideMark/>
          </w:tcPr>
          <w:p w14:paraId="28BB4813" w14:textId="50D7B460" w:rsidR="00FC1151" w:rsidRPr="00A04585" w:rsidRDefault="00FF7DF4"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etiquetada</w:t>
            </w:r>
          </w:p>
        </w:tc>
      </w:tr>
      <w:tr w:rsidR="00FC1151" w:rsidRPr="00A04585" w14:paraId="362B599C" w14:textId="77777777" w:rsidTr="00FC1151">
        <w:trPr>
          <w:trHeight w:val="340"/>
          <w:jc w:val="center"/>
        </w:trPr>
        <w:tc>
          <w:tcPr>
            <w:tcW w:w="2360"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3B292BF3"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PAN</w:t>
            </w:r>
          </w:p>
        </w:tc>
        <w:tc>
          <w:tcPr>
            <w:tcW w:w="4310" w:type="dxa"/>
            <w:tcBorders>
              <w:top w:val="single" w:sz="4" w:space="0" w:color="808080"/>
              <w:left w:val="nil"/>
              <w:bottom w:val="single" w:sz="4" w:space="0" w:color="808080"/>
              <w:right w:val="single" w:sz="8" w:space="0" w:color="808080"/>
            </w:tcBorders>
            <w:shd w:val="clear" w:color="000000" w:fill="FFFFFF"/>
            <w:vAlign w:val="center"/>
            <w:hideMark/>
          </w:tcPr>
          <w:p w14:paraId="3587CF60"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$508,926.42</w:t>
            </w:r>
          </w:p>
        </w:tc>
      </w:tr>
      <w:tr w:rsidR="00FC1151" w:rsidRPr="00A04585" w14:paraId="2F31F65C" w14:textId="77777777" w:rsidTr="00FC1151">
        <w:trPr>
          <w:trHeight w:val="340"/>
          <w:jc w:val="center"/>
        </w:trPr>
        <w:tc>
          <w:tcPr>
            <w:tcW w:w="2360"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3819974E"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PRI</w:t>
            </w:r>
          </w:p>
        </w:tc>
        <w:tc>
          <w:tcPr>
            <w:tcW w:w="4310" w:type="dxa"/>
            <w:tcBorders>
              <w:top w:val="single" w:sz="4" w:space="0" w:color="808080"/>
              <w:left w:val="nil"/>
              <w:bottom w:val="single" w:sz="4" w:space="0" w:color="808080"/>
              <w:right w:val="single" w:sz="8" w:space="0" w:color="808080"/>
            </w:tcBorders>
            <w:shd w:val="clear" w:color="000000" w:fill="FFFFFF"/>
            <w:vAlign w:val="center"/>
            <w:hideMark/>
          </w:tcPr>
          <w:p w14:paraId="48CE58D0"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$504,894.52</w:t>
            </w:r>
          </w:p>
        </w:tc>
      </w:tr>
      <w:tr w:rsidR="00FC1151" w:rsidRPr="00A04585" w14:paraId="49FF338D" w14:textId="77777777" w:rsidTr="00FC1151">
        <w:trPr>
          <w:trHeight w:val="340"/>
          <w:jc w:val="center"/>
        </w:trPr>
        <w:tc>
          <w:tcPr>
            <w:tcW w:w="2360"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AC4F640"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PVEM</w:t>
            </w:r>
          </w:p>
        </w:tc>
        <w:tc>
          <w:tcPr>
            <w:tcW w:w="4310" w:type="dxa"/>
            <w:tcBorders>
              <w:top w:val="single" w:sz="4" w:space="0" w:color="808080"/>
              <w:left w:val="nil"/>
              <w:bottom w:val="single" w:sz="4" w:space="0" w:color="808080"/>
              <w:right w:val="single" w:sz="8" w:space="0" w:color="808080"/>
            </w:tcBorders>
            <w:shd w:val="clear" w:color="000000" w:fill="FFFFFF"/>
            <w:vAlign w:val="center"/>
            <w:hideMark/>
          </w:tcPr>
          <w:p w14:paraId="6127AC05"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$246,208.92</w:t>
            </w:r>
          </w:p>
        </w:tc>
      </w:tr>
      <w:tr w:rsidR="00FC1151" w:rsidRPr="00A04585" w14:paraId="6E7CE8C8" w14:textId="77777777" w:rsidTr="00FC1151">
        <w:trPr>
          <w:trHeight w:val="340"/>
          <w:jc w:val="center"/>
        </w:trPr>
        <w:tc>
          <w:tcPr>
            <w:tcW w:w="2360" w:type="dxa"/>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5E698C1A"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MC</w:t>
            </w:r>
          </w:p>
        </w:tc>
        <w:tc>
          <w:tcPr>
            <w:tcW w:w="4310" w:type="dxa"/>
            <w:tcBorders>
              <w:top w:val="single" w:sz="4" w:space="0" w:color="808080"/>
              <w:left w:val="nil"/>
              <w:bottom w:val="single" w:sz="4" w:space="0" w:color="808080"/>
              <w:right w:val="single" w:sz="8" w:space="0" w:color="808080"/>
            </w:tcBorders>
            <w:shd w:val="clear" w:color="000000" w:fill="FFFFFF"/>
            <w:vAlign w:val="center"/>
            <w:hideMark/>
          </w:tcPr>
          <w:p w14:paraId="1230A028"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$1,073,228.03</w:t>
            </w:r>
          </w:p>
        </w:tc>
      </w:tr>
      <w:tr w:rsidR="00FC1151" w:rsidRPr="00A04585" w14:paraId="1CF9E306" w14:textId="77777777" w:rsidTr="00FC1151">
        <w:trPr>
          <w:trHeight w:val="340"/>
          <w:jc w:val="center"/>
        </w:trPr>
        <w:tc>
          <w:tcPr>
            <w:tcW w:w="2360"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8FB4115"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MORENA</w:t>
            </w:r>
          </w:p>
        </w:tc>
        <w:tc>
          <w:tcPr>
            <w:tcW w:w="4310" w:type="dxa"/>
            <w:tcBorders>
              <w:top w:val="single" w:sz="4" w:space="0" w:color="808080"/>
              <w:left w:val="nil"/>
              <w:bottom w:val="single" w:sz="4" w:space="0" w:color="808080"/>
              <w:right w:val="single" w:sz="8" w:space="0" w:color="808080"/>
            </w:tcBorders>
            <w:shd w:val="clear" w:color="000000" w:fill="FFFFFF"/>
            <w:vAlign w:val="center"/>
            <w:hideMark/>
          </w:tcPr>
          <w:p w14:paraId="69FCA95A" w14:textId="77777777" w:rsidR="00FC1151" w:rsidRPr="00A04585" w:rsidRDefault="00FC1151" w:rsidP="00FC1151">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$744,068.88</w:t>
            </w:r>
          </w:p>
        </w:tc>
      </w:tr>
      <w:tr w:rsidR="00FC1151" w:rsidRPr="00A04585" w14:paraId="49950822" w14:textId="77777777" w:rsidTr="00FC1151">
        <w:trPr>
          <w:trHeight w:val="340"/>
          <w:jc w:val="center"/>
        </w:trPr>
        <w:tc>
          <w:tcPr>
            <w:tcW w:w="2360" w:type="dxa"/>
            <w:tcBorders>
              <w:top w:val="single" w:sz="8" w:space="0" w:color="808080"/>
              <w:left w:val="single" w:sz="8" w:space="0" w:color="808080"/>
              <w:bottom w:val="single" w:sz="8" w:space="0" w:color="808080"/>
              <w:right w:val="single" w:sz="4" w:space="0" w:color="808080"/>
            </w:tcBorders>
            <w:shd w:val="clear" w:color="000000" w:fill="F3EBF9"/>
            <w:noWrap/>
            <w:vAlign w:val="center"/>
            <w:hideMark/>
          </w:tcPr>
          <w:p w14:paraId="3987244A" w14:textId="77777777" w:rsidR="00FC1151" w:rsidRPr="00A04585" w:rsidRDefault="00FC1151" w:rsidP="00FC1151">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TOTAL</w:t>
            </w:r>
          </w:p>
        </w:tc>
        <w:tc>
          <w:tcPr>
            <w:tcW w:w="4310" w:type="dxa"/>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1087ECD3" w14:textId="77777777" w:rsidR="00FC1151" w:rsidRPr="00A04585" w:rsidRDefault="00FC1151" w:rsidP="00FC1151">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$3,077,326.77</w:t>
            </w:r>
          </w:p>
        </w:tc>
      </w:tr>
    </w:tbl>
    <w:p w14:paraId="021EBB4D" w14:textId="75CC0908" w:rsidR="0093349D" w:rsidRPr="00242547" w:rsidRDefault="0093349D" w:rsidP="002E7CFF">
      <w:pPr>
        <w:pStyle w:val="Sinespaciado"/>
        <w:jc w:val="center"/>
        <w:rPr>
          <w:rFonts w:ascii="Trebuchet MS" w:hAnsi="Trebuchet MS"/>
          <w:color w:val="000000"/>
          <w:sz w:val="24"/>
          <w:szCs w:val="24"/>
          <w:lang w:val="es-ES_tradnl" w:eastAsia="es-MX"/>
        </w:rPr>
      </w:pPr>
    </w:p>
    <w:p w14:paraId="49443E1D" w14:textId="369DAE2F" w:rsidR="0060474A" w:rsidRPr="00A04585" w:rsidRDefault="00FF70A9"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C</w:t>
      </w:r>
      <w:r w:rsidR="0060474A" w:rsidRPr="00A04585">
        <w:rPr>
          <w:rFonts w:ascii="Trebuchet MS" w:hAnsi="Trebuchet MS"/>
          <w:b/>
          <w:bCs/>
          <w:color w:val="000000"/>
          <w:sz w:val="24"/>
          <w:szCs w:val="24"/>
          <w:lang w:val="es-ES_tradnl" w:eastAsia="es-MX"/>
        </w:rPr>
        <w:t xml:space="preserve">. Financiamiento local </w:t>
      </w:r>
      <w:r w:rsidR="008B7689" w:rsidRPr="00A04585">
        <w:rPr>
          <w:rFonts w:ascii="Trebuchet MS" w:hAnsi="Trebuchet MS"/>
          <w:b/>
          <w:bCs/>
          <w:color w:val="000000"/>
          <w:sz w:val="24"/>
          <w:szCs w:val="24"/>
          <w:lang w:val="es-ES_tradnl" w:eastAsia="es-MX"/>
        </w:rPr>
        <w:t xml:space="preserve">ordinario </w:t>
      </w:r>
      <w:r w:rsidR="0060474A" w:rsidRPr="00A04585">
        <w:rPr>
          <w:rFonts w:ascii="Trebuchet MS" w:hAnsi="Trebuchet MS"/>
          <w:b/>
          <w:bCs/>
          <w:color w:val="000000"/>
          <w:sz w:val="24"/>
          <w:szCs w:val="24"/>
          <w:lang w:val="es-ES_tradnl" w:eastAsia="es-MX"/>
        </w:rPr>
        <w:t>para partidos políticos estatales.</w:t>
      </w:r>
      <w:r w:rsidR="00FE27B1" w:rsidRPr="00A04585">
        <w:rPr>
          <w:rFonts w:ascii="Trebuchet MS" w:hAnsi="Trebuchet MS"/>
          <w:b/>
          <w:bCs/>
          <w:color w:val="000000"/>
          <w:sz w:val="24"/>
          <w:szCs w:val="24"/>
          <w:lang w:val="es-ES_tradnl" w:eastAsia="es-MX"/>
        </w:rPr>
        <w:t xml:space="preserve"> </w:t>
      </w:r>
      <w:r w:rsidR="00FC1151" w:rsidRPr="00A04585">
        <w:rPr>
          <w:rFonts w:ascii="Trebuchet MS" w:hAnsi="Trebuchet MS"/>
          <w:color w:val="000000"/>
          <w:sz w:val="24"/>
          <w:szCs w:val="24"/>
          <w:lang w:val="es-ES_tradnl" w:eastAsia="es-MX"/>
        </w:rPr>
        <w:t>Es importante señalar</w:t>
      </w:r>
      <w:r w:rsidR="00711FF4" w:rsidRPr="00A04585">
        <w:rPr>
          <w:rFonts w:ascii="Trebuchet MS" w:hAnsi="Trebuchet MS"/>
          <w:color w:val="000000"/>
          <w:sz w:val="24"/>
          <w:szCs w:val="24"/>
          <w:lang w:val="es-ES_tradnl" w:eastAsia="es-MX"/>
        </w:rPr>
        <w:t xml:space="preserve"> que conforme </w:t>
      </w:r>
      <w:r w:rsidR="00B82553" w:rsidRPr="00A04585">
        <w:rPr>
          <w:rFonts w:ascii="Trebuchet MS" w:hAnsi="Trebuchet MS"/>
          <w:color w:val="000000"/>
          <w:sz w:val="24"/>
          <w:szCs w:val="24"/>
          <w:lang w:val="es-ES_tradnl" w:eastAsia="es-MX"/>
        </w:rPr>
        <w:t xml:space="preserve">a </w:t>
      </w:r>
      <w:r w:rsidR="00711FF4" w:rsidRPr="00A04585">
        <w:rPr>
          <w:rFonts w:ascii="Trebuchet MS" w:hAnsi="Trebuchet MS"/>
          <w:color w:val="000000"/>
          <w:sz w:val="24"/>
          <w:szCs w:val="24"/>
          <w:lang w:val="es-ES_tradnl" w:eastAsia="es-MX"/>
        </w:rPr>
        <w:t xml:space="preserve">lo establecido previamente, la base para la distribución del financiamiento local para los partidos locales, es el resultado de multiplicar la cantidad de ciudadanas y ciudadanos que conforman el padrón electoral </w:t>
      </w:r>
      <w:r w:rsidR="00FD0557" w:rsidRPr="00A04585">
        <w:rPr>
          <w:rFonts w:ascii="Trebuchet MS" w:hAnsi="Trebuchet MS"/>
          <w:color w:val="000000"/>
          <w:sz w:val="24"/>
          <w:szCs w:val="24"/>
          <w:lang w:val="es-ES_tradnl" w:eastAsia="es-MX"/>
        </w:rPr>
        <w:t xml:space="preserve">estatal </w:t>
      </w:r>
      <w:r w:rsidR="00711FF4" w:rsidRPr="00A04585">
        <w:rPr>
          <w:rFonts w:ascii="Trebuchet MS" w:hAnsi="Trebuchet MS"/>
          <w:color w:val="000000"/>
          <w:sz w:val="24"/>
          <w:szCs w:val="24"/>
          <w:lang w:val="es-ES_tradnl" w:eastAsia="es-MX"/>
        </w:rPr>
        <w:t>con corte a julio de cada año</w:t>
      </w:r>
      <w:r w:rsidR="00FD0557" w:rsidRPr="00A04585">
        <w:rPr>
          <w:rFonts w:ascii="Trebuchet MS" w:hAnsi="Trebuchet MS"/>
          <w:color w:val="000000"/>
          <w:sz w:val="24"/>
          <w:szCs w:val="24"/>
          <w:lang w:val="es-ES_tradnl" w:eastAsia="es-MX"/>
        </w:rPr>
        <w:t>,</w:t>
      </w:r>
      <w:r w:rsidR="00711FF4" w:rsidRPr="00A04585">
        <w:rPr>
          <w:rFonts w:ascii="Trebuchet MS" w:hAnsi="Trebuchet MS"/>
          <w:color w:val="000000"/>
          <w:sz w:val="24"/>
          <w:szCs w:val="24"/>
          <w:lang w:val="es-ES_tradnl" w:eastAsia="es-MX"/>
        </w:rPr>
        <w:t xml:space="preserve"> por el sesenta y cinco por ciento de</w:t>
      </w:r>
      <w:r w:rsidR="009F088E" w:rsidRPr="00A04585">
        <w:rPr>
          <w:rFonts w:ascii="Trebuchet MS" w:hAnsi="Trebuchet MS"/>
          <w:color w:val="000000"/>
          <w:sz w:val="24"/>
          <w:szCs w:val="24"/>
          <w:lang w:val="es-ES_tradnl" w:eastAsia="es-MX"/>
        </w:rPr>
        <w:t xml:space="preserve"> </w:t>
      </w:r>
      <w:r w:rsidR="00711FF4" w:rsidRPr="00A04585">
        <w:rPr>
          <w:rFonts w:ascii="Trebuchet MS" w:hAnsi="Trebuchet MS"/>
          <w:color w:val="000000"/>
          <w:sz w:val="24"/>
          <w:szCs w:val="24"/>
          <w:lang w:val="es-ES_tradnl" w:eastAsia="es-MX"/>
        </w:rPr>
        <w:t>la Unidad de Medida y Actualización</w:t>
      </w:r>
      <w:r w:rsidR="009F088E" w:rsidRPr="00A04585">
        <w:rPr>
          <w:rFonts w:ascii="Trebuchet MS" w:hAnsi="Trebuchet MS"/>
          <w:color w:val="000000"/>
          <w:sz w:val="24"/>
          <w:szCs w:val="24"/>
          <w:lang w:val="es-ES_tradnl" w:eastAsia="es-MX"/>
        </w:rPr>
        <w:t>.</w:t>
      </w:r>
    </w:p>
    <w:p w14:paraId="15A10AAB" w14:textId="421CEACE" w:rsidR="00711FF4" w:rsidRPr="00242547" w:rsidRDefault="00711FF4" w:rsidP="002E7CFF">
      <w:pPr>
        <w:pStyle w:val="Sinespaciado"/>
        <w:jc w:val="both"/>
        <w:rPr>
          <w:rFonts w:ascii="Trebuchet MS" w:hAnsi="Trebuchet MS"/>
          <w:color w:val="000000"/>
          <w:sz w:val="24"/>
          <w:szCs w:val="24"/>
          <w:lang w:val="es-ES_tradnl" w:eastAsia="es-MX"/>
        </w:rPr>
      </w:pPr>
    </w:p>
    <w:p w14:paraId="60748972" w14:textId="050AE2A5" w:rsidR="00FC1151" w:rsidRPr="00A04585" w:rsidRDefault="00FC1151"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 ese sentido,</w:t>
      </w:r>
      <w:r w:rsidR="00711FF4" w:rsidRPr="00A04585">
        <w:rPr>
          <w:rFonts w:ascii="Trebuchet MS" w:hAnsi="Trebuchet MS"/>
          <w:color w:val="000000"/>
          <w:sz w:val="24"/>
          <w:szCs w:val="24"/>
          <w:lang w:val="es-ES_tradnl" w:eastAsia="es-MX"/>
        </w:rPr>
        <w:t xml:space="preserve"> el monto</w:t>
      </w:r>
      <w:r w:rsidR="00C81BB9" w:rsidRPr="00A04585">
        <w:rPr>
          <w:rFonts w:ascii="Trebuchet MS" w:hAnsi="Trebuchet MS"/>
          <w:color w:val="000000"/>
          <w:sz w:val="24"/>
          <w:szCs w:val="24"/>
          <w:lang w:val="es-ES_tradnl" w:eastAsia="es-MX"/>
        </w:rPr>
        <w:t xml:space="preserve"> </w:t>
      </w:r>
      <w:r w:rsidR="00FD0557" w:rsidRPr="00A04585">
        <w:rPr>
          <w:rFonts w:ascii="Trebuchet MS" w:hAnsi="Trebuchet MS"/>
          <w:color w:val="000000"/>
          <w:sz w:val="24"/>
          <w:szCs w:val="24"/>
          <w:lang w:val="es-ES_tradnl" w:eastAsia="es-MX"/>
        </w:rPr>
        <w:t>de la bolsa destinada a</w:t>
      </w:r>
      <w:r w:rsidR="001F4C3C" w:rsidRPr="00A04585">
        <w:rPr>
          <w:rFonts w:ascii="Trebuchet MS" w:hAnsi="Trebuchet MS"/>
          <w:color w:val="000000"/>
          <w:sz w:val="24"/>
          <w:szCs w:val="24"/>
          <w:lang w:val="es-ES_tradnl" w:eastAsia="es-MX"/>
        </w:rPr>
        <w:t xml:space="preserve"> los institutos políticos locales, por concepto de actividades ordinarias permanentes </w:t>
      </w:r>
      <w:r w:rsidR="002F1ACF" w:rsidRPr="00A04585">
        <w:rPr>
          <w:rFonts w:ascii="Trebuchet MS" w:hAnsi="Trebuchet MS"/>
          <w:color w:val="000000"/>
          <w:sz w:val="24"/>
          <w:szCs w:val="24"/>
          <w:lang w:val="es-ES_tradnl" w:eastAsia="es-MX"/>
        </w:rPr>
        <w:t>sería</w:t>
      </w:r>
      <w:r w:rsidR="001F4C3C" w:rsidRPr="00A04585">
        <w:rPr>
          <w:rFonts w:ascii="Trebuchet MS" w:hAnsi="Trebuchet MS"/>
          <w:color w:val="000000"/>
          <w:sz w:val="24"/>
          <w:szCs w:val="24"/>
          <w:lang w:val="es-ES_tradnl" w:eastAsia="es-MX"/>
        </w:rPr>
        <w:t xml:space="preserve"> de $</w:t>
      </w:r>
      <w:r w:rsidRPr="00A04585">
        <w:rPr>
          <w:rFonts w:ascii="Trebuchet MS" w:hAnsi="Trebuchet MS"/>
          <w:color w:val="000000"/>
          <w:sz w:val="24"/>
          <w:szCs w:val="24"/>
          <w:lang w:val="es-ES_tradnl" w:eastAsia="es-MX"/>
        </w:rPr>
        <w:t>394´181,510.42</w:t>
      </w:r>
      <w:r w:rsidR="001F4C3C"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 xml:space="preserve">trecientos noventa y cuatro millones ciento ochenta y un mil quinientos diez pesos 42/100 M.N.). </w:t>
      </w:r>
    </w:p>
    <w:p w14:paraId="65E64750" w14:textId="77777777" w:rsidR="00FC1151" w:rsidRPr="00A04585" w:rsidRDefault="00FC1151" w:rsidP="002E7CFF">
      <w:pPr>
        <w:pStyle w:val="Sinespaciado"/>
        <w:jc w:val="both"/>
        <w:rPr>
          <w:rFonts w:ascii="Trebuchet MS" w:hAnsi="Trebuchet MS"/>
          <w:color w:val="000000"/>
          <w:sz w:val="24"/>
          <w:szCs w:val="24"/>
          <w:lang w:val="es-ES_tradnl" w:eastAsia="es-MX"/>
        </w:rPr>
      </w:pPr>
    </w:p>
    <w:p w14:paraId="7EA67A6F" w14:textId="5F4359E4" w:rsidR="00C81BB9" w:rsidRPr="00A04585" w:rsidRDefault="00FC1151"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D</w:t>
      </w:r>
      <w:r w:rsidR="00E23DFE" w:rsidRPr="00A04585">
        <w:rPr>
          <w:rFonts w:ascii="Trebuchet MS" w:hAnsi="Trebuchet MS"/>
          <w:color w:val="000000"/>
          <w:sz w:val="24"/>
          <w:szCs w:val="24"/>
          <w:lang w:val="es-ES_tradnl" w:eastAsia="es-MX"/>
        </w:rPr>
        <w:t xml:space="preserve">icho monto debe </w:t>
      </w:r>
      <w:r w:rsidR="009F088E" w:rsidRPr="00A04585">
        <w:rPr>
          <w:rFonts w:ascii="Trebuchet MS" w:hAnsi="Trebuchet MS"/>
          <w:color w:val="000000"/>
          <w:sz w:val="24"/>
          <w:szCs w:val="24"/>
          <w:lang w:val="es-ES_tradnl" w:eastAsia="es-MX"/>
        </w:rPr>
        <w:t>distribui</w:t>
      </w:r>
      <w:r w:rsidR="006F7A13" w:rsidRPr="00A04585">
        <w:rPr>
          <w:rFonts w:ascii="Trebuchet MS" w:hAnsi="Trebuchet MS"/>
          <w:color w:val="000000"/>
          <w:sz w:val="24"/>
          <w:szCs w:val="24"/>
          <w:lang w:val="es-ES_tradnl" w:eastAsia="es-MX"/>
        </w:rPr>
        <w:t>rse</w:t>
      </w:r>
      <w:r w:rsidR="009F088E"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con la regla del</w:t>
      </w:r>
      <w:r w:rsidR="00E23DFE" w:rsidRPr="00A04585">
        <w:rPr>
          <w:rFonts w:ascii="Trebuchet MS" w:hAnsi="Trebuchet MS"/>
          <w:color w:val="000000"/>
          <w:sz w:val="24"/>
          <w:szCs w:val="24"/>
          <w:lang w:val="es-ES_tradnl" w:eastAsia="es-MX"/>
        </w:rPr>
        <w:t xml:space="preserve"> </w:t>
      </w:r>
      <w:r w:rsidR="0074231A" w:rsidRPr="00242547">
        <w:rPr>
          <w:rFonts w:ascii="Trebuchet MS" w:hAnsi="Trebuchet MS"/>
          <w:color w:val="000000"/>
          <w:sz w:val="24"/>
          <w:szCs w:val="24"/>
          <w:lang w:val="es-ES_tradnl" w:eastAsia="es-MX"/>
        </w:rPr>
        <w:t>treinta por ciento</w:t>
      </w:r>
      <w:r w:rsidR="00E23DFE" w:rsidRPr="00A04585">
        <w:rPr>
          <w:rFonts w:ascii="Trebuchet MS" w:hAnsi="Trebuchet MS"/>
          <w:color w:val="000000"/>
          <w:sz w:val="24"/>
          <w:szCs w:val="24"/>
          <w:lang w:val="es-ES_tradnl" w:eastAsia="es-MX"/>
        </w:rPr>
        <w:t xml:space="preserve"> de forma igualitaria y, el </w:t>
      </w:r>
      <w:r w:rsidR="0074231A" w:rsidRPr="00242547">
        <w:rPr>
          <w:rFonts w:ascii="Trebuchet MS" w:hAnsi="Trebuchet MS"/>
          <w:color w:val="000000"/>
          <w:sz w:val="24"/>
          <w:szCs w:val="24"/>
          <w:lang w:val="es-ES_tradnl" w:eastAsia="es-MX"/>
        </w:rPr>
        <w:t>setenta por ciento</w:t>
      </w:r>
      <w:r w:rsidR="00E23DFE" w:rsidRPr="00A04585">
        <w:rPr>
          <w:rFonts w:ascii="Trebuchet MS" w:hAnsi="Trebuchet MS"/>
          <w:color w:val="000000"/>
          <w:sz w:val="24"/>
          <w:szCs w:val="24"/>
          <w:lang w:val="es-ES_tradnl" w:eastAsia="es-MX"/>
        </w:rPr>
        <w:t xml:space="preserve"> en proporción a la votación obtenida en la última elección de diputaciones estatales</w:t>
      </w:r>
      <w:r w:rsidR="009F088E" w:rsidRPr="00A04585">
        <w:rPr>
          <w:rFonts w:ascii="Trebuchet MS" w:hAnsi="Trebuchet MS"/>
          <w:color w:val="000000"/>
          <w:sz w:val="24"/>
          <w:szCs w:val="24"/>
          <w:lang w:val="es-ES_tradnl" w:eastAsia="es-MX"/>
        </w:rPr>
        <w:t xml:space="preserve"> por cada partido político.</w:t>
      </w:r>
      <w:r w:rsidR="00E23DFE" w:rsidRPr="00A04585">
        <w:rPr>
          <w:rFonts w:ascii="Trebuchet MS" w:hAnsi="Trebuchet MS"/>
          <w:color w:val="000000"/>
          <w:sz w:val="24"/>
          <w:szCs w:val="24"/>
          <w:lang w:val="es-ES_tradnl" w:eastAsia="es-MX"/>
        </w:rPr>
        <w:t xml:space="preserve"> </w:t>
      </w:r>
    </w:p>
    <w:p w14:paraId="5CF4E9F2" w14:textId="77777777" w:rsidR="00C81BB9" w:rsidRPr="00A04585" w:rsidRDefault="00C81BB9" w:rsidP="002E7CFF">
      <w:pPr>
        <w:pStyle w:val="Sinespaciado"/>
        <w:jc w:val="both"/>
        <w:rPr>
          <w:rFonts w:ascii="Trebuchet MS" w:hAnsi="Trebuchet MS"/>
          <w:color w:val="000000"/>
          <w:sz w:val="24"/>
          <w:szCs w:val="24"/>
          <w:lang w:val="es-ES_tradnl" w:eastAsia="es-MX"/>
        </w:rPr>
      </w:pPr>
    </w:p>
    <w:p w14:paraId="2E261AFA" w14:textId="5A602B4B" w:rsidR="00947881" w:rsidRPr="00A04585" w:rsidRDefault="00E23DFE"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La primera proporción</w:t>
      </w:r>
      <w:r w:rsidR="00FD0557" w:rsidRPr="00A04585">
        <w:rPr>
          <w:rFonts w:ascii="Trebuchet MS" w:hAnsi="Trebuchet MS"/>
          <w:color w:val="000000"/>
          <w:sz w:val="24"/>
          <w:szCs w:val="24"/>
          <w:lang w:val="es-ES_tradnl" w:eastAsia="es-MX"/>
        </w:rPr>
        <w:t xml:space="preserve"> (30%)</w:t>
      </w:r>
      <w:r w:rsidRPr="00A04585">
        <w:rPr>
          <w:rFonts w:ascii="Trebuchet MS" w:hAnsi="Trebuchet MS"/>
          <w:color w:val="000000"/>
          <w:sz w:val="24"/>
          <w:szCs w:val="24"/>
          <w:lang w:val="es-ES_tradnl" w:eastAsia="es-MX"/>
        </w:rPr>
        <w:t xml:space="preserve"> equivale a $</w:t>
      </w:r>
      <w:r w:rsidR="00FC1151" w:rsidRPr="00A04585">
        <w:rPr>
          <w:rFonts w:ascii="Trebuchet MS" w:hAnsi="Trebuchet MS"/>
          <w:color w:val="000000"/>
          <w:sz w:val="24"/>
          <w:szCs w:val="24"/>
          <w:lang w:val="es-ES_tradnl" w:eastAsia="es-MX"/>
        </w:rPr>
        <w:t>118´254,453.13</w:t>
      </w:r>
      <w:r w:rsidRPr="00A04585">
        <w:rPr>
          <w:rFonts w:ascii="Trebuchet MS" w:hAnsi="Trebuchet MS"/>
          <w:color w:val="000000"/>
          <w:sz w:val="24"/>
          <w:szCs w:val="24"/>
          <w:lang w:val="es-ES_tradnl" w:eastAsia="es-MX"/>
        </w:rPr>
        <w:t xml:space="preserve"> (</w:t>
      </w:r>
      <w:r w:rsidR="00FC1151" w:rsidRPr="00A04585">
        <w:rPr>
          <w:rFonts w:ascii="Trebuchet MS" w:hAnsi="Trebuchet MS"/>
          <w:color w:val="000000"/>
          <w:sz w:val="24"/>
          <w:szCs w:val="24"/>
          <w:lang w:val="es-ES_tradnl" w:eastAsia="es-MX"/>
        </w:rPr>
        <w:t>ciento dieciocho millones doscientos cincuenta y cuatro mil cuatrocientos cincuenta y tres pesos 13</w:t>
      </w:r>
      <w:r w:rsidRPr="00A04585">
        <w:rPr>
          <w:rFonts w:ascii="Trebuchet MS" w:hAnsi="Trebuchet MS"/>
          <w:color w:val="000000"/>
          <w:sz w:val="24"/>
          <w:szCs w:val="24"/>
          <w:lang w:val="es-ES_tradnl" w:eastAsia="es-MX"/>
        </w:rPr>
        <w:t>/100 M.N.) y, la segunda</w:t>
      </w:r>
      <w:r w:rsidR="00FD0557" w:rsidRPr="00A04585">
        <w:rPr>
          <w:rFonts w:ascii="Trebuchet MS" w:hAnsi="Trebuchet MS"/>
          <w:color w:val="000000"/>
          <w:sz w:val="24"/>
          <w:szCs w:val="24"/>
          <w:lang w:val="es-ES_tradnl" w:eastAsia="es-MX"/>
        </w:rPr>
        <w:t xml:space="preserve"> porción (70%)</w:t>
      </w:r>
      <w:r w:rsidRPr="00A04585">
        <w:rPr>
          <w:rFonts w:ascii="Trebuchet MS" w:hAnsi="Trebuchet MS"/>
          <w:color w:val="000000"/>
          <w:sz w:val="24"/>
          <w:szCs w:val="24"/>
          <w:lang w:val="es-ES_tradnl" w:eastAsia="es-MX"/>
        </w:rPr>
        <w:t>, corresponde a $</w:t>
      </w:r>
      <w:r w:rsidR="00B90D55" w:rsidRPr="00A04585">
        <w:rPr>
          <w:rFonts w:ascii="Trebuchet MS" w:hAnsi="Trebuchet MS"/>
          <w:color w:val="000000"/>
          <w:sz w:val="24"/>
          <w:szCs w:val="24"/>
          <w:lang w:val="es-ES_tradnl" w:eastAsia="es-MX"/>
        </w:rPr>
        <w:t>275´927,057.30</w:t>
      </w:r>
      <w:r w:rsidRPr="00A04585">
        <w:rPr>
          <w:rFonts w:ascii="Trebuchet MS" w:hAnsi="Trebuchet MS"/>
          <w:color w:val="000000"/>
          <w:sz w:val="24"/>
          <w:szCs w:val="24"/>
          <w:lang w:val="es-ES_tradnl" w:eastAsia="es-MX"/>
        </w:rPr>
        <w:t xml:space="preserve"> (</w:t>
      </w:r>
      <w:r w:rsidR="00B90D55" w:rsidRPr="00A04585">
        <w:rPr>
          <w:rFonts w:ascii="Trebuchet MS" w:hAnsi="Trebuchet MS"/>
          <w:color w:val="000000"/>
          <w:sz w:val="24"/>
          <w:szCs w:val="24"/>
          <w:lang w:val="es-ES_tradnl" w:eastAsia="es-MX"/>
        </w:rPr>
        <w:t>doscientos setenta y cinco millones novecientos veintisiete mil cincuenta y siete pesos 30</w:t>
      </w:r>
      <w:r w:rsidRPr="00A04585">
        <w:rPr>
          <w:rFonts w:ascii="Trebuchet MS" w:hAnsi="Trebuchet MS"/>
          <w:color w:val="000000"/>
          <w:sz w:val="24"/>
          <w:szCs w:val="24"/>
          <w:lang w:val="es-ES_tradnl" w:eastAsia="es-MX"/>
        </w:rPr>
        <w:t>/100 M.N.)</w:t>
      </w:r>
      <w:r w:rsidR="00947881" w:rsidRPr="00A04585">
        <w:rPr>
          <w:rFonts w:ascii="Trebuchet MS" w:hAnsi="Trebuchet MS"/>
          <w:color w:val="000000"/>
          <w:sz w:val="24"/>
          <w:szCs w:val="24"/>
          <w:lang w:val="es-ES_tradnl" w:eastAsia="es-MX"/>
        </w:rPr>
        <w:t xml:space="preserve">, que conjuntamente forman el total </w:t>
      </w:r>
      <w:r w:rsidR="00FD0557" w:rsidRPr="00A04585">
        <w:rPr>
          <w:rFonts w:ascii="Trebuchet MS" w:hAnsi="Trebuchet MS"/>
          <w:color w:val="000000"/>
          <w:sz w:val="24"/>
          <w:szCs w:val="24"/>
          <w:lang w:val="es-ES_tradnl" w:eastAsia="es-MX"/>
        </w:rPr>
        <w:t>de recursos de la bolsa para partidos políticos locales</w:t>
      </w:r>
      <w:r w:rsidRPr="00A04585">
        <w:rPr>
          <w:rFonts w:ascii="Trebuchet MS" w:hAnsi="Trebuchet MS"/>
          <w:color w:val="000000"/>
          <w:sz w:val="24"/>
          <w:szCs w:val="24"/>
          <w:lang w:val="es-ES_tradnl" w:eastAsia="es-MX"/>
        </w:rPr>
        <w:t>.</w:t>
      </w:r>
      <w:r w:rsidR="00947881" w:rsidRPr="00A04585">
        <w:rPr>
          <w:rFonts w:ascii="Trebuchet MS" w:hAnsi="Trebuchet MS"/>
          <w:color w:val="000000"/>
          <w:sz w:val="24"/>
          <w:szCs w:val="24"/>
          <w:lang w:val="es-ES_tradnl" w:eastAsia="es-MX"/>
        </w:rPr>
        <w:t xml:space="preserve"> Lo anterior, se muestra </w:t>
      </w:r>
      <w:r w:rsidR="00B90D55" w:rsidRPr="00A04585">
        <w:rPr>
          <w:rFonts w:ascii="Trebuchet MS" w:hAnsi="Trebuchet MS"/>
          <w:color w:val="000000"/>
          <w:sz w:val="24"/>
          <w:szCs w:val="24"/>
          <w:lang w:val="es-ES_tradnl" w:eastAsia="es-MX"/>
        </w:rPr>
        <w:t>la tabla siguiente</w:t>
      </w:r>
      <w:r w:rsidR="00947881" w:rsidRPr="00A04585">
        <w:rPr>
          <w:rFonts w:ascii="Trebuchet MS" w:hAnsi="Trebuchet MS"/>
          <w:color w:val="000000"/>
          <w:sz w:val="24"/>
          <w:szCs w:val="24"/>
          <w:lang w:val="es-ES_tradnl" w:eastAsia="es-MX"/>
        </w:rPr>
        <w:t>:</w:t>
      </w:r>
    </w:p>
    <w:p w14:paraId="35DC7BE9" w14:textId="77777777" w:rsidR="0074231A" w:rsidRPr="00A04585" w:rsidRDefault="0074231A" w:rsidP="002E7CFF">
      <w:pPr>
        <w:pStyle w:val="Sinespaciado"/>
        <w:jc w:val="both"/>
        <w:rPr>
          <w:rFonts w:ascii="Trebuchet MS" w:hAnsi="Trebuchet MS"/>
          <w:color w:val="000000"/>
          <w:sz w:val="24"/>
          <w:szCs w:val="24"/>
          <w:lang w:val="es-ES_tradnl" w:eastAsia="es-MX"/>
        </w:rPr>
      </w:pPr>
    </w:p>
    <w:p w14:paraId="668A6BB0" w14:textId="77777777" w:rsidR="0074231A" w:rsidRPr="00A04585" w:rsidRDefault="0074231A" w:rsidP="002E7CFF">
      <w:pPr>
        <w:pStyle w:val="Sinespaciado"/>
        <w:jc w:val="both"/>
        <w:rPr>
          <w:rFonts w:ascii="Trebuchet MS" w:hAnsi="Trebuchet MS"/>
          <w:color w:val="000000"/>
          <w:sz w:val="24"/>
          <w:szCs w:val="24"/>
          <w:lang w:val="es-ES_tradnl" w:eastAsia="es-MX"/>
        </w:rPr>
      </w:pPr>
    </w:p>
    <w:p w14:paraId="2314F941" w14:textId="77777777" w:rsidR="00C81BB9" w:rsidRPr="00242547" w:rsidRDefault="00C81BB9" w:rsidP="002E7CFF">
      <w:pPr>
        <w:pStyle w:val="Sinespaciado"/>
        <w:jc w:val="both"/>
        <w:rPr>
          <w:rFonts w:ascii="Trebuchet MS" w:hAnsi="Trebuchet MS"/>
          <w:color w:val="000000"/>
          <w:sz w:val="24"/>
          <w:szCs w:val="24"/>
          <w:lang w:val="es-ES_tradnl" w:eastAsia="es-MX"/>
        </w:rPr>
      </w:pPr>
    </w:p>
    <w:tbl>
      <w:tblPr>
        <w:tblW w:w="6876" w:type="dxa"/>
        <w:jc w:val="center"/>
        <w:tblCellMar>
          <w:left w:w="70" w:type="dxa"/>
          <w:right w:w="70" w:type="dxa"/>
        </w:tblCellMar>
        <w:tblLook w:val="04A0" w:firstRow="1" w:lastRow="0" w:firstColumn="1" w:lastColumn="0" w:noHBand="0" w:noVBand="1"/>
      </w:tblPr>
      <w:tblGrid>
        <w:gridCol w:w="3721"/>
        <w:gridCol w:w="3155"/>
      </w:tblGrid>
      <w:tr w:rsidR="00B90D55" w:rsidRPr="00A04585" w14:paraId="7B1BCBA1" w14:textId="77777777" w:rsidTr="00B90D55">
        <w:trPr>
          <w:trHeight w:val="645"/>
          <w:jc w:val="center"/>
        </w:trPr>
        <w:tc>
          <w:tcPr>
            <w:tcW w:w="6876" w:type="dxa"/>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185E7784" w14:textId="77777777" w:rsidR="00B90D55" w:rsidRPr="00A04585" w:rsidRDefault="00B90D55" w:rsidP="00B90D55">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2.2 Criterio de distribución: 30% en forma igualitaria, 70% en forma proporcional y cantidades resultantes</w:t>
            </w:r>
          </w:p>
        </w:tc>
      </w:tr>
      <w:tr w:rsidR="00B90D55" w:rsidRPr="00A04585" w14:paraId="0E474515" w14:textId="77777777" w:rsidTr="00B90D55">
        <w:trPr>
          <w:trHeight w:val="458"/>
          <w:jc w:val="center"/>
        </w:trPr>
        <w:tc>
          <w:tcPr>
            <w:tcW w:w="3721" w:type="dxa"/>
            <w:tcBorders>
              <w:top w:val="nil"/>
              <w:left w:val="single" w:sz="8" w:space="0" w:color="808080"/>
              <w:bottom w:val="single" w:sz="4" w:space="0" w:color="808080"/>
              <w:right w:val="single" w:sz="4" w:space="0" w:color="808080"/>
            </w:tcBorders>
            <w:shd w:val="clear" w:color="auto" w:fill="auto"/>
            <w:vAlign w:val="center"/>
            <w:hideMark/>
          </w:tcPr>
          <w:p w14:paraId="745FE708" w14:textId="77777777" w:rsidR="00B90D55" w:rsidRPr="00A04585" w:rsidRDefault="00B90D55" w:rsidP="00B90D55">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distribuir</w:t>
            </w:r>
          </w:p>
        </w:tc>
        <w:tc>
          <w:tcPr>
            <w:tcW w:w="3154" w:type="dxa"/>
            <w:tcBorders>
              <w:top w:val="nil"/>
              <w:left w:val="nil"/>
              <w:bottom w:val="single" w:sz="4" w:space="0" w:color="808080"/>
              <w:right w:val="single" w:sz="8" w:space="0" w:color="808080"/>
            </w:tcBorders>
            <w:shd w:val="clear" w:color="auto" w:fill="auto"/>
            <w:noWrap/>
            <w:vAlign w:val="center"/>
            <w:hideMark/>
          </w:tcPr>
          <w:p w14:paraId="1E2F0E60" w14:textId="77777777" w:rsidR="00B90D55" w:rsidRPr="00A04585" w:rsidRDefault="00B90D55" w:rsidP="00B90D55">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$394,181,510.42</w:t>
            </w:r>
          </w:p>
        </w:tc>
      </w:tr>
      <w:tr w:rsidR="00B90D55" w:rsidRPr="00A04585" w14:paraId="3EC4CC45" w14:textId="77777777" w:rsidTr="00B90D55">
        <w:trPr>
          <w:trHeight w:val="458"/>
          <w:jc w:val="center"/>
        </w:trPr>
        <w:tc>
          <w:tcPr>
            <w:tcW w:w="3721"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5F31DFB0" w14:textId="77777777" w:rsidR="00B90D55" w:rsidRPr="00A04585" w:rsidRDefault="00B90D55" w:rsidP="00B90D55">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forma igualitaria</w:t>
            </w:r>
          </w:p>
        </w:tc>
        <w:tc>
          <w:tcPr>
            <w:tcW w:w="3154" w:type="dxa"/>
            <w:tcBorders>
              <w:top w:val="single" w:sz="4" w:space="0" w:color="808080"/>
              <w:left w:val="nil"/>
              <w:bottom w:val="single" w:sz="4" w:space="0" w:color="808080"/>
              <w:right w:val="single" w:sz="8" w:space="0" w:color="808080"/>
            </w:tcBorders>
            <w:shd w:val="clear" w:color="auto" w:fill="auto"/>
            <w:noWrap/>
            <w:vAlign w:val="center"/>
            <w:hideMark/>
          </w:tcPr>
          <w:p w14:paraId="175F5176" w14:textId="77777777" w:rsidR="00B90D55" w:rsidRPr="00A04585" w:rsidRDefault="00B90D55" w:rsidP="00B90D55">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$118,254,453.13</w:t>
            </w:r>
          </w:p>
        </w:tc>
      </w:tr>
      <w:tr w:rsidR="00B90D55" w:rsidRPr="00A04585" w14:paraId="50513001" w14:textId="77777777" w:rsidTr="00B90D55">
        <w:trPr>
          <w:trHeight w:val="458"/>
          <w:jc w:val="center"/>
        </w:trPr>
        <w:tc>
          <w:tcPr>
            <w:tcW w:w="3721" w:type="dxa"/>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1EDD59F2" w14:textId="77777777" w:rsidR="00B90D55" w:rsidRPr="00A04585" w:rsidRDefault="00B90D55" w:rsidP="00B90D55">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forma proporcional</w:t>
            </w:r>
          </w:p>
        </w:tc>
        <w:tc>
          <w:tcPr>
            <w:tcW w:w="3154" w:type="dxa"/>
            <w:tcBorders>
              <w:top w:val="single" w:sz="4" w:space="0" w:color="808080"/>
              <w:left w:val="nil"/>
              <w:bottom w:val="single" w:sz="8" w:space="0" w:color="808080"/>
              <w:right w:val="single" w:sz="8" w:space="0" w:color="808080"/>
            </w:tcBorders>
            <w:shd w:val="clear" w:color="000000" w:fill="FFFFFF"/>
            <w:vAlign w:val="center"/>
            <w:hideMark/>
          </w:tcPr>
          <w:p w14:paraId="2CD05B74" w14:textId="77777777" w:rsidR="00B90D55" w:rsidRPr="00A04585" w:rsidRDefault="00B90D55" w:rsidP="00B90D55">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$275,927,057.30</w:t>
            </w:r>
          </w:p>
        </w:tc>
      </w:tr>
    </w:tbl>
    <w:p w14:paraId="33FFC662" w14:textId="7D1DC452" w:rsidR="00947881" w:rsidRPr="00242547" w:rsidRDefault="00947881" w:rsidP="002E7CFF">
      <w:pPr>
        <w:pStyle w:val="Sinespaciado"/>
        <w:jc w:val="center"/>
        <w:rPr>
          <w:rFonts w:ascii="Trebuchet MS" w:hAnsi="Trebuchet MS"/>
          <w:color w:val="000000"/>
          <w:sz w:val="24"/>
          <w:szCs w:val="24"/>
          <w:lang w:val="es-ES_tradnl" w:eastAsia="es-MX"/>
        </w:rPr>
      </w:pPr>
    </w:p>
    <w:p w14:paraId="738E72F6" w14:textId="07222CDF" w:rsidR="002044A9" w:rsidRPr="00242547" w:rsidRDefault="002044A9" w:rsidP="002E7CFF">
      <w:pPr>
        <w:pStyle w:val="Sinespaciado"/>
        <w:jc w:val="both"/>
        <w:rPr>
          <w:rFonts w:ascii="Trebuchet MS" w:hAnsi="Trebuchet MS"/>
          <w:color w:val="000000"/>
          <w:sz w:val="24"/>
          <w:szCs w:val="24"/>
          <w:lang w:val="es-ES_tradnl" w:eastAsia="es-MX"/>
        </w:rPr>
      </w:pPr>
    </w:p>
    <w:p w14:paraId="4CED1271" w14:textId="294DC7F0" w:rsidR="00C81BB9" w:rsidRPr="00A04585" w:rsidRDefault="00947881"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Ahora bien, como fue explicado, la cantidad correspondiente al </w:t>
      </w:r>
      <w:r w:rsidR="0074231A"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debe </w:t>
      </w:r>
      <w:r w:rsidR="00C81BB9" w:rsidRPr="00A04585">
        <w:rPr>
          <w:rFonts w:ascii="Trebuchet MS" w:hAnsi="Trebuchet MS"/>
          <w:color w:val="000000"/>
          <w:sz w:val="24"/>
          <w:szCs w:val="24"/>
          <w:lang w:val="es-ES_tradnl" w:eastAsia="es-MX"/>
        </w:rPr>
        <w:t>dividirse entre siete y otorgarse una parte igual a cada uno de</w:t>
      </w:r>
      <w:r w:rsidRPr="00A04585">
        <w:rPr>
          <w:rFonts w:ascii="Trebuchet MS" w:hAnsi="Trebuchet MS"/>
          <w:color w:val="000000"/>
          <w:sz w:val="24"/>
          <w:szCs w:val="24"/>
          <w:lang w:val="es-ES_tradnl" w:eastAsia="es-MX"/>
        </w:rPr>
        <w:t xml:space="preserve"> los partidos</w:t>
      </w:r>
      <w:r w:rsidR="00C81BB9" w:rsidRPr="00A04585">
        <w:rPr>
          <w:rFonts w:ascii="Trebuchet MS" w:hAnsi="Trebuchet MS"/>
          <w:color w:val="000000"/>
          <w:sz w:val="24"/>
          <w:szCs w:val="24"/>
          <w:lang w:val="es-ES_tradnl" w:eastAsia="es-MX"/>
        </w:rPr>
        <w:t xml:space="preserve"> locales</w:t>
      </w:r>
      <w:r w:rsidRPr="00A04585">
        <w:rPr>
          <w:rFonts w:ascii="Trebuchet MS" w:hAnsi="Trebuchet MS"/>
          <w:color w:val="000000"/>
          <w:sz w:val="24"/>
          <w:szCs w:val="24"/>
          <w:lang w:val="es-ES_tradnl" w:eastAsia="es-MX"/>
        </w:rPr>
        <w:t xml:space="preserve"> que cumplieron con las condiciones para acceder al financiamiento público, en este caso, Hagamos y Futuro.</w:t>
      </w:r>
    </w:p>
    <w:p w14:paraId="3D0C3042" w14:textId="77777777" w:rsidR="00C81BB9" w:rsidRPr="00242547" w:rsidRDefault="00C81BB9" w:rsidP="002E7CFF">
      <w:pPr>
        <w:pStyle w:val="Sinespaciado"/>
        <w:jc w:val="both"/>
        <w:rPr>
          <w:rFonts w:ascii="Trebuchet MS" w:hAnsi="Trebuchet MS"/>
          <w:color w:val="000000"/>
          <w:sz w:val="24"/>
          <w:szCs w:val="24"/>
          <w:lang w:val="es-ES_tradnl" w:eastAsia="es-MX"/>
        </w:rPr>
      </w:pPr>
    </w:p>
    <w:p w14:paraId="45201ACA" w14:textId="0D333DFE" w:rsidR="00CF1CBF" w:rsidRPr="00A04585" w:rsidRDefault="00947881"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 cada uno de ellos debe otorgarse por ese concepto la cantidad de $</w:t>
      </w:r>
      <w:r w:rsidR="00C81BB9" w:rsidRPr="00A04585">
        <w:rPr>
          <w:rFonts w:ascii="Trebuchet MS" w:hAnsi="Trebuchet MS"/>
          <w:color w:val="000000"/>
          <w:sz w:val="24"/>
          <w:szCs w:val="24"/>
          <w:lang w:val="es-ES_tradnl" w:eastAsia="es-MX"/>
        </w:rPr>
        <w:t>1</w:t>
      </w:r>
      <w:r w:rsidR="00D04A46" w:rsidRPr="00A04585">
        <w:rPr>
          <w:rFonts w:ascii="Trebuchet MS" w:hAnsi="Trebuchet MS"/>
          <w:color w:val="000000"/>
          <w:sz w:val="24"/>
          <w:szCs w:val="24"/>
          <w:lang w:val="es-ES_tradnl" w:eastAsia="es-MX"/>
        </w:rPr>
        <w:t>6´893,493.30</w:t>
      </w:r>
      <w:r w:rsidRPr="00A04585">
        <w:rPr>
          <w:rFonts w:ascii="Trebuchet MS" w:hAnsi="Trebuchet MS"/>
          <w:color w:val="000000"/>
          <w:sz w:val="24"/>
          <w:szCs w:val="24"/>
          <w:lang w:val="es-ES_tradnl" w:eastAsia="es-MX"/>
        </w:rPr>
        <w:t xml:space="preserve"> (</w:t>
      </w:r>
      <w:r w:rsidR="00D04A46" w:rsidRPr="00A04585">
        <w:rPr>
          <w:rFonts w:ascii="Trebuchet MS" w:hAnsi="Trebuchet MS"/>
          <w:color w:val="000000"/>
          <w:sz w:val="24"/>
          <w:szCs w:val="24"/>
          <w:lang w:val="es-ES_tradnl" w:eastAsia="es-MX"/>
        </w:rPr>
        <w:t>dieciséis millones ochocientos noventa y tres mil cuatrocientos noventa y tres pesos 30</w:t>
      </w:r>
      <w:r w:rsidR="00C81BB9" w:rsidRPr="00A04585">
        <w:rPr>
          <w:rFonts w:ascii="Trebuchet MS" w:hAnsi="Trebuchet MS"/>
          <w:color w:val="000000"/>
          <w:sz w:val="24"/>
          <w:szCs w:val="24"/>
          <w:lang w:val="es-ES_tradnl" w:eastAsia="es-MX"/>
        </w:rPr>
        <w:t>/100 M.N.).</w:t>
      </w:r>
      <w:r w:rsidRPr="00A04585">
        <w:rPr>
          <w:rFonts w:ascii="Trebuchet MS" w:hAnsi="Trebuchet MS"/>
          <w:color w:val="000000"/>
          <w:sz w:val="24"/>
          <w:szCs w:val="24"/>
          <w:lang w:val="es-ES_tradnl" w:eastAsia="es-MX"/>
        </w:rPr>
        <w:t xml:space="preserve"> El cálculo correspondiente se muestra enseguida:</w:t>
      </w:r>
    </w:p>
    <w:p w14:paraId="5A7F12EF" w14:textId="77777777" w:rsidR="006A3CE0" w:rsidRPr="00242547" w:rsidRDefault="006A3CE0" w:rsidP="002E7CFF">
      <w:pPr>
        <w:pStyle w:val="Sinespaciado"/>
        <w:jc w:val="both"/>
        <w:rPr>
          <w:rFonts w:ascii="Trebuchet MS" w:hAnsi="Trebuchet MS"/>
          <w:color w:val="000000"/>
          <w:sz w:val="24"/>
          <w:szCs w:val="24"/>
          <w:lang w:val="es-ES_tradnl" w:eastAsia="es-MX"/>
        </w:rPr>
      </w:pPr>
    </w:p>
    <w:tbl>
      <w:tblPr>
        <w:tblW w:w="6659" w:type="dxa"/>
        <w:jc w:val="center"/>
        <w:tblCellMar>
          <w:left w:w="70" w:type="dxa"/>
          <w:right w:w="70" w:type="dxa"/>
        </w:tblCellMar>
        <w:tblLook w:val="04A0" w:firstRow="1" w:lastRow="0" w:firstColumn="1" w:lastColumn="0" w:noHBand="0" w:noVBand="1"/>
      </w:tblPr>
      <w:tblGrid>
        <w:gridCol w:w="3604"/>
        <w:gridCol w:w="3055"/>
      </w:tblGrid>
      <w:tr w:rsidR="00D04A46" w:rsidRPr="00A04585" w14:paraId="645B2BDB" w14:textId="77777777" w:rsidTr="00D04A46">
        <w:trPr>
          <w:trHeight w:val="579"/>
          <w:jc w:val="center"/>
        </w:trPr>
        <w:tc>
          <w:tcPr>
            <w:tcW w:w="6659" w:type="dxa"/>
            <w:gridSpan w:val="2"/>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575B4B0E" w14:textId="5D3CDDA9" w:rsidR="00D04A46" w:rsidRPr="00A04585" w:rsidRDefault="00D04A46" w:rsidP="00D04A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2.3 Distribución de la parte igualitaria: 30% de la cantidad a distribuir</w:t>
            </w:r>
            <w:r w:rsidRPr="00A04585">
              <w:rPr>
                <w:rFonts w:ascii="Trebuchet MS" w:eastAsia="Times New Roman" w:hAnsi="Trebuchet MS" w:cs="Calibri Light"/>
                <w:b/>
                <w:bCs/>
                <w:color w:val="000000"/>
                <w:sz w:val="20"/>
                <w:szCs w:val="20"/>
                <w:lang w:eastAsia="es-MX"/>
              </w:rPr>
              <w:br/>
            </w:r>
            <w:r w:rsidRPr="00A04585">
              <w:rPr>
                <w:rFonts w:ascii="Trebuchet MS" w:eastAsia="Times New Roman" w:hAnsi="Trebuchet MS" w:cs="Calibri Light"/>
                <w:bCs/>
                <w:color w:val="000000"/>
                <w:sz w:val="20"/>
                <w:szCs w:val="20"/>
                <w:lang w:eastAsia="es-MX"/>
              </w:rPr>
              <w:t>Artículo 13 CPEJ y 51 de la LGPP</w:t>
            </w:r>
          </w:p>
        </w:tc>
      </w:tr>
      <w:tr w:rsidR="00D04A46" w:rsidRPr="00A04585" w14:paraId="4227FCCE" w14:textId="77777777" w:rsidTr="00D04A46">
        <w:trPr>
          <w:trHeight w:val="392"/>
          <w:jc w:val="center"/>
        </w:trPr>
        <w:tc>
          <w:tcPr>
            <w:tcW w:w="3604" w:type="dxa"/>
            <w:tcBorders>
              <w:top w:val="nil"/>
              <w:left w:val="single" w:sz="8" w:space="0" w:color="808080"/>
              <w:bottom w:val="single" w:sz="4" w:space="0" w:color="808080"/>
              <w:right w:val="single" w:sz="4" w:space="0" w:color="808080"/>
            </w:tcBorders>
            <w:shd w:val="clear" w:color="auto" w:fill="auto"/>
            <w:vAlign w:val="center"/>
            <w:hideMark/>
          </w:tcPr>
          <w:p w14:paraId="18AE4D3F" w14:textId="77777777" w:rsidR="00D04A46" w:rsidRPr="00A04585" w:rsidRDefault="00D04A46" w:rsidP="00D04A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en la parte igualitaria</w:t>
            </w:r>
          </w:p>
        </w:tc>
        <w:tc>
          <w:tcPr>
            <w:tcW w:w="3055" w:type="dxa"/>
            <w:tcBorders>
              <w:top w:val="nil"/>
              <w:left w:val="nil"/>
              <w:bottom w:val="single" w:sz="4" w:space="0" w:color="808080"/>
              <w:right w:val="single" w:sz="8" w:space="0" w:color="808080"/>
            </w:tcBorders>
            <w:shd w:val="clear" w:color="auto" w:fill="auto"/>
            <w:noWrap/>
            <w:vAlign w:val="center"/>
            <w:hideMark/>
          </w:tcPr>
          <w:p w14:paraId="71D637CF" w14:textId="77777777" w:rsidR="00D04A46" w:rsidRPr="00A04585" w:rsidRDefault="00D04A46" w:rsidP="00D04A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$118,254,453.13</w:t>
            </w:r>
          </w:p>
        </w:tc>
      </w:tr>
      <w:tr w:rsidR="00D04A46" w:rsidRPr="00A04585" w14:paraId="5A2215C5" w14:textId="77777777" w:rsidTr="00D04A46">
        <w:trPr>
          <w:trHeight w:val="392"/>
          <w:jc w:val="center"/>
        </w:trPr>
        <w:tc>
          <w:tcPr>
            <w:tcW w:w="3604"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131A4760" w14:textId="77777777" w:rsidR="00D04A46" w:rsidRPr="00A04585" w:rsidRDefault="00D04A46" w:rsidP="00D04A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Partidos políticos con derecho a recibirlo</w:t>
            </w:r>
          </w:p>
        </w:tc>
        <w:tc>
          <w:tcPr>
            <w:tcW w:w="3055" w:type="dxa"/>
            <w:tcBorders>
              <w:top w:val="single" w:sz="4" w:space="0" w:color="808080"/>
              <w:left w:val="nil"/>
              <w:bottom w:val="single" w:sz="4" w:space="0" w:color="808080"/>
              <w:right w:val="single" w:sz="8" w:space="0" w:color="808080"/>
            </w:tcBorders>
            <w:shd w:val="clear" w:color="auto" w:fill="auto"/>
            <w:noWrap/>
            <w:vAlign w:val="center"/>
            <w:hideMark/>
          </w:tcPr>
          <w:p w14:paraId="7230EDDC" w14:textId="77777777" w:rsidR="00D04A46" w:rsidRPr="00A04585" w:rsidRDefault="00D04A46" w:rsidP="00D04A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7 </w:t>
            </w:r>
          </w:p>
        </w:tc>
      </w:tr>
      <w:tr w:rsidR="00D04A46" w:rsidRPr="00A04585" w14:paraId="0E5A67B1" w14:textId="77777777" w:rsidTr="00D04A46">
        <w:trPr>
          <w:trHeight w:val="392"/>
          <w:jc w:val="center"/>
        </w:trPr>
        <w:tc>
          <w:tcPr>
            <w:tcW w:w="3604" w:type="dxa"/>
            <w:tcBorders>
              <w:top w:val="single" w:sz="4" w:space="0" w:color="808080"/>
              <w:left w:val="single" w:sz="8" w:space="0" w:color="808080"/>
              <w:bottom w:val="single" w:sz="8" w:space="0" w:color="808080"/>
              <w:right w:val="single" w:sz="4" w:space="0" w:color="808080"/>
            </w:tcBorders>
            <w:shd w:val="clear" w:color="000000" w:fill="F3EBF9"/>
            <w:vAlign w:val="center"/>
            <w:hideMark/>
          </w:tcPr>
          <w:p w14:paraId="68AA025A" w14:textId="6B2B7659" w:rsidR="00D04A46" w:rsidRPr="00A04585" w:rsidRDefault="00D04A46" w:rsidP="00D04A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entregar por partido político</w:t>
            </w:r>
          </w:p>
        </w:tc>
        <w:tc>
          <w:tcPr>
            <w:tcW w:w="3055" w:type="dxa"/>
            <w:tcBorders>
              <w:top w:val="single" w:sz="4" w:space="0" w:color="808080"/>
              <w:left w:val="nil"/>
              <w:bottom w:val="single" w:sz="8" w:space="0" w:color="808080"/>
              <w:right w:val="single" w:sz="8" w:space="0" w:color="808080"/>
            </w:tcBorders>
            <w:shd w:val="clear" w:color="000000" w:fill="F3EBF9"/>
            <w:vAlign w:val="center"/>
            <w:hideMark/>
          </w:tcPr>
          <w:p w14:paraId="5D292417" w14:textId="77777777" w:rsidR="00D04A46" w:rsidRPr="00A04585" w:rsidRDefault="00D04A46" w:rsidP="00D04A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$16,893,493.30</w:t>
            </w:r>
          </w:p>
        </w:tc>
      </w:tr>
    </w:tbl>
    <w:p w14:paraId="2BF5DFCB" w14:textId="01DDE8DB" w:rsidR="00947881" w:rsidRPr="00242547" w:rsidRDefault="00947881" w:rsidP="002E7CFF">
      <w:pPr>
        <w:pStyle w:val="Sinespaciado"/>
        <w:jc w:val="center"/>
        <w:rPr>
          <w:rFonts w:ascii="Trebuchet MS" w:hAnsi="Trebuchet MS"/>
          <w:color w:val="000000"/>
          <w:sz w:val="24"/>
          <w:szCs w:val="24"/>
          <w:lang w:val="es-ES_tradnl" w:eastAsia="es-MX"/>
        </w:rPr>
      </w:pPr>
    </w:p>
    <w:p w14:paraId="2E67034A" w14:textId="4D17C725" w:rsidR="00C81BB9" w:rsidRPr="00A04585" w:rsidRDefault="00C81BB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 </w:t>
      </w:r>
      <w:r w:rsidR="007B4B61" w:rsidRPr="00A04585">
        <w:rPr>
          <w:rFonts w:ascii="Trebuchet MS" w:hAnsi="Trebuchet MS"/>
          <w:color w:val="000000"/>
          <w:sz w:val="24"/>
          <w:szCs w:val="24"/>
          <w:lang w:val="es-ES_tradnl" w:eastAsia="es-MX"/>
        </w:rPr>
        <w:t xml:space="preserve">los partidos locales </w:t>
      </w:r>
      <w:r w:rsidRPr="00A04585">
        <w:rPr>
          <w:rFonts w:ascii="Trebuchet MS" w:hAnsi="Trebuchet MS"/>
          <w:color w:val="000000"/>
          <w:sz w:val="24"/>
          <w:szCs w:val="24"/>
          <w:lang w:val="es-ES_tradnl" w:eastAsia="es-MX"/>
        </w:rPr>
        <w:t>se les otorgará una s</w:t>
      </w:r>
      <w:r w:rsidR="001F183C" w:rsidRPr="00A04585">
        <w:rPr>
          <w:rFonts w:ascii="Trebuchet MS" w:hAnsi="Trebuchet MS"/>
          <w:color w:val="000000"/>
          <w:sz w:val="24"/>
          <w:szCs w:val="24"/>
          <w:lang w:val="es-ES_tradnl" w:eastAsia="es-MX"/>
        </w:rPr>
        <w:t xml:space="preserve">éptima parte del  monto correspondiente a la parte de la bolsa estatal que debe repartirse de forma igualitaria, de </w:t>
      </w:r>
      <w:r w:rsidR="00C208EC" w:rsidRPr="00A04585">
        <w:rPr>
          <w:rFonts w:ascii="Trebuchet MS" w:hAnsi="Trebuchet MS"/>
          <w:color w:val="000000"/>
          <w:sz w:val="24"/>
          <w:szCs w:val="24"/>
          <w:lang w:val="es-ES_tradnl" w:eastAsia="es-MX"/>
        </w:rPr>
        <w:t xml:space="preserve">manera </w:t>
      </w:r>
      <w:r w:rsidR="001F183C" w:rsidRPr="00A04585">
        <w:rPr>
          <w:rFonts w:ascii="Trebuchet MS" w:hAnsi="Trebuchet MS"/>
          <w:color w:val="000000"/>
          <w:sz w:val="24"/>
          <w:szCs w:val="24"/>
          <w:lang w:val="es-ES_tradnl" w:eastAsia="es-MX"/>
        </w:rPr>
        <w:t>que por ese concepto sólo se asignará la cantidad de $</w:t>
      </w:r>
      <w:r w:rsidR="008E3BAE" w:rsidRPr="00A04585">
        <w:rPr>
          <w:rFonts w:ascii="Trebuchet MS" w:hAnsi="Trebuchet MS"/>
          <w:color w:val="000000"/>
          <w:sz w:val="24"/>
          <w:szCs w:val="24"/>
          <w:lang w:val="es-ES_tradnl" w:eastAsia="es-MX"/>
        </w:rPr>
        <w:t>33´786,986.61</w:t>
      </w:r>
      <w:r w:rsidR="00B22D98" w:rsidRPr="00A04585">
        <w:rPr>
          <w:rFonts w:ascii="Trebuchet MS" w:hAnsi="Trebuchet MS"/>
          <w:color w:val="000000"/>
          <w:sz w:val="24"/>
          <w:szCs w:val="24"/>
          <w:lang w:val="es-ES_tradnl" w:eastAsia="es-MX"/>
        </w:rPr>
        <w:t xml:space="preserve"> (</w:t>
      </w:r>
      <w:r w:rsidR="008E3BAE" w:rsidRPr="00A04585">
        <w:rPr>
          <w:rFonts w:ascii="Trebuchet MS" w:hAnsi="Trebuchet MS"/>
          <w:color w:val="000000"/>
          <w:sz w:val="24"/>
          <w:szCs w:val="24"/>
          <w:lang w:val="es-ES_tradnl" w:eastAsia="es-MX"/>
        </w:rPr>
        <w:t>treinta y tres millones setecientos ochenta y seis mil novecientos ochenta y seis pesos 61</w:t>
      </w:r>
      <w:r w:rsidR="00B22D98" w:rsidRPr="00A04585">
        <w:rPr>
          <w:rFonts w:ascii="Trebuchet MS" w:hAnsi="Trebuchet MS"/>
          <w:color w:val="000000"/>
          <w:sz w:val="24"/>
          <w:szCs w:val="24"/>
          <w:lang w:val="es-ES_tradnl" w:eastAsia="es-MX"/>
        </w:rPr>
        <w:t xml:space="preserve">/100 M.N.), lo que evidencia que del total de </w:t>
      </w:r>
      <w:r w:rsidR="007B4B61" w:rsidRPr="00A04585">
        <w:rPr>
          <w:rFonts w:ascii="Trebuchet MS" w:hAnsi="Trebuchet MS"/>
          <w:color w:val="000000"/>
          <w:sz w:val="24"/>
          <w:szCs w:val="24"/>
          <w:lang w:val="es-ES_tradnl" w:eastAsia="es-MX"/>
        </w:rPr>
        <w:t xml:space="preserve">la parte igualitaria de la </w:t>
      </w:r>
      <w:r w:rsidR="00B22D98" w:rsidRPr="00A04585">
        <w:rPr>
          <w:rFonts w:ascii="Trebuchet MS" w:hAnsi="Trebuchet MS"/>
          <w:color w:val="000000"/>
          <w:sz w:val="24"/>
          <w:szCs w:val="24"/>
          <w:lang w:val="es-ES_tradnl" w:eastAsia="es-MX"/>
        </w:rPr>
        <w:t xml:space="preserve">bolsa </w:t>
      </w:r>
      <w:r w:rsidR="00C208EC" w:rsidRPr="00A04585">
        <w:rPr>
          <w:rFonts w:ascii="Trebuchet MS" w:hAnsi="Trebuchet MS"/>
          <w:color w:val="000000"/>
          <w:sz w:val="24"/>
          <w:szCs w:val="24"/>
          <w:lang w:val="es-ES_tradnl" w:eastAsia="es-MX"/>
        </w:rPr>
        <w:t xml:space="preserve">para partidos políticos locales </w:t>
      </w:r>
      <w:r w:rsidR="00B22D98" w:rsidRPr="00A04585">
        <w:rPr>
          <w:rFonts w:ascii="Trebuchet MS" w:hAnsi="Trebuchet MS"/>
          <w:color w:val="000000"/>
          <w:sz w:val="24"/>
          <w:szCs w:val="24"/>
          <w:lang w:val="es-ES_tradnl" w:eastAsia="es-MX"/>
        </w:rPr>
        <w:t>quedarán sin distribuir $</w:t>
      </w:r>
      <w:r w:rsidR="008E3BAE" w:rsidRPr="00A04585">
        <w:rPr>
          <w:rFonts w:ascii="Trebuchet MS" w:hAnsi="Trebuchet MS"/>
          <w:color w:val="000000"/>
          <w:sz w:val="24"/>
          <w:szCs w:val="24"/>
          <w:lang w:val="es-ES_tradnl" w:eastAsia="es-MX"/>
        </w:rPr>
        <w:t>84´467,466.52</w:t>
      </w:r>
      <w:r w:rsidR="00B22D98" w:rsidRPr="00A04585">
        <w:rPr>
          <w:rFonts w:ascii="Trebuchet MS" w:hAnsi="Trebuchet MS"/>
          <w:color w:val="000000"/>
          <w:sz w:val="24"/>
          <w:szCs w:val="24"/>
          <w:lang w:val="es-ES_tradnl" w:eastAsia="es-MX"/>
        </w:rPr>
        <w:t xml:space="preserve"> (</w:t>
      </w:r>
      <w:r w:rsidR="008E3BAE" w:rsidRPr="00A04585">
        <w:rPr>
          <w:rFonts w:ascii="Trebuchet MS" w:hAnsi="Trebuchet MS"/>
          <w:color w:val="000000"/>
          <w:sz w:val="24"/>
          <w:szCs w:val="24"/>
          <w:lang w:val="es-ES_tradnl" w:eastAsia="es-MX"/>
        </w:rPr>
        <w:t>ochenta y cuatro millones, cuatrocientos sesenta y siete mil cuatrocientos sesenta y seis pesos 52</w:t>
      </w:r>
      <w:r w:rsidR="00B22D98" w:rsidRPr="00A04585">
        <w:rPr>
          <w:rFonts w:ascii="Trebuchet MS" w:hAnsi="Trebuchet MS"/>
          <w:color w:val="000000"/>
          <w:sz w:val="24"/>
          <w:szCs w:val="24"/>
          <w:lang w:val="es-ES_tradnl" w:eastAsia="es-MX"/>
        </w:rPr>
        <w:t>/100 M.N.).</w:t>
      </w:r>
    </w:p>
    <w:p w14:paraId="40F60852" w14:textId="77777777" w:rsidR="00C81BB9" w:rsidRPr="00242547" w:rsidRDefault="00C81BB9" w:rsidP="002E7CFF">
      <w:pPr>
        <w:pStyle w:val="Sinespaciado"/>
        <w:jc w:val="both"/>
        <w:rPr>
          <w:rFonts w:ascii="Trebuchet MS" w:hAnsi="Trebuchet MS"/>
          <w:color w:val="000000"/>
          <w:sz w:val="24"/>
          <w:szCs w:val="24"/>
          <w:lang w:val="es-ES_tradnl" w:eastAsia="es-MX"/>
        </w:rPr>
      </w:pPr>
    </w:p>
    <w:p w14:paraId="60835938" w14:textId="6B0CFAC7" w:rsidR="00C45C0A" w:rsidRPr="00A04585" w:rsidRDefault="00C45C0A"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la cantidad total equivalente al </w:t>
      </w:r>
      <w:r w:rsidR="0074231A" w:rsidRPr="00242547">
        <w:rPr>
          <w:rFonts w:ascii="Trebuchet MS" w:hAnsi="Trebuchet MS"/>
          <w:color w:val="000000"/>
          <w:sz w:val="24"/>
          <w:szCs w:val="24"/>
          <w:lang w:val="es-ES_tradnl" w:eastAsia="es-MX"/>
        </w:rPr>
        <w:t>setenta por ciento</w:t>
      </w:r>
      <w:r w:rsidR="0074231A"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restante, sólo debe distribu</w:t>
      </w:r>
      <w:r w:rsidR="00427548" w:rsidRPr="00A04585">
        <w:rPr>
          <w:rFonts w:ascii="Trebuchet MS" w:hAnsi="Trebuchet MS"/>
          <w:color w:val="000000"/>
          <w:sz w:val="24"/>
          <w:szCs w:val="24"/>
          <w:lang w:val="es-ES_tradnl" w:eastAsia="es-MX"/>
        </w:rPr>
        <w:t>irse entre los partidos locales</w:t>
      </w:r>
      <w:r w:rsidRPr="00A04585">
        <w:rPr>
          <w:rFonts w:ascii="Trebuchet MS" w:hAnsi="Trebuchet MS"/>
          <w:color w:val="000000"/>
          <w:sz w:val="24"/>
          <w:szCs w:val="24"/>
          <w:lang w:val="es-ES_tradnl" w:eastAsia="es-MX"/>
        </w:rPr>
        <w:t xml:space="preserve"> lo correspondiente a la votación que hayan obt</w:t>
      </w:r>
      <w:r w:rsidR="008E3BAE" w:rsidRPr="00A04585">
        <w:rPr>
          <w:rFonts w:ascii="Trebuchet MS" w:hAnsi="Trebuchet MS"/>
          <w:color w:val="000000"/>
          <w:sz w:val="24"/>
          <w:szCs w:val="24"/>
          <w:lang w:val="es-ES_tradnl" w:eastAsia="es-MX"/>
        </w:rPr>
        <w:t xml:space="preserve">enido en la </w:t>
      </w:r>
      <w:r w:rsidR="00C208EC" w:rsidRPr="00A04585">
        <w:rPr>
          <w:rFonts w:ascii="Trebuchet MS" w:hAnsi="Trebuchet MS"/>
          <w:color w:val="000000"/>
          <w:sz w:val="24"/>
          <w:szCs w:val="24"/>
          <w:lang w:val="es-ES_tradnl" w:eastAsia="es-MX"/>
        </w:rPr>
        <w:t xml:space="preserve">última </w:t>
      </w:r>
      <w:r w:rsidR="008E3BAE" w:rsidRPr="00A04585">
        <w:rPr>
          <w:rFonts w:ascii="Trebuchet MS" w:hAnsi="Trebuchet MS"/>
          <w:color w:val="000000"/>
          <w:sz w:val="24"/>
          <w:szCs w:val="24"/>
          <w:lang w:val="es-ES_tradnl" w:eastAsia="es-MX"/>
        </w:rPr>
        <w:t>elección</w:t>
      </w:r>
      <w:r w:rsidR="00F31B19" w:rsidRPr="00A04585">
        <w:rPr>
          <w:rFonts w:ascii="Trebuchet MS" w:hAnsi="Trebuchet MS"/>
          <w:color w:val="000000"/>
          <w:sz w:val="24"/>
          <w:szCs w:val="24"/>
          <w:lang w:val="es-ES_tradnl" w:eastAsia="es-MX"/>
        </w:rPr>
        <w:t xml:space="preserve">, sin que se distribuya </w:t>
      </w:r>
      <w:r w:rsidR="00364DF6" w:rsidRPr="00A04585">
        <w:rPr>
          <w:rFonts w:ascii="Trebuchet MS" w:hAnsi="Trebuchet MS"/>
          <w:color w:val="000000"/>
          <w:sz w:val="24"/>
          <w:szCs w:val="24"/>
          <w:lang w:val="es-ES_tradnl" w:eastAsia="es-MX"/>
        </w:rPr>
        <w:t xml:space="preserve">el importe equivalente al porcentaje </w:t>
      </w:r>
      <w:r w:rsidR="007B4B61" w:rsidRPr="00A04585">
        <w:rPr>
          <w:rFonts w:ascii="Trebuchet MS" w:hAnsi="Trebuchet MS"/>
          <w:color w:val="000000"/>
          <w:sz w:val="24"/>
          <w:szCs w:val="24"/>
          <w:lang w:val="es-ES_tradnl" w:eastAsia="es-MX"/>
        </w:rPr>
        <w:t xml:space="preserve">que </w:t>
      </w:r>
      <w:r w:rsidR="00364DF6" w:rsidRPr="00A04585">
        <w:rPr>
          <w:rFonts w:ascii="Trebuchet MS" w:hAnsi="Trebuchet MS"/>
          <w:color w:val="000000"/>
          <w:sz w:val="24"/>
          <w:szCs w:val="24"/>
          <w:lang w:val="es-ES_tradnl" w:eastAsia="es-MX"/>
        </w:rPr>
        <w:t xml:space="preserve">de dicha votación representan la totalidad de los sufragios obtenidos por los partidos políticos nacionales que, en el caso concreto, en números redondeados constituye el </w:t>
      </w:r>
      <w:r w:rsidR="0074231A" w:rsidRPr="00242547">
        <w:rPr>
          <w:rFonts w:ascii="Trebuchet MS" w:hAnsi="Trebuchet MS"/>
          <w:color w:val="000000"/>
          <w:sz w:val="24"/>
          <w:szCs w:val="24"/>
          <w:lang w:val="es-ES_tradnl" w:eastAsia="es-MX"/>
        </w:rPr>
        <w:t>noventa por ciento</w:t>
      </w:r>
      <w:r w:rsidR="00364DF6" w:rsidRPr="00A04585">
        <w:rPr>
          <w:rFonts w:ascii="Trebuchet MS" w:hAnsi="Trebuchet MS"/>
          <w:color w:val="000000"/>
          <w:sz w:val="24"/>
          <w:szCs w:val="24"/>
          <w:lang w:val="es-ES_tradnl" w:eastAsia="es-MX"/>
        </w:rPr>
        <w:t xml:space="preserve"> de l</w:t>
      </w:r>
      <w:r w:rsidR="007B4B61" w:rsidRPr="00A04585">
        <w:rPr>
          <w:rFonts w:ascii="Trebuchet MS" w:hAnsi="Trebuchet MS"/>
          <w:color w:val="000000"/>
          <w:sz w:val="24"/>
          <w:szCs w:val="24"/>
          <w:lang w:val="es-ES_tradnl" w:eastAsia="es-MX"/>
        </w:rPr>
        <w:t>a suma de los votos de los partidos con derecho a financiamiento que participaron en la elección.</w:t>
      </w:r>
    </w:p>
    <w:p w14:paraId="2715F219" w14:textId="0FF5652E" w:rsidR="00364DF6" w:rsidRPr="00242547" w:rsidRDefault="00364DF6" w:rsidP="002E7CFF">
      <w:pPr>
        <w:pStyle w:val="Sinespaciado"/>
        <w:jc w:val="both"/>
        <w:rPr>
          <w:rFonts w:ascii="Trebuchet MS" w:hAnsi="Trebuchet MS"/>
          <w:color w:val="000000"/>
          <w:sz w:val="24"/>
          <w:szCs w:val="24"/>
          <w:lang w:val="es-ES_tradnl" w:eastAsia="es-MX"/>
        </w:rPr>
      </w:pPr>
    </w:p>
    <w:p w14:paraId="2AD241A1" w14:textId="1BB6E8CE" w:rsidR="00364DF6" w:rsidRPr="00A04585" w:rsidRDefault="00364DF6"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consecuencia, sólo será </w:t>
      </w:r>
      <w:r w:rsidR="00427548" w:rsidRPr="00A04585">
        <w:rPr>
          <w:rFonts w:ascii="Trebuchet MS" w:hAnsi="Trebuchet MS"/>
          <w:color w:val="000000"/>
          <w:sz w:val="24"/>
          <w:szCs w:val="24"/>
          <w:lang w:val="es-ES_tradnl" w:eastAsia="es-MX"/>
        </w:rPr>
        <w:t>repartida</w:t>
      </w:r>
      <w:r w:rsidRPr="00A04585">
        <w:rPr>
          <w:rFonts w:ascii="Trebuchet MS" w:hAnsi="Trebuchet MS"/>
          <w:color w:val="000000"/>
          <w:sz w:val="24"/>
          <w:szCs w:val="24"/>
          <w:lang w:val="es-ES_tradnl" w:eastAsia="es-MX"/>
        </w:rPr>
        <w:t xml:space="preserve"> la porción que</w:t>
      </w:r>
      <w:r w:rsidR="005C6031"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del total de la parte proporcional del financiamiento, corresponda a la votación de los partidos loca</w:t>
      </w:r>
      <w:r w:rsidR="0074231A" w:rsidRPr="00A04585">
        <w:rPr>
          <w:rFonts w:ascii="Trebuchet MS" w:hAnsi="Trebuchet MS"/>
          <w:color w:val="000000"/>
          <w:sz w:val="24"/>
          <w:szCs w:val="24"/>
          <w:lang w:val="es-ES_tradnl" w:eastAsia="es-MX"/>
        </w:rPr>
        <w:t xml:space="preserve">les con derecho, esto es 5.2328 </w:t>
      </w:r>
      <w:r w:rsidR="0074231A" w:rsidRPr="00242547">
        <w:rPr>
          <w:rFonts w:ascii="Trebuchet MS" w:hAnsi="Trebuchet MS"/>
          <w:color w:val="000000"/>
          <w:sz w:val="24"/>
          <w:szCs w:val="24"/>
          <w:lang w:val="es-ES_tradnl" w:eastAsia="es-MX"/>
        </w:rPr>
        <w:t>por ciento</w:t>
      </w:r>
      <w:r w:rsidR="0074231A" w:rsidRPr="00A04585">
        <w:rPr>
          <w:rFonts w:ascii="Trebuchet MS" w:hAnsi="Trebuchet MS"/>
          <w:color w:val="000000"/>
          <w:sz w:val="24"/>
          <w:szCs w:val="24"/>
          <w:lang w:val="es-ES_tradnl" w:eastAsia="es-MX"/>
        </w:rPr>
        <w:t xml:space="preserve"> para Hagamos y el 4.5588 </w:t>
      </w:r>
      <w:r w:rsidR="0074231A" w:rsidRPr="00242547">
        <w:rPr>
          <w:rFonts w:ascii="Trebuchet MS" w:hAnsi="Trebuchet MS"/>
          <w:color w:val="000000"/>
          <w:sz w:val="24"/>
          <w:szCs w:val="24"/>
          <w:lang w:val="es-ES_tradnl" w:eastAsia="es-MX"/>
        </w:rPr>
        <w:t>por ciento</w:t>
      </w:r>
      <w:r w:rsidRPr="00A04585">
        <w:rPr>
          <w:rFonts w:ascii="Trebuchet MS" w:hAnsi="Trebuchet MS"/>
          <w:color w:val="000000"/>
          <w:sz w:val="24"/>
          <w:szCs w:val="24"/>
          <w:lang w:val="es-ES_tradnl" w:eastAsia="es-MX"/>
        </w:rPr>
        <w:t xml:space="preserve"> a favor de Futuro (lo que en números redondos podría expresarse como </w:t>
      </w:r>
      <w:r w:rsidR="00CA750E" w:rsidRPr="00A04585">
        <w:rPr>
          <w:rFonts w:ascii="Trebuchet MS" w:hAnsi="Trebuchet MS"/>
          <w:color w:val="000000"/>
          <w:sz w:val="24"/>
          <w:szCs w:val="24"/>
          <w:lang w:val="es-ES_tradnl" w:eastAsia="es-MX"/>
        </w:rPr>
        <w:t xml:space="preserve">el </w:t>
      </w:r>
      <w:r w:rsidRPr="00A04585">
        <w:rPr>
          <w:rFonts w:ascii="Trebuchet MS" w:hAnsi="Trebuchet MS"/>
          <w:color w:val="000000"/>
          <w:sz w:val="24"/>
          <w:szCs w:val="24"/>
          <w:lang w:val="es-ES_tradnl" w:eastAsia="es-MX"/>
        </w:rPr>
        <w:t>10%</w:t>
      </w:r>
      <w:r w:rsidR="00CA750E" w:rsidRPr="00A04585">
        <w:rPr>
          <w:rFonts w:ascii="Trebuchet MS" w:hAnsi="Trebuchet MS"/>
          <w:color w:val="000000"/>
          <w:sz w:val="24"/>
          <w:szCs w:val="24"/>
          <w:lang w:val="es-ES_tradnl" w:eastAsia="es-MX"/>
        </w:rPr>
        <w:t xml:space="preserve"> de la votación obtenida</w:t>
      </w:r>
      <w:r w:rsidRPr="00A04585">
        <w:rPr>
          <w:rFonts w:ascii="Trebuchet MS" w:hAnsi="Trebuchet MS"/>
          <w:color w:val="000000"/>
          <w:sz w:val="24"/>
          <w:szCs w:val="24"/>
          <w:lang w:val="es-ES_tradnl" w:eastAsia="es-MX"/>
        </w:rPr>
        <w:t>).</w:t>
      </w:r>
      <w:r w:rsidR="005C6031" w:rsidRPr="00A04585">
        <w:rPr>
          <w:rFonts w:ascii="Trebuchet MS" w:hAnsi="Trebuchet MS"/>
          <w:color w:val="000000"/>
          <w:sz w:val="24"/>
          <w:szCs w:val="24"/>
          <w:lang w:val="es-ES_tradnl" w:eastAsia="es-MX"/>
        </w:rPr>
        <w:t xml:space="preserve"> En la tabla que se muestra a conti</w:t>
      </w:r>
      <w:r w:rsidR="00FC47CF" w:rsidRPr="00A04585">
        <w:rPr>
          <w:rFonts w:ascii="Trebuchet MS" w:hAnsi="Trebuchet MS"/>
          <w:color w:val="000000"/>
          <w:sz w:val="24"/>
          <w:szCs w:val="24"/>
          <w:lang w:val="es-ES_tradnl" w:eastAsia="es-MX"/>
        </w:rPr>
        <w:t>nu</w:t>
      </w:r>
      <w:r w:rsidR="005C6031" w:rsidRPr="00A04585">
        <w:rPr>
          <w:rFonts w:ascii="Trebuchet MS" w:hAnsi="Trebuchet MS"/>
          <w:color w:val="000000"/>
          <w:sz w:val="24"/>
          <w:szCs w:val="24"/>
          <w:lang w:val="es-ES_tradnl" w:eastAsia="es-MX"/>
        </w:rPr>
        <w:t xml:space="preserve">ación </w:t>
      </w:r>
      <w:r w:rsidR="007B4B61" w:rsidRPr="00A04585">
        <w:rPr>
          <w:rFonts w:ascii="Trebuchet MS" w:hAnsi="Trebuchet MS"/>
          <w:color w:val="000000"/>
          <w:sz w:val="24"/>
          <w:szCs w:val="24"/>
          <w:lang w:val="es-ES_tradnl" w:eastAsia="es-MX"/>
        </w:rPr>
        <w:t xml:space="preserve">se evidencia </w:t>
      </w:r>
      <w:r w:rsidR="00FC47CF" w:rsidRPr="00A04585">
        <w:rPr>
          <w:rFonts w:ascii="Trebuchet MS" w:hAnsi="Trebuchet MS"/>
          <w:color w:val="000000"/>
          <w:sz w:val="24"/>
          <w:szCs w:val="24"/>
          <w:lang w:val="es-ES_tradnl" w:eastAsia="es-MX"/>
        </w:rPr>
        <w:t>la distribución de la parte proporcional de</w:t>
      </w:r>
      <w:r w:rsidR="007B4B61" w:rsidRPr="00A04585">
        <w:rPr>
          <w:rFonts w:ascii="Trebuchet MS" w:hAnsi="Trebuchet MS"/>
          <w:color w:val="000000"/>
          <w:sz w:val="24"/>
          <w:szCs w:val="24"/>
          <w:lang w:val="es-ES_tradnl" w:eastAsia="es-MX"/>
        </w:rPr>
        <w:t xml:space="preserve"> la bolsa de </w:t>
      </w:r>
      <w:r w:rsidR="00FC47CF" w:rsidRPr="00A04585">
        <w:rPr>
          <w:rFonts w:ascii="Trebuchet MS" w:hAnsi="Trebuchet MS"/>
          <w:color w:val="000000"/>
          <w:sz w:val="24"/>
          <w:szCs w:val="24"/>
          <w:lang w:val="es-ES_tradnl" w:eastAsia="es-MX"/>
        </w:rPr>
        <w:t>financiamiento para los partidos políticos locales.</w:t>
      </w:r>
    </w:p>
    <w:p w14:paraId="416763D4" w14:textId="10BCCA67" w:rsidR="00FC47CF" w:rsidRPr="00242547" w:rsidRDefault="00FC47CF" w:rsidP="002E7CFF">
      <w:pPr>
        <w:pStyle w:val="Sinespaciado"/>
        <w:jc w:val="both"/>
        <w:rPr>
          <w:rFonts w:ascii="Trebuchet MS" w:hAnsi="Trebuchet MS"/>
          <w:color w:val="000000"/>
          <w:sz w:val="24"/>
          <w:szCs w:val="24"/>
          <w:lang w:val="es-ES_tradnl" w:eastAsia="es-MX"/>
        </w:rPr>
      </w:pPr>
    </w:p>
    <w:tbl>
      <w:tblPr>
        <w:tblW w:w="8768" w:type="dxa"/>
        <w:tblCellMar>
          <w:left w:w="70" w:type="dxa"/>
          <w:right w:w="70" w:type="dxa"/>
        </w:tblCellMar>
        <w:tblLook w:val="04A0" w:firstRow="1" w:lastRow="0" w:firstColumn="1" w:lastColumn="0" w:noHBand="0" w:noVBand="1"/>
      </w:tblPr>
      <w:tblGrid>
        <w:gridCol w:w="1725"/>
        <w:gridCol w:w="2001"/>
        <w:gridCol w:w="2228"/>
        <w:gridCol w:w="2814"/>
      </w:tblGrid>
      <w:tr w:rsidR="00CA750E" w:rsidRPr="00A04585" w14:paraId="147757AB" w14:textId="77777777" w:rsidTr="00CA750E">
        <w:trPr>
          <w:trHeight w:val="546"/>
        </w:trPr>
        <w:tc>
          <w:tcPr>
            <w:tcW w:w="8768" w:type="dxa"/>
            <w:gridSpan w:val="4"/>
            <w:tcBorders>
              <w:top w:val="single" w:sz="8" w:space="0" w:color="808080"/>
              <w:left w:val="single" w:sz="8" w:space="0" w:color="808080"/>
              <w:bottom w:val="single" w:sz="8" w:space="0" w:color="808080"/>
              <w:right w:val="single" w:sz="8" w:space="0" w:color="808080"/>
            </w:tcBorders>
            <w:shd w:val="clear" w:color="000000" w:fill="F3EBF9"/>
            <w:noWrap/>
            <w:vAlign w:val="center"/>
            <w:hideMark/>
          </w:tcPr>
          <w:p w14:paraId="46ADCBFC"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2.4 Distribución de la parte proporcional: 70% de la cantidad a distribuir</w:t>
            </w:r>
          </w:p>
        </w:tc>
      </w:tr>
      <w:tr w:rsidR="00CA750E" w:rsidRPr="00A04585" w14:paraId="7680A4C2" w14:textId="77777777" w:rsidTr="00CA750E">
        <w:trPr>
          <w:trHeight w:val="539"/>
        </w:trPr>
        <w:tc>
          <w:tcPr>
            <w:tcW w:w="3726" w:type="dxa"/>
            <w:gridSpan w:val="2"/>
            <w:tcBorders>
              <w:top w:val="nil"/>
              <w:left w:val="single" w:sz="8" w:space="0" w:color="808080"/>
              <w:bottom w:val="nil"/>
              <w:right w:val="single" w:sz="4" w:space="0" w:color="808080"/>
            </w:tcBorders>
            <w:shd w:val="clear" w:color="auto" w:fill="auto"/>
            <w:vAlign w:val="center"/>
            <w:hideMark/>
          </w:tcPr>
          <w:p w14:paraId="416AFBC9"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cantidad a distribuir</w:t>
            </w:r>
          </w:p>
        </w:tc>
        <w:tc>
          <w:tcPr>
            <w:tcW w:w="5041" w:type="dxa"/>
            <w:gridSpan w:val="2"/>
            <w:tcBorders>
              <w:top w:val="nil"/>
              <w:left w:val="nil"/>
              <w:bottom w:val="single" w:sz="4" w:space="0" w:color="808080"/>
              <w:right w:val="single" w:sz="8" w:space="0" w:color="808080"/>
            </w:tcBorders>
            <w:shd w:val="clear" w:color="000000" w:fill="FFFFFF"/>
            <w:vAlign w:val="center"/>
            <w:hideMark/>
          </w:tcPr>
          <w:p w14:paraId="404A1E7E" w14:textId="5F510551"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$275</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927,057.30</w:t>
            </w:r>
          </w:p>
        </w:tc>
      </w:tr>
      <w:tr w:rsidR="00CA750E" w:rsidRPr="00A04585" w14:paraId="3FDF342F" w14:textId="77777777" w:rsidTr="00CA750E">
        <w:trPr>
          <w:trHeight w:val="650"/>
        </w:trPr>
        <w:tc>
          <w:tcPr>
            <w:tcW w:w="3726" w:type="dxa"/>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403D9047" w14:textId="77777777" w:rsidR="00CA750E" w:rsidRPr="00A04585" w:rsidRDefault="00CA750E" w:rsidP="00CA750E">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Criterio de distribución</w:t>
            </w:r>
          </w:p>
        </w:tc>
        <w:tc>
          <w:tcPr>
            <w:tcW w:w="5041" w:type="dxa"/>
            <w:gridSpan w:val="2"/>
            <w:tcBorders>
              <w:top w:val="single" w:sz="4" w:space="0" w:color="808080"/>
              <w:left w:val="nil"/>
              <w:bottom w:val="single" w:sz="4" w:space="0" w:color="808080"/>
              <w:right w:val="single" w:sz="8" w:space="0" w:color="808080"/>
            </w:tcBorders>
            <w:shd w:val="clear" w:color="auto" w:fill="auto"/>
            <w:vAlign w:val="center"/>
            <w:hideMark/>
          </w:tcPr>
          <w:p w14:paraId="14D4B98E" w14:textId="77777777" w:rsidR="00CA750E" w:rsidRPr="00A04585" w:rsidRDefault="00CA750E" w:rsidP="00CA750E">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 xml:space="preserve">De acuerdo con el porcentaje de votos obtenidos en la elección de diputaciones por el principio de mayoría relativa inmediata anterior. </w:t>
            </w:r>
            <w:r w:rsidRPr="00A04585">
              <w:rPr>
                <w:rFonts w:ascii="Trebuchet MS" w:eastAsia="Times New Roman" w:hAnsi="Trebuchet MS" w:cs="Calibri Light"/>
                <w:color w:val="000000"/>
                <w:sz w:val="20"/>
                <w:szCs w:val="20"/>
                <w:lang w:eastAsia="es-MX"/>
              </w:rPr>
              <w:br/>
              <w:t>(Art. 13 CPEJ y 51 de la LGPP)</w:t>
            </w:r>
          </w:p>
        </w:tc>
      </w:tr>
      <w:tr w:rsidR="00CA750E" w:rsidRPr="00A04585" w14:paraId="05AAE712" w14:textId="77777777" w:rsidTr="00CA750E">
        <w:trPr>
          <w:trHeight w:val="614"/>
        </w:trPr>
        <w:tc>
          <w:tcPr>
            <w:tcW w:w="3726" w:type="dxa"/>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70E1C05E" w14:textId="77777777" w:rsidR="00CA750E" w:rsidRPr="00A04585" w:rsidRDefault="00CA750E" w:rsidP="00CA750E">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Votación Obtenida por Partidos Políticos con Derecho a recibir financiamiento público</w:t>
            </w:r>
          </w:p>
        </w:tc>
        <w:tc>
          <w:tcPr>
            <w:tcW w:w="5041"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1F9DD96D" w14:textId="47108935"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 xml:space="preserve">679,747 </w:t>
            </w:r>
          </w:p>
        </w:tc>
      </w:tr>
      <w:tr w:rsidR="00CA750E" w:rsidRPr="00A04585" w14:paraId="4B7ADD5E" w14:textId="77777777" w:rsidTr="00CA750E">
        <w:trPr>
          <w:trHeight w:val="288"/>
        </w:trPr>
        <w:tc>
          <w:tcPr>
            <w:tcW w:w="1725" w:type="dxa"/>
            <w:tcBorders>
              <w:top w:val="nil"/>
              <w:left w:val="single" w:sz="8" w:space="0" w:color="808080"/>
              <w:bottom w:val="single" w:sz="4" w:space="0" w:color="808080"/>
              <w:right w:val="single" w:sz="4" w:space="0" w:color="808080"/>
            </w:tcBorders>
            <w:shd w:val="clear" w:color="auto" w:fill="auto"/>
            <w:noWrap/>
            <w:vAlign w:val="center"/>
            <w:hideMark/>
          </w:tcPr>
          <w:p w14:paraId="086F410F"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2000" w:type="dxa"/>
            <w:tcBorders>
              <w:top w:val="nil"/>
              <w:left w:val="nil"/>
              <w:bottom w:val="single" w:sz="4" w:space="0" w:color="808080"/>
              <w:right w:val="single" w:sz="4" w:space="0" w:color="808080"/>
            </w:tcBorders>
            <w:shd w:val="clear" w:color="000000" w:fill="FFFFFF"/>
            <w:vAlign w:val="center"/>
            <w:hideMark/>
          </w:tcPr>
          <w:p w14:paraId="2F1F93AC"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Votación obtenida</w:t>
            </w:r>
          </w:p>
        </w:tc>
        <w:tc>
          <w:tcPr>
            <w:tcW w:w="2228" w:type="dxa"/>
            <w:tcBorders>
              <w:top w:val="single" w:sz="4" w:space="0" w:color="808080"/>
              <w:left w:val="nil"/>
              <w:bottom w:val="single" w:sz="4" w:space="0" w:color="808080"/>
              <w:right w:val="single" w:sz="4" w:space="0" w:color="808080"/>
            </w:tcBorders>
            <w:shd w:val="clear" w:color="000000" w:fill="FFFFFF"/>
            <w:vAlign w:val="center"/>
            <w:hideMark/>
          </w:tcPr>
          <w:p w14:paraId="6971024D"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de la votación obtenida</w:t>
            </w:r>
          </w:p>
        </w:tc>
        <w:tc>
          <w:tcPr>
            <w:tcW w:w="2812" w:type="dxa"/>
            <w:tcBorders>
              <w:top w:val="single" w:sz="4" w:space="0" w:color="808080"/>
              <w:left w:val="nil"/>
              <w:bottom w:val="single" w:sz="4" w:space="0" w:color="808080"/>
              <w:right w:val="single" w:sz="8" w:space="0" w:color="808080"/>
            </w:tcBorders>
            <w:shd w:val="clear" w:color="000000" w:fill="FFFFFF"/>
            <w:vAlign w:val="center"/>
            <w:hideMark/>
          </w:tcPr>
          <w:p w14:paraId="2F72357E"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entregar</w:t>
            </w:r>
          </w:p>
        </w:tc>
      </w:tr>
      <w:tr w:rsidR="00CA750E" w:rsidRPr="00A04585" w14:paraId="30DE225E" w14:textId="77777777" w:rsidTr="00CA750E">
        <w:trPr>
          <w:trHeight w:val="288"/>
        </w:trPr>
        <w:tc>
          <w:tcPr>
            <w:tcW w:w="1725" w:type="dxa"/>
            <w:tcBorders>
              <w:top w:val="nil"/>
              <w:left w:val="single" w:sz="8" w:space="0" w:color="808080"/>
              <w:bottom w:val="single" w:sz="4" w:space="0" w:color="808080"/>
              <w:right w:val="single" w:sz="4" w:space="0" w:color="808080"/>
            </w:tcBorders>
            <w:shd w:val="clear" w:color="auto" w:fill="auto"/>
            <w:noWrap/>
            <w:vAlign w:val="center"/>
            <w:hideMark/>
          </w:tcPr>
          <w:p w14:paraId="438B3AA3"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HAGAMOS</w:t>
            </w:r>
          </w:p>
        </w:tc>
        <w:tc>
          <w:tcPr>
            <w:tcW w:w="2000" w:type="dxa"/>
            <w:tcBorders>
              <w:top w:val="nil"/>
              <w:left w:val="nil"/>
              <w:bottom w:val="single" w:sz="4" w:space="0" w:color="808080"/>
              <w:right w:val="single" w:sz="4" w:space="0" w:color="808080"/>
            </w:tcBorders>
            <w:shd w:val="clear" w:color="000000" w:fill="FFFFFF"/>
            <w:vAlign w:val="center"/>
            <w:hideMark/>
          </w:tcPr>
          <w:p w14:paraId="4F5550BC"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140,225 </w:t>
            </w:r>
          </w:p>
        </w:tc>
        <w:tc>
          <w:tcPr>
            <w:tcW w:w="2228" w:type="dxa"/>
            <w:tcBorders>
              <w:top w:val="single" w:sz="4" w:space="0" w:color="808080"/>
              <w:left w:val="nil"/>
              <w:bottom w:val="single" w:sz="4" w:space="0" w:color="808080"/>
              <w:right w:val="single" w:sz="4" w:space="0" w:color="808080"/>
            </w:tcBorders>
            <w:shd w:val="clear" w:color="000000" w:fill="FFFFFF"/>
            <w:vAlign w:val="center"/>
            <w:hideMark/>
          </w:tcPr>
          <w:p w14:paraId="17072E1E"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5.2328%</w:t>
            </w:r>
          </w:p>
        </w:tc>
        <w:tc>
          <w:tcPr>
            <w:tcW w:w="2812" w:type="dxa"/>
            <w:tcBorders>
              <w:top w:val="single" w:sz="4" w:space="0" w:color="808080"/>
              <w:left w:val="nil"/>
              <w:bottom w:val="single" w:sz="4" w:space="0" w:color="808080"/>
              <w:right w:val="single" w:sz="8" w:space="0" w:color="808080"/>
            </w:tcBorders>
            <w:shd w:val="clear" w:color="000000" w:fill="FFFFFF"/>
            <w:vAlign w:val="center"/>
            <w:hideMark/>
          </w:tcPr>
          <w:p w14:paraId="0980E502" w14:textId="48D8A530"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$14</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438,628.58</w:t>
            </w:r>
          </w:p>
        </w:tc>
      </w:tr>
      <w:tr w:rsidR="00CA750E" w:rsidRPr="00A04585" w14:paraId="6D71F2AB" w14:textId="77777777" w:rsidTr="00CA750E">
        <w:trPr>
          <w:trHeight w:val="288"/>
        </w:trPr>
        <w:tc>
          <w:tcPr>
            <w:tcW w:w="1725" w:type="dxa"/>
            <w:tcBorders>
              <w:top w:val="nil"/>
              <w:left w:val="single" w:sz="8" w:space="0" w:color="808080"/>
              <w:bottom w:val="single" w:sz="4" w:space="0" w:color="808080"/>
              <w:right w:val="single" w:sz="4" w:space="0" w:color="808080"/>
            </w:tcBorders>
            <w:shd w:val="clear" w:color="auto" w:fill="auto"/>
            <w:noWrap/>
            <w:vAlign w:val="center"/>
            <w:hideMark/>
          </w:tcPr>
          <w:p w14:paraId="54D9432B"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FUTURO</w:t>
            </w:r>
          </w:p>
        </w:tc>
        <w:tc>
          <w:tcPr>
            <w:tcW w:w="2000" w:type="dxa"/>
            <w:tcBorders>
              <w:top w:val="nil"/>
              <w:left w:val="nil"/>
              <w:bottom w:val="single" w:sz="4" w:space="0" w:color="808080"/>
              <w:right w:val="single" w:sz="4" w:space="0" w:color="808080"/>
            </w:tcBorders>
            <w:shd w:val="clear" w:color="000000" w:fill="FFFFFF"/>
            <w:vAlign w:val="center"/>
            <w:hideMark/>
          </w:tcPr>
          <w:p w14:paraId="2DF2AC5A"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122,163 </w:t>
            </w:r>
          </w:p>
        </w:tc>
        <w:tc>
          <w:tcPr>
            <w:tcW w:w="2228" w:type="dxa"/>
            <w:tcBorders>
              <w:top w:val="single" w:sz="4" w:space="0" w:color="808080"/>
              <w:left w:val="nil"/>
              <w:bottom w:val="single" w:sz="4" w:space="0" w:color="808080"/>
              <w:right w:val="single" w:sz="4" w:space="0" w:color="808080"/>
            </w:tcBorders>
            <w:shd w:val="clear" w:color="000000" w:fill="FFFFFF"/>
            <w:vAlign w:val="center"/>
            <w:hideMark/>
          </w:tcPr>
          <w:p w14:paraId="51CAC978"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4.5588%</w:t>
            </w:r>
          </w:p>
        </w:tc>
        <w:tc>
          <w:tcPr>
            <w:tcW w:w="2812" w:type="dxa"/>
            <w:tcBorders>
              <w:top w:val="single" w:sz="4" w:space="0" w:color="808080"/>
              <w:left w:val="nil"/>
              <w:bottom w:val="single" w:sz="4" w:space="0" w:color="808080"/>
              <w:right w:val="single" w:sz="8" w:space="0" w:color="808080"/>
            </w:tcBorders>
            <w:shd w:val="clear" w:color="000000" w:fill="FFFFFF"/>
            <w:vAlign w:val="center"/>
            <w:hideMark/>
          </w:tcPr>
          <w:p w14:paraId="6B9FD316" w14:textId="718BD9B5"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$12</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578,828.19</w:t>
            </w:r>
          </w:p>
        </w:tc>
      </w:tr>
      <w:tr w:rsidR="00CA750E" w:rsidRPr="00A04585" w14:paraId="64EF4E26" w14:textId="77777777" w:rsidTr="00CA750E">
        <w:trPr>
          <w:trHeight w:val="288"/>
        </w:trPr>
        <w:tc>
          <w:tcPr>
            <w:tcW w:w="1725" w:type="dxa"/>
            <w:tcBorders>
              <w:top w:val="nil"/>
              <w:left w:val="single" w:sz="8" w:space="0" w:color="808080"/>
              <w:bottom w:val="single" w:sz="8" w:space="0" w:color="808080"/>
              <w:right w:val="single" w:sz="4" w:space="0" w:color="808080"/>
            </w:tcBorders>
            <w:shd w:val="clear" w:color="000000" w:fill="F3EBF9"/>
            <w:noWrap/>
            <w:vAlign w:val="center"/>
            <w:hideMark/>
          </w:tcPr>
          <w:p w14:paraId="477777BE"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w:t>
            </w:r>
          </w:p>
        </w:tc>
        <w:tc>
          <w:tcPr>
            <w:tcW w:w="2000" w:type="dxa"/>
            <w:tcBorders>
              <w:top w:val="nil"/>
              <w:left w:val="nil"/>
              <w:bottom w:val="single" w:sz="8" w:space="0" w:color="808080"/>
              <w:right w:val="single" w:sz="4" w:space="0" w:color="808080"/>
            </w:tcBorders>
            <w:shd w:val="clear" w:color="000000" w:fill="F3EBF9"/>
            <w:vAlign w:val="center"/>
            <w:hideMark/>
          </w:tcPr>
          <w:p w14:paraId="4D3983F9" w14:textId="77777777"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262,388 </w:t>
            </w:r>
          </w:p>
        </w:tc>
        <w:tc>
          <w:tcPr>
            <w:tcW w:w="2228" w:type="dxa"/>
            <w:tcBorders>
              <w:top w:val="single" w:sz="4" w:space="0" w:color="808080"/>
              <w:left w:val="nil"/>
              <w:bottom w:val="single" w:sz="8" w:space="0" w:color="808080"/>
              <w:right w:val="single" w:sz="4" w:space="0" w:color="808080"/>
            </w:tcBorders>
            <w:shd w:val="clear" w:color="000000" w:fill="F3EBF9"/>
            <w:vAlign w:val="center"/>
            <w:hideMark/>
          </w:tcPr>
          <w:p w14:paraId="3288BA07" w14:textId="556FDFC8" w:rsidR="00CA750E" w:rsidRPr="00A04585" w:rsidRDefault="00BB37BD" w:rsidP="00CA750E">
            <w:pPr>
              <w:jc w:val="center"/>
              <w:rPr>
                <w:rFonts w:ascii="Trebuchet MS" w:eastAsia="Times New Roman" w:hAnsi="Trebuchet MS" w:cs="Calibri Light"/>
                <w:b/>
                <w:bCs/>
                <w:color w:val="000000"/>
                <w:sz w:val="20"/>
                <w:szCs w:val="20"/>
                <w:lang w:eastAsia="es-MX"/>
              </w:rPr>
            </w:pPr>
            <w:r w:rsidRPr="00242547">
              <w:rPr>
                <w:rFonts w:ascii="Trebuchet MS" w:eastAsia="Times New Roman" w:hAnsi="Trebuchet MS" w:cs="Calibri Light"/>
                <w:b/>
                <w:bCs/>
                <w:color w:val="000000"/>
                <w:sz w:val="20"/>
                <w:szCs w:val="20"/>
                <w:lang w:eastAsia="es-MX"/>
              </w:rPr>
              <w:t>9.791</w:t>
            </w:r>
            <w:r w:rsidR="004A017C">
              <w:rPr>
                <w:rFonts w:ascii="Trebuchet MS" w:eastAsia="Times New Roman" w:hAnsi="Trebuchet MS" w:cs="Calibri Light"/>
                <w:b/>
                <w:bCs/>
                <w:color w:val="000000"/>
                <w:sz w:val="20"/>
                <w:szCs w:val="20"/>
                <w:lang w:eastAsia="es-MX"/>
              </w:rPr>
              <w:t>6</w:t>
            </w:r>
            <w:r w:rsidR="00CA750E" w:rsidRPr="00242547">
              <w:rPr>
                <w:rFonts w:ascii="Trebuchet MS" w:eastAsia="Times New Roman" w:hAnsi="Trebuchet MS" w:cs="Calibri Light"/>
                <w:b/>
                <w:bCs/>
                <w:color w:val="000000"/>
                <w:sz w:val="20"/>
                <w:szCs w:val="20"/>
                <w:lang w:eastAsia="es-MX"/>
              </w:rPr>
              <w:t>%</w:t>
            </w:r>
          </w:p>
        </w:tc>
        <w:tc>
          <w:tcPr>
            <w:tcW w:w="2812" w:type="dxa"/>
            <w:tcBorders>
              <w:top w:val="single" w:sz="4" w:space="0" w:color="808080"/>
              <w:left w:val="nil"/>
              <w:bottom w:val="single" w:sz="8" w:space="0" w:color="808080"/>
              <w:right w:val="single" w:sz="8" w:space="0" w:color="808080"/>
            </w:tcBorders>
            <w:shd w:val="clear" w:color="000000" w:fill="F3EBF9"/>
            <w:vAlign w:val="center"/>
            <w:hideMark/>
          </w:tcPr>
          <w:p w14:paraId="42557ED3" w14:textId="2BA52C7B" w:rsidR="00CA750E" w:rsidRPr="00A04585" w:rsidRDefault="00CA750E" w:rsidP="00CA750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$27</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017,456.76</w:t>
            </w:r>
          </w:p>
        </w:tc>
      </w:tr>
    </w:tbl>
    <w:p w14:paraId="35AD81D3" w14:textId="3088508F" w:rsidR="00FC47CF" w:rsidRPr="00242547" w:rsidRDefault="00FC47CF" w:rsidP="002E7CFF">
      <w:pPr>
        <w:pStyle w:val="Sinespaciado"/>
        <w:jc w:val="center"/>
        <w:rPr>
          <w:rFonts w:ascii="Trebuchet MS" w:hAnsi="Trebuchet MS"/>
          <w:color w:val="000000"/>
          <w:sz w:val="24"/>
          <w:szCs w:val="24"/>
          <w:lang w:val="es-ES_tradnl" w:eastAsia="es-MX"/>
        </w:rPr>
      </w:pPr>
    </w:p>
    <w:p w14:paraId="4CD5E1C4" w14:textId="6E868EF8" w:rsidR="00364DF6" w:rsidRPr="00A04585" w:rsidRDefault="00FC47CF"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De lo anterior se advierte que del total del financiamiento correspondiente a la parte que se distribuye en forma proporcional a la votación, sólo se asignará la cantidad de $</w:t>
      </w:r>
      <w:r w:rsidR="00465556" w:rsidRPr="00A04585">
        <w:rPr>
          <w:rFonts w:ascii="Trebuchet MS" w:hAnsi="Trebuchet MS"/>
          <w:color w:val="000000"/>
          <w:sz w:val="24"/>
          <w:szCs w:val="24"/>
          <w:lang w:val="es-ES_tradnl" w:eastAsia="es-MX"/>
        </w:rPr>
        <w:t>27´017,456.76</w:t>
      </w:r>
      <w:r w:rsidR="008E3070" w:rsidRPr="00A04585">
        <w:rPr>
          <w:rFonts w:ascii="Trebuchet MS" w:hAnsi="Trebuchet MS"/>
          <w:color w:val="000000"/>
          <w:sz w:val="24"/>
          <w:szCs w:val="24"/>
          <w:lang w:val="es-ES_tradnl" w:eastAsia="es-MX"/>
        </w:rPr>
        <w:t xml:space="preserve"> (</w:t>
      </w:r>
      <w:r w:rsidR="00465556" w:rsidRPr="00A04585">
        <w:rPr>
          <w:rFonts w:ascii="Trebuchet MS" w:hAnsi="Trebuchet MS"/>
          <w:color w:val="000000"/>
          <w:sz w:val="24"/>
          <w:szCs w:val="24"/>
          <w:lang w:val="es-ES_tradnl" w:eastAsia="es-MX"/>
        </w:rPr>
        <w:t>veintisiete millones diecisiete mil cuatrocientos cincuenta y seis pesos 76</w:t>
      </w:r>
      <w:r w:rsidR="008E3070" w:rsidRPr="00A04585">
        <w:rPr>
          <w:rFonts w:ascii="Trebuchet MS" w:hAnsi="Trebuchet MS"/>
          <w:color w:val="000000"/>
          <w:sz w:val="24"/>
          <w:szCs w:val="24"/>
          <w:lang w:val="es-ES_tradnl" w:eastAsia="es-MX"/>
        </w:rPr>
        <w:t>/100 M.N.)</w:t>
      </w:r>
      <w:r w:rsidR="00C208EC" w:rsidRPr="00A04585">
        <w:rPr>
          <w:rFonts w:ascii="Trebuchet MS" w:hAnsi="Trebuchet MS"/>
          <w:color w:val="000000"/>
          <w:sz w:val="24"/>
          <w:szCs w:val="24"/>
          <w:lang w:val="es-ES_tradnl" w:eastAsia="es-MX"/>
        </w:rPr>
        <w:t>,</w:t>
      </w:r>
      <w:r w:rsidR="008E3070" w:rsidRPr="00A04585">
        <w:rPr>
          <w:rFonts w:ascii="Trebuchet MS" w:hAnsi="Trebuchet MS"/>
          <w:color w:val="000000"/>
          <w:sz w:val="24"/>
          <w:szCs w:val="24"/>
          <w:lang w:val="es-ES_tradnl" w:eastAsia="es-MX"/>
        </w:rPr>
        <w:t xml:space="preserve"> que corresponde a la suma del porcentaje de la votación de los part</w:t>
      </w:r>
      <w:r w:rsidR="00427548" w:rsidRPr="00A04585">
        <w:rPr>
          <w:rFonts w:ascii="Trebuchet MS" w:hAnsi="Trebuchet MS"/>
          <w:color w:val="000000"/>
          <w:sz w:val="24"/>
          <w:szCs w:val="24"/>
          <w:lang w:val="es-ES_tradnl" w:eastAsia="es-MX"/>
        </w:rPr>
        <w:t>idos Hagamos y Futuro, en tanto</w:t>
      </w:r>
      <w:r w:rsidR="008E3070" w:rsidRPr="00A04585">
        <w:rPr>
          <w:rFonts w:ascii="Trebuchet MS" w:hAnsi="Trebuchet MS"/>
          <w:color w:val="000000"/>
          <w:sz w:val="24"/>
          <w:szCs w:val="24"/>
          <w:lang w:val="es-ES_tradnl" w:eastAsia="es-MX"/>
        </w:rPr>
        <w:t xml:space="preserve"> que no se repartirá lo correspondiente al porcentaje de la votación obtenida por los partidos nacionales que</w:t>
      </w:r>
      <w:r w:rsidR="00C208EC" w:rsidRPr="00A04585">
        <w:rPr>
          <w:rFonts w:ascii="Trebuchet MS" w:hAnsi="Trebuchet MS"/>
          <w:color w:val="000000"/>
          <w:sz w:val="24"/>
          <w:szCs w:val="24"/>
          <w:lang w:val="es-ES_tradnl" w:eastAsia="es-MX"/>
        </w:rPr>
        <w:t>,</w:t>
      </w:r>
      <w:r w:rsidR="008E3070" w:rsidRPr="00A04585">
        <w:rPr>
          <w:rFonts w:ascii="Trebuchet MS" w:hAnsi="Trebuchet MS"/>
          <w:color w:val="000000"/>
          <w:sz w:val="24"/>
          <w:szCs w:val="24"/>
          <w:lang w:val="es-ES_tradnl" w:eastAsia="es-MX"/>
        </w:rPr>
        <w:t xml:space="preserve"> en términos globales</w:t>
      </w:r>
      <w:r w:rsidR="00C208EC" w:rsidRPr="00A04585">
        <w:rPr>
          <w:rFonts w:ascii="Trebuchet MS" w:hAnsi="Trebuchet MS"/>
          <w:color w:val="000000"/>
          <w:sz w:val="24"/>
          <w:szCs w:val="24"/>
          <w:lang w:val="es-ES_tradnl" w:eastAsia="es-MX"/>
        </w:rPr>
        <w:t>,</w:t>
      </w:r>
      <w:r w:rsidR="008E3070" w:rsidRPr="00A04585">
        <w:rPr>
          <w:rFonts w:ascii="Trebuchet MS" w:hAnsi="Trebuchet MS"/>
          <w:color w:val="000000"/>
          <w:sz w:val="24"/>
          <w:szCs w:val="24"/>
          <w:lang w:val="es-ES_tradnl" w:eastAsia="es-MX"/>
        </w:rPr>
        <w:t xml:space="preserve"> equivale alrededor del </w:t>
      </w:r>
      <w:r w:rsidR="0074231A" w:rsidRPr="00242547">
        <w:rPr>
          <w:rFonts w:ascii="Trebuchet MS" w:hAnsi="Trebuchet MS"/>
          <w:color w:val="000000"/>
          <w:sz w:val="24"/>
          <w:szCs w:val="24"/>
          <w:lang w:val="es-ES_tradnl" w:eastAsia="es-MX"/>
        </w:rPr>
        <w:t>noventa por ciento</w:t>
      </w:r>
      <w:r w:rsidR="008E3070" w:rsidRPr="00A04585">
        <w:rPr>
          <w:rFonts w:ascii="Trebuchet MS" w:hAnsi="Trebuchet MS"/>
          <w:color w:val="000000"/>
          <w:sz w:val="24"/>
          <w:szCs w:val="24"/>
          <w:lang w:val="es-ES_tradnl" w:eastAsia="es-MX"/>
        </w:rPr>
        <w:t xml:space="preserve"> de la votación</w:t>
      </w:r>
      <w:r w:rsidR="00C208EC" w:rsidRPr="00A04585">
        <w:rPr>
          <w:rFonts w:ascii="Trebuchet MS" w:hAnsi="Trebuchet MS"/>
          <w:color w:val="000000"/>
          <w:sz w:val="24"/>
          <w:szCs w:val="24"/>
          <w:lang w:val="es-ES_tradnl" w:eastAsia="es-MX"/>
        </w:rPr>
        <w:t xml:space="preserve"> válida</w:t>
      </w:r>
      <w:r w:rsidR="008E3070" w:rsidRPr="00A04585">
        <w:rPr>
          <w:rFonts w:ascii="Trebuchet MS" w:hAnsi="Trebuchet MS"/>
          <w:color w:val="000000"/>
          <w:sz w:val="24"/>
          <w:szCs w:val="24"/>
          <w:lang w:val="es-ES_tradnl" w:eastAsia="es-MX"/>
        </w:rPr>
        <w:t xml:space="preserve"> emitida </w:t>
      </w:r>
      <w:r w:rsidR="00C208EC" w:rsidRPr="00A04585">
        <w:rPr>
          <w:rFonts w:ascii="Trebuchet MS" w:hAnsi="Trebuchet MS"/>
          <w:color w:val="000000"/>
          <w:sz w:val="24"/>
          <w:szCs w:val="24"/>
          <w:lang w:val="es-ES_tradnl" w:eastAsia="es-MX"/>
        </w:rPr>
        <w:t xml:space="preserve">y que corresponde </w:t>
      </w:r>
      <w:r w:rsidR="008E3070" w:rsidRPr="00A04585">
        <w:rPr>
          <w:rFonts w:ascii="Trebuchet MS" w:hAnsi="Trebuchet MS"/>
          <w:color w:val="000000"/>
          <w:sz w:val="24"/>
          <w:szCs w:val="24"/>
          <w:lang w:val="es-ES_tradnl" w:eastAsia="es-MX"/>
        </w:rPr>
        <w:t>a $</w:t>
      </w:r>
      <w:r w:rsidR="00997446" w:rsidRPr="00A04585">
        <w:rPr>
          <w:rFonts w:ascii="Trebuchet MS" w:hAnsi="Trebuchet MS"/>
          <w:color w:val="000000"/>
          <w:sz w:val="24"/>
          <w:szCs w:val="24"/>
          <w:lang w:val="es-ES_tradnl" w:eastAsia="es-MX"/>
        </w:rPr>
        <w:t>248´909,600.53</w:t>
      </w:r>
      <w:r w:rsidR="008E3070" w:rsidRPr="00A04585">
        <w:rPr>
          <w:rFonts w:ascii="Trebuchet MS" w:hAnsi="Trebuchet MS"/>
          <w:color w:val="000000"/>
          <w:sz w:val="24"/>
          <w:szCs w:val="24"/>
          <w:lang w:val="es-ES_tradnl" w:eastAsia="es-MX"/>
        </w:rPr>
        <w:t xml:space="preserve"> (</w:t>
      </w:r>
      <w:r w:rsidR="00997446" w:rsidRPr="00A04585">
        <w:rPr>
          <w:rFonts w:ascii="Trebuchet MS" w:hAnsi="Trebuchet MS"/>
          <w:color w:val="000000"/>
          <w:sz w:val="24"/>
          <w:szCs w:val="24"/>
          <w:lang w:val="es-ES_tradnl" w:eastAsia="es-MX"/>
        </w:rPr>
        <w:t>doscientos cuarenta y ocho millones novecientos nueve mil seiscientos pesos 53</w:t>
      </w:r>
      <w:r w:rsidR="008E3070" w:rsidRPr="00A04585">
        <w:rPr>
          <w:rFonts w:ascii="Trebuchet MS" w:hAnsi="Trebuchet MS"/>
          <w:color w:val="000000"/>
          <w:sz w:val="24"/>
          <w:szCs w:val="24"/>
          <w:lang w:val="es-ES_tradnl" w:eastAsia="es-MX"/>
        </w:rPr>
        <w:t>/</w:t>
      </w:r>
      <w:r w:rsidR="007406A3" w:rsidRPr="00A04585">
        <w:rPr>
          <w:rFonts w:ascii="Trebuchet MS" w:hAnsi="Trebuchet MS"/>
          <w:color w:val="000000"/>
          <w:sz w:val="24"/>
          <w:szCs w:val="24"/>
          <w:lang w:val="es-ES_tradnl" w:eastAsia="es-MX"/>
        </w:rPr>
        <w:t>100</w:t>
      </w:r>
      <w:r w:rsidR="008E3070" w:rsidRPr="00A04585">
        <w:rPr>
          <w:rFonts w:ascii="Trebuchet MS" w:hAnsi="Trebuchet MS"/>
          <w:color w:val="000000"/>
          <w:sz w:val="24"/>
          <w:szCs w:val="24"/>
          <w:lang w:val="es-ES_tradnl" w:eastAsia="es-MX"/>
        </w:rPr>
        <w:t xml:space="preserve"> M.N.)</w:t>
      </w:r>
    </w:p>
    <w:p w14:paraId="45FA400E" w14:textId="2C7839F8" w:rsidR="007406A3" w:rsidRPr="00A04585" w:rsidRDefault="007406A3" w:rsidP="002E7CFF">
      <w:pPr>
        <w:pStyle w:val="Sinespaciado"/>
        <w:jc w:val="both"/>
        <w:rPr>
          <w:rFonts w:ascii="Trebuchet MS" w:hAnsi="Trebuchet MS"/>
          <w:color w:val="000000"/>
          <w:sz w:val="24"/>
          <w:szCs w:val="24"/>
          <w:lang w:val="es-ES_tradnl" w:eastAsia="es-MX"/>
        </w:rPr>
      </w:pPr>
    </w:p>
    <w:p w14:paraId="1B54B39E" w14:textId="13AC23E2" w:rsidR="007406A3" w:rsidRPr="00A04585" w:rsidRDefault="007406A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Entonces,</w:t>
      </w:r>
      <w:r w:rsidR="007B4B61" w:rsidRPr="00A04585">
        <w:rPr>
          <w:rFonts w:ascii="Trebuchet MS" w:hAnsi="Trebuchet MS"/>
          <w:color w:val="000000"/>
          <w:sz w:val="24"/>
          <w:szCs w:val="24"/>
          <w:lang w:val="es-ES_tradnl" w:eastAsia="es-MX"/>
        </w:rPr>
        <w:t xml:space="preserve"> con base en lo expuesto se expresa a </w:t>
      </w:r>
      <w:r w:rsidRPr="00A04585">
        <w:rPr>
          <w:rFonts w:ascii="Trebuchet MS" w:hAnsi="Trebuchet MS"/>
          <w:color w:val="000000"/>
          <w:sz w:val="24"/>
          <w:szCs w:val="24"/>
          <w:lang w:val="es-ES_tradnl" w:eastAsia="es-MX"/>
        </w:rPr>
        <w:t>continuación el cálculo que indica el total del financiamiento ordinario que debe entregarse a los partidos políticos locales para el ej</w:t>
      </w:r>
      <w:r w:rsidR="00465556" w:rsidRPr="00A04585">
        <w:rPr>
          <w:rFonts w:ascii="Trebuchet MS" w:hAnsi="Trebuchet MS"/>
          <w:color w:val="000000"/>
          <w:sz w:val="24"/>
          <w:szCs w:val="24"/>
          <w:lang w:val="es-ES_tradnl" w:eastAsia="es-MX"/>
        </w:rPr>
        <w:t>ercicio fiscal dos mil veintitrés</w:t>
      </w:r>
      <w:r w:rsidRPr="00A04585">
        <w:rPr>
          <w:rFonts w:ascii="Trebuchet MS" w:hAnsi="Trebuchet MS"/>
          <w:color w:val="000000"/>
          <w:sz w:val="24"/>
          <w:szCs w:val="24"/>
          <w:lang w:val="es-ES_tradnl" w:eastAsia="es-MX"/>
        </w:rPr>
        <w:t xml:space="preserve">, de acuerdo </w:t>
      </w:r>
      <w:r w:rsidR="00C208EC" w:rsidRPr="00A04585">
        <w:rPr>
          <w:rFonts w:ascii="Trebuchet MS" w:hAnsi="Trebuchet MS"/>
          <w:color w:val="000000"/>
          <w:sz w:val="24"/>
          <w:szCs w:val="24"/>
          <w:lang w:val="es-ES_tradnl" w:eastAsia="es-MX"/>
        </w:rPr>
        <w:t xml:space="preserve">con </w:t>
      </w:r>
      <w:r w:rsidRPr="00A04585">
        <w:rPr>
          <w:rFonts w:ascii="Trebuchet MS" w:hAnsi="Trebuchet MS"/>
          <w:color w:val="000000"/>
          <w:sz w:val="24"/>
          <w:szCs w:val="24"/>
          <w:lang w:val="es-ES_tradnl" w:eastAsia="es-MX"/>
        </w:rPr>
        <w:t>las fórmulas y criterios sostenidos en el presente acuerdo:</w:t>
      </w:r>
    </w:p>
    <w:p w14:paraId="52631E1A" w14:textId="3F86A1B0" w:rsidR="007406A3" w:rsidRPr="00242547" w:rsidRDefault="007406A3" w:rsidP="002E7CFF">
      <w:pPr>
        <w:pStyle w:val="Sinespaciado"/>
        <w:jc w:val="both"/>
        <w:rPr>
          <w:rFonts w:ascii="Trebuchet MS" w:hAnsi="Trebuchet MS"/>
          <w:color w:val="000000"/>
          <w:sz w:val="24"/>
          <w:szCs w:val="24"/>
          <w:lang w:val="es-ES_tradnl" w:eastAsia="es-MX"/>
        </w:rPr>
      </w:pPr>
    </w:p>
    <w:tbl>
      <w:tblPr>
        <w:tblW w:w="8823" w:type="dxa"/>
        <w:tblCellMar>
          <w:left w:w="70" w:type="dxa"/>
          <w:right w:w="70" w:type="dxa"/>
        </w:tblCellMar>
        <w:tblLook w:val="04A0" w:firstRow="1" w:lastRow="0" w:firstColumn="1" w:lastColumn="0" w:noHBand="0" w:noVBand="1"/>
      </w:tblPr>
      <w:tblGrid>
        <w:gridCol w:w="1186"/>
        <w:gridCol w:w="2040"/>
        <w:gridCol w:w="3061"/>
        <w:gridCol w:w="2536"/>
      </w:tblGrid>
      <w:tr w:rsidR="00465556" w:rsidRPr="00A04585" w14:paraId="791DAB1C" w14:textId="77777777" w:rsidTr="00465556">
        <w:trPr>
          <w:trHeight w:val="775"/>
        </w:trPr>
        <w:tc>
          <w:tcPr>
            <w:tcW w:w="8823" w:type="dxa"/>
            <w:gridSpan w:val="4"/>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41C9E331" w14:textId="77C736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2.5 Cantidades a entregar por concepto de financiamiento público para actividades ordinarias permanentes para partidos políticos locales, con derecho a recibirlo 2023.</w:t>
            </w:r>
          </w:p>
        </w:tc>
      </w:tr>
      <w:tr w:rsidR="00465556" w:rsidRPr="00A04585" w14:paraId="650EED3E" w14:textId="77777777" w:rsidTr="00465556">
        <w:trPr>
          <w:trHeight w:val="457"/>
        </w:trPr>
        <w:tc>
          <w:tcPr>
            <w:tcW w:w="1186" w:type="dxa"/>
            <w:tcBorders>
              <w:top w:val="nil"/>
              <w:left w:val="single" w:sz="8" w:space="0" w:color="808080"/>
              <w:bottom w:val="single" w:sz="4" w:space="0" w:color="808080"/>
              <w:right w:val="single" w:sz="4" w:space="0" w:color="808080"/>
            </w:tcBorders>
            <w:shd w:val="clear" w:color="auto" w:fill="auto"/>
            <w:noWrap/>
            <w:vAlign w:val="center"/>
            <w:hideMark/>
          </w:tcPr>
          <w:p w14:paraId="023A48FC" w14:textId="777777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2040" w:type="dxa"/>
            <w:tcBorders>
              <w:top w:val="nil"/>
              <w:left w:val="nil"/>
              <w:bottom w:val="single" w:sz="4" w:space="0" w:color="808080"/>
              <w:right w:val="single" w:sz="4" w:space="0" w:color="808080"/>
            </w:tcBorders>
            <w:shd w:val="clear" w:color="000000" w:fill="FFFFFF"/>
            <w:vAlign w:val="center"/>
            <w:hideMark/>
          </w:tcPr>
          <w:p w14:paraId="110EB01C" w14:textId="777777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la parte igualitaria</w:t>
            </w:r>
          </w:p>
        </w:tc>
        <w:tc>
          <w:tcPr>
            <w:tcW w:w="3061" w:type="dxa"/>
            <w:tcBorders>
              <w:top w:val="nil"/>
              <w:left w:val="nil"/>
              <w:bottom w:val="single" w:sz="4" w:space="0" w:color="808080"/>
              <w:right w:val="single" w:sz="4" w:space="0" w:color="808080"/>
            </w:tcBorders>
            <w:shd w:val="clear" w:color="000000" w:fill="FFFFFF"/>
            <w:vAlign w:val="center"/>
            <w:hideMark/>
          </w:tcPr>
          <w:p w14:paraId="7B86DD5D" w14:textId="777777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parte proporcional</w:t>
            </w:r>
          </w:p>
        </w:tc>
        <w:tc>
          <w:tcPr>
            <w:tcW w:w="2533" w:type="dxa"/>
            <w:tcBorders>
              <w:top w:val="nil"/>
              <w:left w:val="nil"/>
              <w:bottom w:val="single" w:sz="4" w:space="0" w:color="808080"/>
              <w:right w:val="single" w:sz="8" w:space="0" w:color="808080"/>
            </w:tcBorders>
            <w:shd w:val="clear" w:color="000000" w:fill="FFFFFF"/>
            <w:vAlign w:val="center"/>
            <w:hideMark/>
          </w:tcPr>
          <w:p w14:paraId="7FE73CA8" w14:textId="777777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TOTAL </w:t>
            </w:r>
          </w:p>
        </w:tc>
      </w:tr>
      <w:tr w:rsidR="00465556" w:rsidRPr="00A04585" w14:paraId="54C2A7C2" w14:textId="77777777" w:rsidTr="00465556">
        <w:trPr>
          <w:trHeight w:val="457"/>
        </w:trPr>
        <w:tc>
          <w:tcPr>
            <w:tcW w:w="1186" w:type="dxa"/>
            <w:tcBorders>
              <w:top w:val="nil"/>
              <w:left w:val="single" w:sz="8" w:space="0" w:color="808080"/>
              <w:bottom w:val="single" w:sz="4" w:space="0" w:color="808080"/>
              <w:right w:val="single" w:sz="4" w:space="0" w:color="808080"/>
            </w:tcBorders>
            <w:shd w:val="clear" w:color="auto" w:fill="auto"/>
            <w:noWrap/>
            <w:vAlign w:val="center"/>
            <w:hideMark/>
          </w:tcPr>
          <w:p w14:paraId="08B0593D" w14:textId="777777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HAGAMOS</w:t>
            </w:r>
          </w:p>
        </w:tc>
        <w:tc>
          <w:tcPr>
            <w:tcW w:w="2040" w:type="dxa"/>
            <w:tcBorders>
              <w:top w:val="nil"/>
              <w:left w:val="nil"/>
              <w:bottom w:val="single" w:sz="4" w:space="0" w:color="808080"/>
              <w:right w:val="single" w:sz="4" w:space="0" w:color="808080"/>
            </w:tcBorders>
            <w:shd w:val="clear" w:color="000000" w:fill="FFFFFF"/>
            <w:vAlign w:val="center"/>
            <w:hideMark/>
          </w:tcPr>
          <w:p w14:paraId="705C3A58" w14:textId="36DA3EA0" w:rsidR="00465556" w:rsidRPr="00A04585" w:rsidRDefault="008D63BB"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w:t>
            </w:r>
            <w:r w:rsidR="00465556" w:rsidRPr="00A04585">
              <w:rPr>
                <w:rFonts w:ascii="Trebuchet MS" w:eastAsia="Times New Roman" w:hAnsi="Trebuchet MS" w:cs="Calibri Light"/>
                <w:b/>
                <w:bCs/>
                <w:color w:val="000000"/>
                <w:sz w:val="20"/>
                <w:szCs w:val="20"/>
                <w:lang w:eastAsia="es-MX"/>
              </w:rPr>
              <w:t>16</w:t>
            </w:r>
            <w:r w:rsidR="00C208EC" w:rsidRPr="00A04585">
              <w:rPr>
                <w:rFonts w:ascii="Trebuchet MS" w:eastAsia="Times New Roman" w:hAnsi="Trebuchet MS" w:cs="Calibri Light"/>
                <w:b/>
                <w:bCs/>
                <w:color w:val="000000"/>
                <w:sz w:val="20"/>
                <w:szCs w:val="20"/>
                <w:lang w:eastAsia="es-MX"/>
              </w:rPr>
              <w:t>’</w:t>
            </w:r>
            <w:r w:rsidR="00465556" w:rsidRPr="00A04585">
              <w:rPr>
                <w:rFonts w:ascii="Trebuchet MS" w:eastAsia="Times New Roman" w:hAnsi="Trebuchet MS" w:cs="Calibri Light"/>
                <w:b/>
                <w:bCs/>
                <w:color w:val="000000"/>
                <w:sz w:val="20"/>
                <w:szCs w:val="20"/>
                <w:lang w:eastAsia="es-MX"/>
              </w:rPr>
              <w:t xml:space="preserve">893,493.30 </w:t>
            </w:r>
          </w:p>
        </w:tc>
        <w:tc>
          <w:tcPr>
            <w:tcW w:w="3061" w:type="dxa"/>
            <w:tcBorders>
              <w:top w:val="single" w:sz="4" w:space="0" w:color="808080"/>
              <w:left w:val="nil"/>
              <w:bottom w:val="single" w:sz="4" w:space="0" w:color="808080"/>
              <w:right w:val="single" w:sz="4" w:space="0" w:color="808080"/>
            </w:tcBorders>
            <w:shd w:val="clear" w:color="000000" w:fill="FFFFFF"/>
            <w:vAlign w:val="center"/>
            <w:hideMark/>
          </w:tcPr>
          <w:p w14:paraId="1D374339" w14:textId="21082ADF"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$14</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438,628.58</w:t>
            </w:r>
          </w:p>
        </w:tc>
        <w:tc>
          <w:tcPr>
            <w:tcW w:w="2533" w:type="dxa"/>
            <w:tcBorders>
              <w:top w:val="single" w:sz="4" w:space="0" w:color="808080"/>
              <w:left w:val="nil"/>
              <w:bottom w:val="single" w:sz="4" w:space="0" w:color="808080"/>
              <w:right w:val="single" w:sz="8" w:space="0" w:color="808080"/>
            </w:tcBorders>
            <w:shd w:val="clear" w:color="000000" w:fill="FFFFFF"/>
            <w:vAlign w:val="center"/>
            <w:hideMark/>
          </w:tcPr>
          <w:p w14:paraId="6C1AA1EB" w14:textId="2817B576"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$31</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332,121.88</w:t>
            </w:r>
          </w:p>
        </w:tc>
      </w:tr>
      <w:tr w:rsidR="00465556" w:rsidRPr="00A04585" w14:paraId="04D46419" w14:textId="77777777" w:rsidTr="00465556">
        <w:trPr>
          <w:trHeight w:val="457"/>
        </w:trPr>
        <w:tc>
          <w:tcPr>
            <w:tcW w:w="1186" w:type="dxa"/>
            <w:tcBorders>
              <w:top w:val="nil"/>
              <w:left w:val="single" w:sz="8" w:space="0" w:color="808080"/>
              <w:bottom w:val="single" w:sz="4" w:space="0" w:color="808080"/>
              <w:right w:val="single" w:sz="4" w:space="0" w:color="808080"/>
            </w:tcBorders>
            <w:shd w:val="clear" w:color="auto" w:fill="auto"/>
            <w:noWrap/>
            <w:vAlign w:val="center"/>
            <w:hideMark/>
          </w:tcPr>
          <w:p w14:paraId="4AAAB330" w14:textId="777777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FUTURO</w:t>
            </w:r>
          </w:p>
        </w:tc>
        <w:tc>
          <w:tcPr>
            <w:tcW w:w="2040" w:type="dxa"/>
            <w:tcBorders>
              <w:top w:val="nil"/>
              <w:left w:val="nil"/>
              <w:bottom w:val="single" w:sz="4" w:space="0" w:color="808080"/>
              <w:right w:val="single" w:sz="4" w:space="0" w:color="808080"/>
            </w:tcBorders>
            <w:shd w:val="clear" w:color="000000" w:fill="FFFFFF"/>
            <w:vAlign w:val="center"/>
            <w:hideMark/>
          </w:tcPr>
          <w:p w14:paraId="11A91FFE" w14:textId="6DA14030" w:rsidR="00465556" w:rsidRPr="00A04585" w:rsidRDefault="008D63BB"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w:t>
            </w:r>
            <w:r w:rsidR="00465556" w:rsidRPr="00A04585">
              <w:rPr>
                <w:rFonts w:ascii="Trebuchet MS" w:eastAsia="Times New Roman" w:hAnsi="Trebuchet MS" w:cs="Calibri Light"/>
                <w:b/>
                <w:bCs/>
                <w:color w:val="000000"/>
                <w:sz w:val="20"/>
                <w:szCs w:val="20"/>
                <w:lang w:eastAsia="es-MX"/>
              </w:rPr>
              <w:t>16</w:t>
            </w:r>
            <w:r w:rsidR="00C208EC" w:rsidRPr="00A04585">
              <w:rPr>
                <w:rFonts w:ascii="Trebuchet MS" w:eastAsia="Times New Roman" w:hAnsi="Trebuchet MS" w:cs="Calibri Light"/>
                <w:b/>
                <w:bCs/>
                <w:color w:val="000000"/>
                <w:sz w:val="20"/>
                <w:szCs w:val="20"/>
                <w:lang w:eastAsia="es-MX"/>
              </w:rPr>
              <w:t>’</w:t>
            </w:r>
            <w:r w:rsidR="00465556" w:rsidRPr="00A04585">
              <w:rPr>
                <w:rFonts w:ascii="Trebuchet MS" w:eastAsia="Times New Roman" w:hAnsi="Trebuchet MS" w:cs="Calibri Light"/>
                <w:b/>
                <w:bCs/>
                <w:color w:val="000000"/>
                <w:sz w:val="20"/>
                <w:szCs w:val="20"/>
                <w:lang w:eastAsia="es-MX"/>
              </w:rPr>
              <w:t xml:space="preserve">893,493.30 </w:t>
            </w:r>
          </w:p>
        </w:tc>
        <w:tc>
          <w:tcPr>
            <w:tcW w:w="3061" w:type="dxa"/>
            <w:tcBorders>
              <w:top w:val="single" w:sz="4" w:space="0" w:color="808080"/>
              <w:left w:val="nil"/>
              <w:bottom w:val="single" w:sz="4" w:space="0" w:color="808080"/>
              <w:right w:val="single" w:sz="4" w:space="0" w:color="808080"/>
            </w:tcBorders>
            <w:shd w:val="clear" w:color="000000" w:fill="FFFFFF"/>
            <w:vAlign w:val="center"/>
            <w:hideMark/>
          </w:tcPr>
          <w:p w14:paraId="203D07CD" w14:textId="2654106D"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$12</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578,828.19</w:t>
            </w:r>
          </w:p>
        </w:tc>
        <w:tc>
          <w:tcPr>
            <w:tcW w:w="2533" w:type="dxa"/>
            <w:tcBorders>
              <w:top w:val="single" w:sz="4" w:space="0" w:color="808080"/>
              <w:left w:val="nil"/>
              <w:bottom w:val="single" w:sz="4" w:space="0" w:color="808080"/>
              <w:right w:val="single" w:sz="8" w:space="0" w:color="808080"/>
            </w:tcBorders>
            <w:shd w:val="clear" w:color="000000" w:fill="FFFFFF"/>
            <w:vAlign w:val="center"/>
            <w:hideMark/>
          </w:tcPr>
          <w:p w14:paraId="6061039C" w14:textId="52DB1A0E"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$29</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472,321.49</w:t>
            </w:r>
          </w:p>
        </w:tc>
      </w:tr>
      <w:tr w:rsidR="00465556" w:rsidRPr="00A04585" w14:paraId="0EE27015" w14:textId="77777777" w:rsidTr="00465556">
        <w:trPr>
          <w:trHeight w:val="457"/>
        </w:trPr>
        <w:tc>
          <w:tcPr>
            <w:tcW w:w="1186" w:type="dxa"/>
            <w:tcBorders>
              <w:top w:val="nil"/>
              <w:left w:val="single" w:sz="8" w:space="0" w:color="808080"/>
              <w:bottom w:val="single" w:sz="8" w:space="0" w:color="808080"/>
              <w:right w:val="single" w:sz="4" w:space="0" w:color="808080"/>
            </w:tcBorders>
            <w:shd w:val="clear" w:color="000000" w:fill="F3EBF9"/>
            <w:noWrap/>
            <w:vAlign w:val="center"/>
            <w:hideMark/>
          </w:tcPr>
          <w:p w14:paraId="6310C030" w14:textId="77777777"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w:t>
            </w:r>
          </w:p>
        </w:tc>
        <w:tc>
          <w:tcPr>
            <w:tcW w:w="2040" w:type="dxa"/>
            <w:tcBorders>
              <w:top w:val="nil"/>
              <w:left w:val="nil"/>
              <w:bottom w:val="single" w:sz="8" w:space="0" w:color="808080"/>
              <w:right w:val="single" w:sz="4" w:space="0" w:color="808080"/>
            </w:tcBorders>
            <w:shd w:val="clear" w:color="000000" w:fill="F3EBF9"/>
            <w:vAlign w:val="center"/>
            <w:hideMark/>
          </w:tcPr>
          <w:p w14:paraId="14A9D89E" w14:textId="5E2856E4" w:rsidR="00465556" w:rsidRPr="00A04585" w:rsidRDefault="008D63BB"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w:t>
            </w:r>
            <w:r w:rsidR="00465556" w:rsidRPr="00A04585">
              <w:rPr>
                <w:rFonts w:ascii="Trebuchet MS" w:eastAsia="Times New Roman" w:hAnsi="Trebuchet MS" w:cs="Calibri Light"/>
                <w:b/>
                <w:bCs/>
                <w:color w:val="000000"/>
                <w:sz w:val="20"/>
                <w:szCs w:val="20"/>
                <w:lang w:eastAsia="es-MX"/>
              </w:rPr>
              <w:t>33</w:t>
            </w:r>
            <w:r w:rsidR="00C208EC" w:rsidRPr="00A04585">
              <w:rPr>
                <w:rFonts w:ascii="Trebuchet MS" w:eastAsia="Times New Roman" w:hAnsi="Trebuchet MS" w:cs="Calibri Light"/>
                <w:b/>
                <w:bCs/>
                <w:color w:val="000000"/>
                <w:sz w:val="20"/>
                <w:szCs w:val="20"/>
                <w:lang w:eastAsia="es-MX"/>
              </w:rPr>
              <w:t>’</w:t>
            </w:r>
            <w:r w:rsidR="00465556" w:rsidRPr="00A04585">
              <w:rPr>
                <w:rFonts w:ascii="Trebuchet MS" w:eastAsia="Times New Roman" w:hAnsi="Trebuchet MS" w:cs="Calibri Light"/>
                <w:b/>
                <w:bCs/>
                <w:color w:val="000000"/>
                <w:sz w:val="20"/>
                <w:szCs w:val="20"/>
                <w:lang w:eastAsia="es-MX"/>
              </w:rPr>
              <w:t xml:space="preserve">786,986.61 </w:t>
            </w:r>
          </w:p>
        </w:tc>
        <w:tc>
          <w:tcPr>
            <w:tcW w:w="3061" w:type="dxa"/>
            <w:tcBorders>
              <w:top w:val="single" w:sz="4" w:space="0" w:color="808080"/>
              <w:left w:val="nil"/>
              <w:bottom w:val="single" w:sz="8" w:space="0" w:color="808080"/>
              <w:right w:val="single" w:sz="4" w:space="0" w:color="808080"/>
            </w:tcBorders>
            <w:shd w:val="clear" w:color="000000" w:fill="F3EBF9"/>
            <w:vAlign w:val="center"/>
            <w:hideMark/>
          </w:tcPr>
          <w:p w14:paraId="52E7DD72" w14:textId="4DF4746E"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$27</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017,456.76</w:t>
            </w:r>
          </w:p>
        </w:tc>
        <w:tc>
          <w:tcPr>
            <w:tcW w:w="2533" w:type="dxa"/>
            <w:tcBorders>
              <w:top w:val="single" w:sz="4" w:space="0" w:color="808080"/>
              <w:left w:val="nil"/>
              <w:bottom w:val="single" w:sz="8" w:space="0" w:color="808080"/>
              <w:right w:val="single" w:sz="8" w:space="0" w:color="808080"/>
            </w:tcBorders>
            <w:shd w:val="clear" w:color="000000" w:fill="F3EBF9"/>
            <w:vAlign w:val="center"/>
            <w:hideMark/>
          </w:tcPr>
          <w:p w14:paraId="24273329" w14:textId="022E3240" w:rsidR="00465556" w:rsidRPr="00A04585" w:rsidRDefault="00465556" w:rsidP="0046555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$60</w:t>
            </w:r>
            <w:r w:rsidR="00C208EC"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804,443.37</w:t>
            </w:r>
          </w:p>
        </w:tc>
      </w:tr>
    </w:tbl>
    <w:p w14:paraId="2AF5B967" w14:textId="44820DA3" w:rsidR="007406A3" w:rsidRPr="00242547" w:rsidRDefault="007406A3" w:rsidP="002E7CFF">
      <w:pPr>
        <w:pStyle w:val="Sinespaciado"/>
        <w:jc w:val="center"/>
        <w:rPr>
          <w:rFonts w:ascii="Trebuchet MS" w:hAnsi="Trebuchet MS"/>
          <w:color w:val="000000"/>
          <w:sz w:val="24"/>
          <w:szCs w:val="24"/>
          <w:lang w:val="es-ES_tradnl" w:eastAsia="es-MX"/>
        </w:rPr>
      </w:pPr>
    </w:p>
    <w:p w14:paraId="5F00D11C" w14:textId="6F5E2376" w:rsidR="00BA267B" w:rsidRPr="00A04585" w:rsidRDefault="00BA267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w:t>
      </w:r>
      <w:r w:rsidR="00C93A85" w:rsidRPr="00A04585">
        <w:rPr>
          <w:rFonts w:ascii="Trebuchet MS" w:hAnsi="Trebuchet MS"/>
          <w:color w:val="000000"/>
          <w:sz w:val="24"/>
          <w:szCs w:val="24"/>
          <w:lang w:val="es-ES_tradnl" w:eastAsia="es-MX"/>
        </w:rPr>
        <w:t>la tabla</w:t>
      </w:r>
      <w:r w:rsidR="00757F99" w:rsidRPr="00A04585">
        <w:rPr>
          <w:rFonts w:ascii="Trebuchet MS" w:hAnsi="Trebuchet MS"/>
          <w:color w:val="000000"/>
          <w:sz w:val="24"/>
          <w:szCs w:val="24"/>
          <w:lang w:val="es-ES_tradnl" w:eastAsia="es-MX"/>
        </w:rPr>
        <w:t xml:space="preserve"> precedente </w:t>
      </w:r>
      <w:r w:rsidRPr="00A04585">
        <w:rPr>
          <w:rFonts w:ascii="Trebuchet MS" w:hAnsi="Trebuchet MS"/>
          <w:color w:val="000000"/>
          <w:sz w:val="24"/>
          <w:szCs w:val="24"/>
          <w:lang w:val="es-ES_tradnl" w:eastAsia="es-MX"/>
        </w:rPr>
        <w:t xml:space="preserve">se advierte que </w:t>
      </w:r>
      <w:r w:rsidR="00C208EC" w:rsidRPr="00A04585">
        <w:rPr>
          <w:rFonts w:ascii="Trebuchet MS" w:hAnsi="Trebuchet MS"/>
          <w:color w:val="000000"/>
          <w:sz w:val="24"/>
          <w:szCs w:val="24"/>
          <w:lang w:val="es-ES_tradnl" w:eastAsia="es-MX"/>
        </w:rPr>
        <w:t xml:space="preserve">el partido </w:t>
      </w:r>
      <w:r w:rsidRPr="00A04585">
        <w:rPr>
          <w:rFonts w:ascii="Trebuchet MS" w:hAnsi="Trebuchet MS"/>
          <w:color w:val="000000"/>
          <w:sz w:val="24"/>
          <w:szCs w:val="24"/>
          <w:lang w:val="es-ES_tradnl" w:eastAsia="es-MX"/>
        </w:rPr>
        <w:t>Hagamos debe recibir para el sostenimiento de sus actividades permanentes la cantidad de $</w:t>
      </w:r>
      <w:r w:rsidR="00465556" w:rsidRPr="00A04585">
        <w:rPr>
          <w:rFonts w:ascii="Trebuchet MS" w:hAnsi="Trebuchet MS"/>
          <w:color w:val="000000"/>
          <w:sz w:val="24"/>
          <w:szCs w:val="24"/>
          <w:lang w:val="es-ES_tradnl" w:eastAsia="es-MX"/>
        </w:rPr>
        <w:t>31´332,121.88</w:t>
      </w:r>
      <w:r w:rsidRPr="00A04585">
        <w:rPr>
          <w:rFonts w:ascii="Trebuchet MS" w:hAnsi="Trebuchet MS"/>
          <w:color w:val="000000"/>
          <w:sz w:val="24"/>
          <w:szCs w:val="24"/>
          <w:lang w:val="es-ES_tradnl" w:eastAsia="es-MX"/>
        </w:rPr>
        <w:t xml:space="preserve"> (</w:t>
      </w:r>
      <w:r w:rsidR="00465556" w:rsidRPr="00A04585">
        <w:rPr>
          <w:rFonts w:ascii="Trebuchet MS" w:hAnsi="Trebuchet MS"/>
          <w:color w:val="000000"/>
          <w:sz w:val="24"/>
          <w:szCs w:val="24"/>
          <w:lang w:val="es-ES_tradnl" w:eastAsia="es-MX"/>
        </w:rPr>
        <w:t>treinta y un millones trescientos treinta y dos mil ciento veintiún pesos 88</w:t>
      </w:r>
      <w:r w:rsidR="00427548" w:rsidRPr="00A04585">
        <w:rPr>
          <w:rFonts w:ascii="Trebuchet MS" w:hAnsi="Trebuchet MS"/>
          <w:color w:val="000000"/>
          <w:sz w:val="24"/>
          <w:szCs w:val="24"/>
          <w:lang w:val="es-ES_tradnl" w:eastAsia="es-MX"/>
        </w:rPr>
        <w:t>/100</w:t>
      </w:r>
      <w:r w:rsidR="00F46A0B" w:rsidRPr="00A04585">
        <w:rPr>
          <w:rFonts w:ascii="Trebuchet MS" w:hAnsi="Trebuchet MS"/>
          <w:color w:val="000000"/>
          <w:sz w:val="24"/>
          <w:szCs w:val="24"/>
          <w:lang w:val="es-ES_tradnl" w:eastAsia="es-MX"/>
        </w:rPr>
        <w:t xml:space="preserve"> M.N.) y </w:t>
      </w:r>
      <w:r w:rsidR="00C208EC" w:rsidRPr="00A04585">
        <w:rPr>
          <w:rFonts w:ascii="Trebuchet MS" w:hAnsi="Trebuchet MS"/>
          <w:color w:val="000000"/>
          <w:sz w:val="24"/>
          <w:szCs w:val="24"/>
          <w:lang w:val="es-ES_tradnl" w:eastAsia="es-MX"/>
        </w:rPr>
        <w:t xml:space="preserve">el partido </w:t>
      </w:r>
      <w:r w:rsidR="00F46A0B" w:rsidRPr="00A04585">
        <w:rPr>
          <w:rFonts w:ascii="Trebuchet MS" w:hAnsi="Trebuchet MS"/>
          <w:color w:val="000000"/>
          <w:sz w:val="24"/>
          <w:szCs w:val="24"/>
          <w:lang w:val="es-ES_tradnl" w:eastAsia="es-MX"/>
        </w:rPr>
        <w:t>Futuro el importe de $</w:t>
      </w:r>
      <w:r w:rsidR="00465556" w:rsidRPr="00A04585">
        <w:rPr>
          <w:rFonts w:ascii="Trebuchet MS" w:hAnsi="Trebuchet MS"/>
          <w:color w:val="000000"/>
          <w:sz w:val="24"/>
          <w:szCs w:val="24"/>
          <w:lang w:val="es-ES_tradnl" w:eastAsia="es-MX"/>
        </w:rPr>
        <w:t>29´472,321.49</w:t>
      </w:r>
      <w:r w:rsidR="00F46A0B" w:rsidRPr="00A04585">
        <w:rPr>
          <w:rFonts w:ascii="Trebuchet MS" w:hAnsi="Trebuchet MS"/>
          <w:color w:val="000000"/>
          <w:sz w:val="24"/>
          <w:szCs w:val="24"/>
          <w:lang w:val="es-ES_tradnl" w:eastAsia="es-MX"/>
        </w:rPr>
        <w:t xml:space="preserve"> (</w:t>
      </w:r>
      <w:r w:rsidR="00465556" w:rsidRPr="00A04585">
        <w:rPr>
          <w:rFonts w:ascii="Trebuchet MS" w:hAnsi="Trebuchet MS"/>
          <w:color w:val="000000"/>
          <w:sz w:val="24"/>
          <w:szCs w:val="24"/>
          <w:lang w:val="es-ES_tradnl" w:eastAsia="es-MX"/>
        </w:rPr>
        <w:t>veintinueve millones cuatrocientos setenta y dos mil trescientos veintiún pesos 49</w:t>
      </w:r>
      <w:r w:rsidR="00427548" w:rsidRPr="00A04585">
        <w:rPr>
          <w:rFonts w:ascii="Trebuchet MS" w:hAnsi="Trebuchet MS"/>
          <w:color w:val="000000"/>
          <w:sz w:val="24"/>
          <w:szCs w:val="24"/>
          <w:lang w:val="es-ES_tradnl" w:eastAsia="es-MX"/>
        </w:rPr>
        <w:t>/100</w:t>
      </w:r>
      <w:r w:rsidR="00F46A0B" w:rsidRPr="00A04585">
        <w:rPr>
          <w:rFonts w:ascii="Trebuchet MS" w:hAnsi="Trebuchet MS"/>
          <w:color w:val="000000"/>
          <w:sz w:val="24"/>
          <w:szCs w:val="24"/>
          <w:lang w:val="es-ES_tradnl" w:eastAsia="es-MX"/>
        </w:rPr>
        <w:t xml:space="preserve"> M.N.), lo que suma un total de $</w:t>
      </w:r>
      <w:r w:rsidR="00465556" w:rsidRPr="00A04585">
        <w:rPr>
          <w:rFonts w:ascii="Trebuchet MS" w:hAnsi="Trebuchet MS"/>
          <w:color w:val="000000"/>
          <w:sz w:val="24"/>
          <w:szCs w:val="24"/>
          <w:lang w:val="es-ES_tradnl" w:eastAsia="es-MX"/>
        </w:rPr>
        <w:t>60´804,443.37</w:t>
      </w:r>
      <w:r w:rsidR="00F46A0B" w:rsidRPr="00A04585">
        <w:rPr>
          <w:rFonts w:ascii="Trebuchet MS" w:hAnsi="Trebuchet MS"/>
          <w:color w:val="000000"/>
          <w:sz w:val="24"/>
          <w:szCs w:val="24"/>
          <w:lang w:val="es-ES_tradnl" w:eastAsia="es-MX"/>
        </w:rPr>
        <w:t xml:space="preserve"> (</w:t>
      </w:r>
      <w:r w:rsidR="00465556" w:rsidRPr="00A04585">
        <w:rPr>
          <w:rFonts w:ascii="Trebuchet MS" w:hAnsi="Trebuchet MS"/>
          <w:color w:val="000000"/>
          <w:sz w:val="24"/>
          <w:szCs w:val="24"/>
          <w:lang w:val="es-ES_tradnl" w:eastAsia="es-MX"/>
        </w:rPr>
        <w:t>sesenta millones ochocientos cuatro mil cuatrocientos cuarenta y tres pesos 37</w:t>
      </w:r>
      <w:r w:rsidR="00F46A0B" w:rsidRPr="00A04585">
        <w:rPr>
          <w:rFonts w:ascii="Trebuchet MS" w:hAnsi="Trebuchet MS"/>
          <w:color w:val="000000"/>
          <w:sz w:val="24"/>
          <w:szCs w:val="24"/>
          <w:lang w:val="es-ES_tradnl" w:eastAsia="es-MX"/>
        </w:rPr>
        <w:t>/100 M.N.).</w:t>
      </w:r>
    </w:p>
    <w:p w14:paraId="43C26109" w14:textId="13116DA4" w:rsidR="00F46A0B" w:rsidRPr="00242547" w:rsidRDefault="00F46A0B" w:rsidP="002E7CFF">
      <w:pPr>
        <w:pStyle w:val="Sinespaciado"/>
        <w:jc w:val="both"/>
        <w:rPr>
          <w:rFonts w:ascii="Trebuchet MS" w:hAnsi="Trebuchet MS"/>
          <w:color w:val="000000"/>
          <w:sz w:val="24"/>
          <w:szCs w:val="24"/>
          <w:lang w:val="es-ES_tradnl" w:eastAsia="es-MX"/>
        </w:rPr>
      </w:pPr>
    </w:p>
    <w:p w14:paraId="1EA7D81D" w14:textId="570D2DA3" w:rsidR="00F46A0B" w:rsidRPr="00A04585" w:rsidRDefault="00F46A0B"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Además</w:t>
      </w:r>
      <w:r w:rsidR="00757F99" w:rsidRPr="00A04585">
        <w:rPr>
          <w:rFonts w:ascii="Trebuchet MS" w:hAnsi="Trebuchet MS"/>
          <w:color w:val="000000"/>
          <w:sz w:val="24"/>
          <w:szCs w:val="24"/>
          <w:lang w:val="es-ES_tradnl" w:eastAsia="es-MX"/>
        </w:rPr>
        <w:t>, tanto el</w:t>
      </w:r>
      <w:r w:rsidRPr="00A04585">
        <w:rPr>
          <w:rFonts w:ascii="Trebuchet MS" w:hAnsi="Trebuchet MS"/>
          <w:color w:val="000000"/>
          <w:sz w:val="24"/>
          <w:szCs w:val="24"/>
          <w:lang w:val="es-ES_tradnl" w:eastAsia="es-MX"/>
        </w:rPr>
        <w:t xml:space="preserve"> artículo 51, párrafo 1, inciso a) fracción V de la Ley General de Partidos Políticos, </w:t>
      </w:r>
      <w:r w:rsidR="00FF7DF4" w:rsidRPr="00A04585">
        <w:rPr>
          <w:rFonts w:ascii="Trebuchet MS" w:hAnsi="Trebuchet MS"/>
          <w:color w:val="000000"/>
          <w:sz w:val="24"/>
          <w:szCs w:val="24"/>
          <w:lang w:val="es-ES_tradnl" w:eastAsia="es-MX"/>
        </w:rPr>
        <w:t>en relación con</w:t>
      </w:r>
      <w:r w:rsidRPr="00A04585">
        <w:rPr>
          <w:rFonts w:ascii="Trebuchet MS" w:hAnsi="Trebuchet MS"/>
          <w:color w:val="000000"/>
          <w:sz w:val="24"/>
          <w:szCs w:val="24"/>
          <w:lang w:val="es-ES_tradnl" w:eastAsia="es-MX"/>
        </w:rPr>
        <w:t xml:space="preserve"> el diverso 89, párrafo 2 del Código Electoral del Estado de Jalisco, </w:t>
      </w:r>
      <w:r w:rsidR="00FF7DF4" w:rsidRPr="00A04585">
        <w:rPr>
          <w:rFonts w:ascii="Trebuchet MS" w:hAnsi="Trebuchet MS"/>
          <w:color w:val="000000"/>
          <w:sz w:val="24"/>
          <w:szCs w:val="24"/>
          <w:lang w:val="es-ES_tradnl" w:eastAsia="es-MX"/>
        </w:rPr>
        <w:t xml:space="preserve">se </w:t>
      </w:r>
      <w:r w:rsidR="00757F99" w:rsidRPr="00A04585">
        <w:rPr>
          <w:rFonts w:ascii="Trebuchet MS" w:hAnsi="Trebuchet MS"/>
          <w:color w:val="000000"/>
          <w:sz w:val="24"/>
          <w:szCs w:val="24"/>
          <w:lang w:val="es-ES_tradnl" w:eastAsia="es-MX"/>
        </w:rPr>
        <w:t>precisa</w:t>
      </w:r>
      <w:r w:rsidRPr="00A04585">
        <w:rPr>
          <w:rFonts w:ascii="Trebuchet MS" w:hAnsi="Trebuchet MS"/>
          <w:color w:val="000000"/>
          <w:sz w:val="24"/>
          <w:szCs w:val="24"/>
          <w:lang w:val="es-ES_tradnl" w:eastAsia="es-MX"/>
        </w:rPr>
        <w:t xml:space="preserve"> que los partidos políticos locales deben destinar</w:t>
      </w:r>
      <w:r w:rsidR="00C208EC"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al menos, la cantidad equivalente al </w:t>
      </w:r>
      <w:r w:rsidR="0074231A" w:rsidRPr="00242547">
        <w:rPr>
          <w:rFonts w:ascii="Trebuchet MS" w:hAnsi="Trebuchet MS"/>
          <w:color w:val="000000"/>
          <w:sz w:val="24"/>
          <w:szCs w:val="24"/>
          <w:lang w:val="es-ES_tradnl" w:eastAsia="es-MX"/>
        </w:rPr>
        <w:t>tres por ciento</w:t>
      </w:r>
      <w:r w:rsidRPr="00A04585">
        <w:rPr>
          <w:rFonts w:ascii="Trebuchet MS" w:hAnsi="Trebuchet MS"/>
          <w:color w:val="000000"/>
          <w:sz w:val="24"/>
          <w:szCs w:val="24"/>
          <w:lang w:val="es-ES_tradnl" w:eastAsia="es-MX"/>
        </w:rPr>
        <w:t xml:space="preserve"> del monto que les sea otorgado por concepto de actividades ordinarias, a la capacitación, promoción y desarrollo del lideraz</w:t>
      </w:r>
      <w:r w:rsidR="001B00A9" w:rsidRPr="00A04585">
        <w:rPr>
          <w:rFonts w:ascii="Trebuchet MS" w:hAnsi="Trebuchet MS"/>
          <w:color w:val="000000"/>
          <w:sz w:val="24"/>
          <w:szCs w:val="24"/>
          <w:lang w:val="es-ES_tradnl" w:eastAsia="es-MX"/>
        </w:rPr>
        <w:t>go político de las mujeres. La operación aritmética correspondiente, se ilustra en el cuadro que se inserta:</w:t>
      </w:r>
    </w:p>
    <w:p w14:paraId="08832FE4" w14:textId="3C1F57FD" w:rsidR="001B00A9" w:rsidRPr="00242547" w:rsidRDefault="001B00A9" w:rsidP="002E7CFF">
      <w:pPr>
        <w:pStyle w:val="Sinespaciado"/>
        <w:jc w:val="both"/>
        <w:rPr>
          <w:rFonts w:ascii="Trebuchet MS" w:hAnsi="Trebuchet MS"/>
          <w:color w:val="000000"/>
          <w:sz w:val="24"/>
          <w:szCs w:val="24"/>
          <w:lang w:val="es-ES_tradnl" w:eastAsia="es-MX"/>
        </w:rPr>
      </w:pPr>
    </w:p>
    <w:tbl>
      <w:tblPr>
        <w:tblW w:w="7427" w:type="dxa"/>
        <w:jc w:val="center"/>
        <w:tblCellMar>
          <w:left w:w="70" w:type="dxa"/>
          <w:right w:w="70" w:type="dxa"/>
        </w:tblCellMar>
        <w:tblLook w:val="04A0" w:firstRow="1" w:lastRow="0" w:firstColumn="1" w:lastColumn="0" w:noHBand="0" w:noVBand="1"/>
      </w:tblPr>
      <w:tblGrid>
        <w:gridCol w:w="3183"/>
        <w:gridCol w:w="4244"/>
      </w:tblGrid>
      <w:tr w:rsidR="00FF7DF4" w:rsidRPr="00A04585" w14:paraId="4965FB9F" w14:textId="77777777" w:rsidTr="00FF7DF4">
        <w:trPr>
          <w:trHeight w:val="343"/>
          <w:jc w:val="center"/>
        </w:trPr>
        <w:tc>
          <w:tcPr>
            <w:tcW w:w="7427" w:type="dxa"/>
            <w:gridSpan w:val="2"/>
            <w:vMerge w:val="restart"/>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F480ADC" w14:textId="77777777"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2.6 Para la capacitación, promoción y el desarrollo del Liderazgo Político de las Mujeres, cada Partido Político deberá destinar anualmente el 3% del financiamiento público ordinario. </w:t>
            </w:r>
          </w:p>
          <w:p w14:paraId="4C0726BD" w14:textId="0823A6ED"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color w:val="000000"/>
                <w:sz w:val="20"/>
                <w:szCs w:val="20"/>
                <w:lang w:eastAsia="es-MX"/>
              </w:rPr>
              <w:t>Artículo 89, párrafo 2 del CEEJ y artículo 51, párrafo 1, inciso a), fracción V de la LGPP.</w:t>
            </w:r>
          </w:p>
        </w:tc>
      </w:tr>
      <w:tr w:rsidR="00FF7DF4" w:rsidRPr="00A04585" w14:paraId="1C76EFBC" w14:textId="77777777" w:rsidTr="00FF7DF4">
        <w:trPr>
          <w:trHeight w:val="293"/>
          <w:jc w:val="center"/>
        </w:trPr>
        <w:tc>
          <w:tcPr>
            <w:tcW w:w="7427" w:type="dxa"/>
            <w:gridSpan w:val="2"/>
            <w:vMerge/>
            <w:tcBorders>
              <w:top w:val="single" w:sz="8" w:space="0" w:color="808080"/>
              <w:left w:val="single" w:sz="8" w:space="0" w:color="808080"/>
              <w:bottom w:val="single" w:sz="8" w:space="0" w:color="808080"/>
              <w:right w:val="single" w:sz="8" w:space="0" w:color="808080"/>
            </w:tcBorders>
            <w:vAlign w:val="center"/>
            <w:hideMark/>
          </w:tcPr>
          <w:p w14:paraId="6872F03B" w14:textId="77777777" w:rsidR="00FF7DF4" w:rsidRPr="00A04585" w:rsidRDefault="00FF7DF4" w:rsidP="00FF7DF4">
            <w:pPr>
              <w:jc w:val="center"/>
              <w:rPr>
                <w:rFonts w:ascii="Trebuchet MS" w:eastAsia="Times New Roman" w:hAnsi="Trebuchet MS" w:cs="Calibri Light"/>
                <w:b/>
                <w:bCs/>
                <w:color w:val="000000"/>
                <w:sz w:val="20"/>
                <w:szCs w:val="20"/>
                <w:lang w:eastAsia="es-MX"/>
              </w:rPr>
            </w:pPr>
          </w:p>
        </w:tc>
      </w:tr>
      <w:tr w:rsidR="00FF7DF4" w:rsidRPr="00A04585" w14:paraId="35B8C91A" w14:textId="77777777" w:rsidTr="00FF7DF4">
        <w:trPr>
          <w:trHeight w:val="262"/>
          <w:jc w:val="center"/>
        </w:trPr>
        <w:tc>
          <w:tcPr>
            <w:tcW w:w="3183" w:type="dxa"/>
            <w:tcBorders>
              <w:top w:val="nil"/>
              <w:left w:val="single" w:sz="8" w:space="0" w:color="808080"/>
              <w:bottom w:val="single" w:sz="4" w:space="0" w:color="808080"/>
              <w:right w:val="single" w:sz="4" w:space="0" w:color="808080"/>
            </w:tcBorders>
            <w:shd w:val="clear" w:color="auto" w:fill="auto"/>
            <w:noWrap/>
            <w:vAlign w:val="center"/>
            <w:hideMark/>
          </w:tcPr>
          <w:p w14:paraId="19D7D325" w14:textId="77777777"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4244" w:type="dxa"/>
            <w:tcBorders>
              <w:top w:val="nil"/>
              <w:left w:val="nil"/>
              <w:bottom w:val="single" w:sz="4" w:space="0" w:color="808080"/>
              <w:right w:val="single" w:sz="8" w:space="0" w:color="808080"/>
            </w:tcBorders>
            <w:shd w:val="clear" w:color="000000" w:fill="FFFFFF"/>
            <w:vAlign w:val="center"/>
            <w:hideMark/>
          </w:tcPr>
          <w:p w14:paraId="07CBEFBD" w14:textId="3567528A"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etiquetada</w:t>
            </w:r>
          </w:p>
        </w:tc>
      </w:tr>
      <w:tr w:rsidR="00FF7DF4" w:rsidRPr="00A04585" w14:paraId="267AC5E5" w14:textId="77777777" w:rsidTr="00FF7DF4">
        <w:trPr>
          <w:trHeight w:val="262"/>
          <w:jc w:val="center"/>
        </w:trPr>
        <w:tc>
          <w:tcPr>
            <w:tcW w:w="3183"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0D07C111" w14:textId="77777777"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HAGAMOS</w:t>
            </w:r>
          </w:p>
        </w:tc>
        <w:tc>
          <w:tcPr>
            <w:tcW w:w="4244" w:type="dxa"/>
            <w:tcBorders>
              <w:top w:val="single" w:sz="4" w:space="0" w:color="808080"/>
              <w:left w:val="nil"/>
              <w:bottom w:val="single" w:sz="4" w:space="0" w:color="808080"/>
              <w:right w:val="single" w:sz="8" w:space="0" w:color="808080"/>
            </w:tcBorders>
            <w:shd w:val="clear" w:color="000000" w:fill="FFFFFF"/>
            <w:vAlign w:val="center"/>
            <w:hideMark/>
          </w:tcPr>
          <w:p w14:paraId="7D865BC0" w14:textId="77777777"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$939,963.66</w:t>
            </w:r>
          </w:p>
        </w:tc>
      </w:tr>
      <w:tr w:rsidR="00FF7DF4" w:rsidRPr="00A04585" w14:paraId="47AFDF64" w14:textId="77777777" w:rsidTr="00FF7DF4">
        <w:trPr>
          <w:trHeight w:val="262"/>
          <w:jc w:val="center"/>
        </w:trPr>
        <w:tc>
          <w:tcPr>
            <w:tcW w:w="3183"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F06A075" w14:textId="77777777"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FUTURO</w:t>
            </w:r>
          </w:p>
        </w:tc>
        <w:tc>
          <w:tcPr>
            <w:tcW w:w="4244" w:type="dxa"/>
            <w:tcBorders>
              <w:top w:val="single" w:sz="4" w:space="0" w:color="808080"/>
              <w:left w:val="nil"/>
              <w:bottom w:val="single" w:sz="4" w:space="0" w:color="808080"/>
              <w:right w:val="single" w:sz="8" w:space="0" w:color="808080"/>
            </w:tcBorders>
            <w:shd w:val="clear" w:color="000000" w:fill="FFFFFF"/>
            <w:vAlign w:val="center"/>
            <w:hideMark/>
          </w:tcPr>
          <w:p w14:paraId="4C46802B" w14:textId="77777777" w:rsidR="00FF7DF4" w:rsidRPr="00A04585" w:rsidRDefault="00FF7DF4" w:rsidP="00FF7DF4">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$884,169.64</w:t>
            </w:r>
          </w:p>
        </w:tc>
      </w:tr>
      <w:tr w:rsidR="00FF7DF4" w:rsidRPr="00A04585" w14:paraId="3B1DBAD7" w14:textId="77777777" w:rsidTr="00FF7DF4">
        <w:trPr>
          <w:trHeight w:val="262"/>
          <w:jc w:val="center"/>
        </w:trPr>
        <w:tc>
          <w:tcPr>
            <w:tcW w:w="3183" w:type="dxa"/>
            <w:tcBorders>
              <w:top w:val="single" w:sz="4" w:space="0" w:color="808080"/>
              <w:left w:val="single" w:sz="8" w:space="0" w:color="808080"/>
              <w:bottom w:val="single" w:sz="8" w:space="0" w:color="808080"/>
              <w:right w:val="single" w:sz="4" w:space="0" w:color="808080"/>
            </w:tcBorders>
            <w:shd w:val="clear" w:color="000000" w:fill="EADBF5"/>
            <w:noWrap/>
            <w:vAlign w:val="center"/>
            <w:hideMark/>
          </w:tcPr>
          <w:p w14:paraId="4119DD23" w14:textId="77777777" w:rsidR="00FF7DF4" w:rsidRPr="00A04585" w:rsidRDefault="00FF7DF4" w:rsidP="00FF7DF4">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TOTAL</w:t>
            </w:r>
          </w:p>
        </w:tc>
        <w:tc>
          <w:tcPr>
            <w:tcW w:w="4244" w:type="dxa"/>
            <w:tcBorders>
              <w:top w:val="single" w:sz="4" w:space="0" w:color="808080"/>
              <w:left w:val="nil"/>
              <w:bottom w:val="single" w:sz="8" w:space="0" w:color="808080"/>
              <w:right w:val="single" w:sz="8" w:space="0" w:color="808080"/>
            </w:tcBorders>
            <w:shd w:val="clear" w:color="000000" w:fill="EADBF5"/>
            <w:vAlign w:val="center"/>
            <w:hideMark/>
          </w:tcPr>
          <w:p w14:paraId="18457171" w14:textId="77777777" w:rsidR="00FF7DF4" w:rsidRPr="00A04585" w:rsidRDefault="00FF7DF4" w:rsidP="00FF7DF4">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$1,824,133.30</w:t>
            </w:r>
          </w:p>
        </w:tc>
      </w:tr>
    </w:tbl>
    <w:p w14:paraId="197F4DD1" w14:textId="19A80C62" w:rsidR="00EE3CD3" w:rsidRPr="00242547" w:rsidRDefault="00EE3CD3" w:rsidP="002E7CFF">
      <w:pPr>
        <w:pStyle w:val="Sinespaciado"/>
        <w:jc w:val="center"/>
        <w:rPr>
          <w:rFonts w:ascii="Trebuchet MS" w:hAnsi="Trebuchet MS"/>
          <w:color w:val="000000"/>
          <w:sz w:val="24"/>
          <w:szCs w:val="24"/>
          <w:lang w:val="es-ES_tradnl" w:eastAsia="es-MX"/>
        </w:rPr>
      </w:pPr>
    </w:p>
    <w:p w14:paraId="075F01AE" w14:textId="21222EF5" w:rsidR="001B00A9" w:rsidRPr="00242547" w:rsidRDefault="001B00A9" w:rsidP="002E7CFF">
      <w:pPr>
        <w:pStyle w:val="Sinespaciado"/>
        <w:jc w:val="both"/>
        <w:rPr>
          <w:rFonts w:ascii="Trebuchet MS" w:hAnsi="Trebuchet MS"/>
          <w:color w:val="000000"/>
          <w:sz w:val="24"/>
          <w:szCs w:val="24"/>
          <w:lang w:val="es-ES_tradnl" w:eastAsia="es-MX"/>
        </w:rPr>
      </w:pPr>
    </w:p>
    <w:p w14:paraId="37702C52" w14:textId="74A25D65" w:rsidR="00EE3CD3" w:rsidRPr="00A04585" w:rsidRDefault="00EE3CD3"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Del referido total de financiamiento para actividades ordinarias, Hagamos deberá destinar al menos la cantidad de $</w:t>
      </w:r>
      <w:r w:rsidR="00FF7DF4" w:rsidRPr="00A04585">
        <w:rPr>
          <w:rFonts w:ascii="Trebuchet MS" w:hAnsi="Trebuchet MS"/>
          <w:color w:val="000000"/>
          <w:sz w:val="24"/>
          <w:szCs w:val="24"/>
          <w:lang w:val="es-ES_tradnl" w:eastAsia="es-MX"/>
        </w:rPr>
        <w:t>939,963.66</w:t>
      </w:r>
      <w:r w:rsidRPr="00A04585">
        <w:rPr>
          <w:rFonts w:ascii="Trebuchet MS" w:hAnsi="Trebuchet MS"/>
          <w:color w:val="000000"/>
          <w:sz w:val="24"/>
          <w:szCs w:val="24"/>
          <w:lang w:val="es-ES_tradnl" w:eastAsia="es-MX"/>
        </w:rPr>
        <w:t xml:space="preserve"> (</w:t>
      </w:r>
      <w:r w:rsidR="00FF7DF4" w:rsidRPr="00A04585">
        <w:rPr>
          <w:rFonts w:ascii="Trebuchet MS" w:hAnsi="Trebuchet MS"/>
          <w:color w:val="000000"/>
          <w:sz w:val="24"/>
          <w:szCs w:val="24"/>
          <w:lang w:val="es-ES_tradnl" w:eastAsia="es-MX"/>
        </w:rPr>
        <w:t>novecientos treinta nueve mil novecientos sesenta y tres pesos 66</w:t>
      </w:r>
      <w:r w:rsidRPr="00A04585">
        <w:rPr>
          <w:rFonts w:ascii="Trebuchet MS" w:hAnsi="Trebuchet MS"/>
          <w:color w:val="000000"/>
          <w:sz w:val="24"/>
          <w:szCs w:val="24"/>
          <w:lang w:val="es-ES_tradnl" w:eastAsia="es-MX"/>
        </w:rPr>
        <w:t>/100 M.N.) al propósito referido, en tanto que, Futuro está obli</w:t>
      </w:r>
      <w:r w:rsidR="00895850" w:rsidRPr="00A04585">
        <w:rPr>
          <w:rFonts w:ascii="Trebuchet MS" w:hAnsi="Trebuchet MS"/>
          <w:color w:val="000000"/>
          <w:sz w:val="24"/>
          <w:szCs w:val="24"/>
          <w:lang w:val="es-ES_tradnl" w:eastAsia="es-MX"/>
        </w:rPr>
        <w:t>gado a emplear $</w:t>
      </w:r>
      <w:r w:rsidR="00FF7DF4" w:rsidRPr="00A04585">
        <w:rPr>
          <w:rFonts w:ascii="Trebuchet MS" w:hAnsi="Trebuchet MS"/>
          <w:color w:val="000000"/>
          <w:sz w:val="24"/>
          <w:szCs w:val="24"/>
          <w:lang w:val="es-ES_tradnl" w:eastAsia="es-MX"/>
        </w:rPr>
        <w:t>884,169.64</w:t>
      </w:r>
      <w:r w:rsidRPr="00A04585">
        <w:rPr>
          <w:rFonts w:ascii="Trebuchet MS" w:hAnsi="Trebuchet MS"/>
          <w:color w:val="000000"/>
          <w:sz w:val="24"/>
          <w:szCs w:val="24"/>
          <w:lang w:val="es-ES_tradnl" w:eastAsia="es-MX"/>
        </w:rPr>
        <w:t xml:space="preserve"> (</w:t>
      </w:r>
      <w:r w:rsidR="00FF7DF4" w:rsidRPr="00A04585">
        <w:rPr>
          <w:rFonts w:ascii="Trebuchet MS" w:hAnsi="Trebuchet MS"/>
          <w:color w:val="000000"/>
          <w:sz w:val="24"/>
          <w:szCs w:val="24"/>
          <w:lang w:val="es-ES_tradnl" w:eastAsia="es-MX"/>
        </w:rPr>
        <w:t>ochocientos ochenta y cuatro mil ciento sesenta y nueve pesos 64</w:t>
      </w:r>
      <w:r w:rsidRPr="00A04585">
        <w:rPr>
          <w:rFonts w:ascii="Trebuchet MS" w:hAnsi="Trebuchet MS"/>
          <w:color w:val="000000"/>
          <w:sz w:val="24"/>
          <w:szCs w:val="24"/>
          <w:lang w:val="es-ES_tradnl" w:eastAsia="es-MX"/>
        </w:rPr>
        <w:t>/100 M.N.) para dichas actividades.</w:t>
      </w:r>
    </w:p>
    <w:p w14:paraId="1BA0FB1D" w14:textId="77777777" w:rsidR="00BA267B" w:rsidRPr="00242547" w:rsidRDefault="00BA267B" w:rsidP="002E7CFF">
      <w:pPr>
        <w:pStyle w:val="Sinespaciado"/>
        <w:jc w:val="both"/>
        <w:rPr>
          <w:rFonts w:ascii="Trebuchet MS" w:hAnsi="Trebuchet MS"/>
          <w:color w:val="000000"/>
          <w:sz w:val="24"/>
          <w:szCs w:val="24"/>
          <w:lang w:val="es-ES_tradnl" w:eastAsia="es-MX"/>
        </w:rPr>
      </w:pPr>
    </w:p>
    <w:p w14:paraId="2FF3D0EB" w14:textId="2FA00C14" w:rsidR="00502610" w:rsidRPr="00A04585" w:rsidRDefault="006578E6"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 xml:space="preserve">VI. FINANCIAMIENTO PARA ACTIVIDADES ESPECÍFICAS. </w:t>
      </w:r>
      <w:r w:rsidR="00763913" w:rsidRPr="00A04585">
        <w:rPr>
          <w:rFonts w:ascii="Trebuchet MS" w:hAnsi="Trebuchet MS"/>
          <w:color w:val="000000"/>
          <w:sz w:val="24"/>
          <w:szCs w:val="24"/>
          <w:lang w:val="es-ES_tradnl" w:eastAsia="es-MX"/>
        </w:rPr>
        <w:t xml:space="preserve">Tanto el artículo 51, párrafo 1, inciso c) de la Ley General de Partidos Políticos, como el diverso dispositivo 13, base IV, inciso c) de la Constitución Política del Estado de Jalisco, disponen </w:t>
      </w:r>
      <w:r w:rsidR="00796AA5" w:rsidRPr="00A04585">
        <w:rPr>
          <w:rFonts w:ascii="Trebuchet MS" w:hAnsi="Trebuchet MS"/>
          <w:color w:val="000000"/>
          <w:sz w:val="24"/>
          <w:szCs w:val="24"/>
          <w:lang w:val="es-ES_tradnl" w:eastAsia="es-MX"/>
        </w:rPr>
        <w:t>la</w:t>
      </w:r>
      <w:r w:rsidR="00757F99" w:rsidRPr="00A04585">
        <w:rPr>
          <w:rFonts w:ascii="Trebuchet MS" w:hAnsi="Trebuchet MS"/>
          <w:color w:val="000000"/>
          <w:sz w:val="24"/>
          <w:szCs w:val="24"/>
          <w:lang w:val="es-ES_tradnl" w:eastAsia="es-MX"/>
        </w:rPr>
        <w:t xml:space="preserve"> forma de</w:t>
      </w:r>
      <w:r w:rsidR="00796AA5" w:rsidRPr="00A04585">
        <w:rPr>
          <w:rFonts w:ascii="Trebuchet MS" w:hAnsi="Trebuchet MS"/>
          <w:color w:val="000000"/>
          <w:sz w:val="24"/>
          <w:szCs w:val="24"/>
          <w:lang w:val="es-ES_tradnl" w:eastAsia="es-MX"/>
        </w:rPr>
        <w:t xml:space="preserve"> asignación de financiamiento para el desarrollo de actividades específicas de los partidos políticos nacionales con acreditación en el Estado, </w:t>
      </w:r>
      <w:r w:rsidR="00757F99" w:rsidRPr="00A04585">
        <w:rPr>
          <w:rFonts w:ascii="Trebuchet MS" w:hAnsi="Trebuchet MS"/>
          <w:color w:val="000000"/>
          <w:sz w:val="24"/>
          <w:szCs w:val="24"/>
          <w:lang w:val="es-ES_tradnl" w:eastAsia="es-MX"/>
        </w:rPr>
        <w:t xml:space="preserve">así </w:t>
      </w:r>
      <w:r w:rsidR="00796AA5" w:rsidRPr="00A04585">
        <w:rPr>
          <w:rFonts w:ascii="Trebuchet MS" w:hAnsi="Trebuchet MS"/>
          <w:color w:val="000000"/>
          <w:sz w:val="24"/>
          <w:szCs w:val="24"/>
          <w:lang w:val="es-ES_tradnl" w:eastAsia="es-MX"/>
        </w:rPr>
        <w:t xml:space="preserve">como para los </w:t>
      </w:r>
      <w:r w:rsidR="00757F99" w:rsidRPr="00A04585">
        <w:rPr>
          <w:rFonts w:ascii="Trebuchet MS" w:hAnsi="Trebuchet MS"/>
          <w:color w:val="000000"/>
          <w:sz w:val="24"/>
          <w:szCs w:val="24"/>
          <w:lang w:val="es-ES_tradnl" w:eastAsia="es-MX"/>
        </w:rPr>
        <w:t xml:space="preserve">que cuentan con registro </w:t>
      </w:r>
      <w:r w:rsidR="00796AA5" w:rsidRPr="00A04585">
        <w:rPr>
          <w:rFonts w:ascii="Trebuchet MS" w:hAnsi="Trebuchet MS"/>
          <w:color w:val="000000"/>
          <w:sz w:val="24"/>
          <w:szCs w:val="24"/>
          <w:lang w:val="es-ES_tradnl" w:eastAsia="es-MX"/>
        </w:rPr>
        <w:t>local.</w:t>
      </w:r>
    </w:p>
    <w:p w14:paraId="7CA2AF35" w14:textId="08286EF5" w:rsidR="00796AA5" w:rsidRPr="00A04585" w:rsidRDefault="00796AA5" w:rsidP="002E7CFF">
      <w:pPr>
        <w:pStyle w:val="Sinespaciado"/>
        <w:jc w:val="both"/>
        <w:rPr>
          <w:rFonts w:ascii="Trebuchet MS" w:hAnsi="Trebuchet MS"/>
          <w:color w:val="000000"/>
          <w:sz w:val="24"/>
          <w:szCs w:val="24"/>
          <w:lang w:val="es-ES_tradnl" w:eastAsia="es-MX"/>
        </w:rPr>
      </w:pPr>
    </w:p>
    <w:p w14:paraId="1235534C" w14:textId="3CA7AB40" w:rsidR="00796AA5" w:rsidRPr="00A04585" w:rsidRDefault="00796AA5"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dichas disposiciones normativas </w:t>
      </w:r>
      <w:r w:rsidR="00D20A7F" w:rsidRPr="00A04585">
        <w:rPr>
          <w:rFonts w:ascii="Trebuchet MS" w:hAnsi="Trebuchet MS"/>
          <w:color w:val="000000"/>
          <w:sz w:val="24"/>
          <w:szCs w:val="24"/>
          <w:lang w:val="es-ES_tradnl" w:eastAsia="es-MX"/>
        </w:rPr>
        <w:t xml:space="preserve">se desprenden dos reglas fundamentales: </w:t>
      </w:r>
    </w:p>
    <w:p w14:paraId="07618408" w14:textId="13E5E0CF" w:rsidR="00D20A7F" w:rsidRPr="00A04585" w:rsidRDefault="00D20A7F" w:rsidP="002E7CFF">
      <w:pPr>
        <w:pStyle w:val="Sinespaciado"/>
        <w:numPr>
          <w:ilvl w:val="0"/>
          <w:numId w:val="8"/>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Los partidos políticos tienen derecho al financiamiento público para actividades específicas, relativas a la educación, capacitación, investigación socio</w:t>
      </w:r>
      <w:r w:rsidR="009F17CA"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económica y políti</w:t>
      </w:r>
      <w:r w:rsidR="009F17CA" w:rsidRPr="00A04585">
        <w:rPr>
          <w:rFonts w:ascii="Trebuchet MS" w:hAnsi="Trebuchet MS"/>
          <w:color w:val="000000"/>
          <w:sz w:val="24"/>
          <w:szCs w:val="24"/>
          <w:lang w:val="es-ES_tradnl" w:eastAsia="es-MX"/>
        </w:rPr>
        <w:t>ca</w:t>
      </w:r>
      <w:r w:rsidRPr="00A04585">
        <w:rPr>
          <w:rFonts w:ascii="Trebuchet MS" w:hAnsi="Trebuchet MS"/>
          <w:color w:val="000000"/>
          <w:sz w:val="24"/>
          <w:szCs w:val="24"/>
          <w:lang w:val="es-ES_tradnl" w:eastAsia="es-MX"/>
        </w:rPr>
        <w:t xml:space="preserve">, así como tareas editoriales, el cual equivaldrá al tres por ciento del monto total del financiamiento público que corresponda </w:t>
      </w:r>
      <w:r w:rsidR="00FF7DF4" w:rsidRPr="00A04585">
        <w:rPr>
          <w:rFonts w:ascii="Trebuchet MS" w:hAnsi="Trebuchet MS"/>
          <w:color w:val="000000"/>
          <w:sz w:val="24"/>
          <w:szCs w:val="24"/>
          <w:lang w:val="es-ES_tradnl" w:eastAsia="es-MX"/>
        </w:rPr>
        <w:t xml:space="preserve">a </w:t>
      </w:r>
      <w:r w:rsidRPr="00A04585">
        <w:rPr>
          <w:rFonts w:ascii="Trebuchet MS" w:hAnsi="Trebuchet MS"/>
          <w:color w:val="000000"/>
          <w:sz w:val="24"/>
          <w:szCs w:val="24"/>
          <w:lang w:val="es-ES_tradnl" w:eastAsia="es-MX"/>
        </w:rPr>
        <w:t>cada año para actividades ordinarias, y</w:t>
      </w:r>
    </w:p>
    <w:p w14:paraId="6F40E349" w14:textId="52C63C70" w:rsidR="00D20A7F" w:rsidRPr="00A04585" w:rsidRDefault="00D20A7F" w:rsidP="002E7CFF">
      <w:pPr>
        <w:pStyle w:val="Sinespaciado"/>
        <w:numPr>
          <w:ilvl w:val="0"/>
          <w:numId w:val="8"/>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El treinta por ciento de esa cantidad, será distribuido entre los partidos políticos de forma igualitaria y el setenta por ciento</w:t>
      </w:r>
      <w:r w:rsidR="009F17CA"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restante, de acuerdo con el porcentaje de votación que hubieren obtenido en la elección de diputados locales inmediata anterior.</w:t>
      </w:r>
    </w:p>
    <w:p w14:paraId="11D715CA" w14:textId="77777777" w:rsidR="00895850" w:rsidRPr="00242547" w:rsidRDefault="00895850" w:rsidP="002E7CFF">
      <w:pPr>
        <w:pStyle w:val="Sinespaciado"/>
        <w:ind w:left="720"/>
        <w:jc w:val="both"/>
        <w:rPr>
          <w:rFonts w:ascii="Trebuchet MS" w:hAnsi="Trebuchet MS"/>
          <w:color w:val="000000"/>
          <w:sz w:val="24"/>
          <w:szCs w:val="24"/>
          <w:lang w:val="es-ES_tradnl" w:eastAsia="es-MX"/>
        </w:rPr>
      </w:pPr>
    </w:p>
    <w:p w14:paraId="51B736B9" w14:textId="204E3BBA" w:rsidR="00D20A7F" w:rsidRPr="00A04585" w:rsidRDefault="00D20A7F" w:rsidP="002E7CFF">
      <w:pPr>
        <w:pStyle w:val="Sinespaciado"/>
        <w:jc w:val="both"/>
        <w:rPr>
          <w:rFonts w:ascii="Trebuchet MS" w:hAnsi="Trebuchet MS"/>
          <w:sz w:val="24"/>
          <w:szCs w:val="24"/>
          <w:lang w:val="es-ES_tradnl" w:eastAsia="es-MX"/>
        </w:rPr>
      </w:pPr>
      <w:r w:rsidRPr="00A04585">
        <w:rPr>
          <w:rFonts w:ascii="Trebuchet MS" w:hAnsi="Trebuchet MS"/>
          <w:sz w:val="24"/>
          <w:szCs w:val="24"/>
          <w:lang w:val="es-ES_tradnl" w:eastAsia="es-MX"/>
        </w:rPr>
        <w:t>A</w:t>
      </w:r>
      <w:r w:rsidR="00E0500C" w:rsidRPr="00A04585">
        <w:rPr>
          <w:rFonts w:ascii="Trebuchet MS" w:hAnsi="Trebuchet MS"/>
          <w:sz w:val="24"/>
          <w:szCs w:val="24"/>
          <w:lang w:val="es-ES_tradnl" w:eastAsia="es-MX"/>
        </w:rPr>
        <w:t>l existir en la legislación jalisciense una base para el cálculo del financiamiento que se destina al gasto ordinario de los partidos nacionales con acreditación en la entidad federativa y otra para determinar lo correspondiente a los institutos políticos estatales,</w:t>
      </w:r>
      <w:r w:rsidR="00C746B9" w:rsidRPr="00A04585">
        <w:rPr>
          <w:rFonts w:ascii="Trebuchet MS" w:hAnsi="Trebuchet MS"/>
          <w:sz w:val="24"/>
          <w:szCs w:val="24"/>
          <w:lang w:val="es-ES_tradnl" w:eastAsia="es-MX"/>
        </w:rPr>
        <w:t xml:space="preserve"> lo conducente será </w:t>
      </w:r>
      <w:r w:rsidR="00895850" w:rsidRPr="00A04585">
        <w:rPr>
          <w:rFonts w:ascii="Trebuchet MS" w:hAnsi="Trebuchet MS"/>
          <w:sz w:val="24"/>
          <w:szCs w:val="24"/>
          <w:lang w:val="es-ES_tradnl" w:eastAsia="es-MX"/>
        </w:rPr>
        <w:t xml:space="preserve">emplear </w:t>
      </w:r>
      <w:r w:rsidR="00C746B9" w:rsidRPr="00A04585">
        <w:rPr>
          <w:rFonts w:ascii="Trebuchet MS" w:hAnsi="Trebuchet MS"/>
          <w:sz w:val="24"/>
          <w:szCs w:val="24"/>
          <w:lang w:val="es-ES_tradnl" w:eastAsia="es-MX"/>
        </w:rPr>
        <w:t>la misma lógica tratándose</w:t>
      </w:r>
      <w:r w:rsidR="00FF22FC" w:rsidRPr="00A04585">
        <w:rPr>
          <w:rFonts w:ascii="Trebuchet MS" w:hAnsi="Trebuchet MS"/>
          <w:sz w:val="24"/>
          <w:szCs w:val="24"/>
          <w:lang w:val="es-ES_tradnl" w:eastAsia="es-MX"/>
        </w:rPr>
        <w:t xml:space="preserve"> de actividades específicas, esto es, </w:t>
      </w:r>
      <w:r w:rsidR="00C746B9" w:rsidRPr="00A04585">
        <w:rPr>
          <w:rFonts w:ascii="Trebuchet MS" w:hAnsi="Trebuchet MS"/>
          <w:sz w:val="24"/>
          <w:szCs w:val="24"/>
          <w:lang w:val="es-ES_tradnl" w:eastAsia="es-MX"/>
        </w:rPr>
        <w:t>debe fijarse una cantidad para repartir entre los partidos nacionales y otra entre los locales.</w:t>
      </w:r>
    </w:p>
    <w:p w14:paraId="6CBEA121" w14:textId="68385291" w:rsidR="00C746B9" w:rsidRPr="00A04585" w:rsidRDefault="00C746B9" w:rsidP="002E7CFF">
      <w:pPr>
        <w:pStyle w:val="Sinespaciado"/>
        <w:jc w:val="both"/>
        <w:rPr>
          <w:rFonts w:ascii="Trebuchet MS" w:hAnsi="Trebuchet MS"/>
          <w:color w:val="000000"/>
          <w:sz w:val="24"/>
          <w:szCs w:val="24"/>
          <w:lang w:val="es-ES_tradnl" w:eastAsia="es-MX"/>
        </w:rPr>
      </w:pPr>
    </w:p>
    <w:p w14:paraId="74561D3E" w14:textId="52255A79" w:rsidR="00FF22FC" w:rsidRPr="00A04585" w:rsidRDefault="00FF22F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Dado que el financiamiento de actividades específicas, se calcula </w:t>
      </w:r>
      <w:r w:rsidR="009F17CA" w:rsidRPr="00A04585">
        <w:rPr>
          <w:rFonts w:ascii="Trebuchet MS" w:hAnsi="Trebuchet MS"/>
          <w:color w:val="000000"/>
          <w:sz w:val="24"/>
          <w:szCs w:val="24"/>
          <w:lang w:val="es-ES_tradnl" w:eastAsia="es-MX"/>
        </w:rPr>
        <w:t xml:space="preserve">a partir del </w:t>
      </w:r>
      <w:r w:rsidRPr="00A04585">
        <w:rPr>
          <w:rFonts w:ascii="Trebuchet MS" w:hAnsi="Trebuchet MS"/>
          <w:color w:val="000000"/>
          <w:sz w:val="24"/>
          <w:szCs w:val="24"/>
          <w:lang w:val="es-ES_tradnl" w:eastAsia="es-MX"/>
        </w:rPr>
        <w:t xml:space="preserve">correspondiente </w:t>
      </w:r>
      <w:r w:rsidR="00AB641D" w:rsidRPr="00A04585">
        <w:rPr>
          <w:rFonts w:ascii="Trebuchet MS" w:hAnsi="Trebuchet MS"/>
          <w:color w:val="000000"/>
          <w:sz w:val="24"/>
          <w:szCs w:val="24"/>
          <w:lang w:val="es-ES_tradnl" w:eastAsia="es-MX"/>
        </w:rPr>
        <w:t>a las</w:t>
      </w:r>
      <w:r w:rsidRPr="00A04585">
        <w:rPr>
          <w:rFonts w:ascii="Trebuchet MS" w:hAnsi="Trebuchet MS"/>
          <w:color w:val="000000"/>
          <w:sz w:val="24"/>
          <w:szCs w:val="24"/>
          <w:lang w:val="es-ES_tradnl" w:eastAsia="es-MX"/>
        </w:rPr>
        <w:t xml:space="preserve"> ordinarias, ya que el primero </w:t>
      </w:r>
      <w:r w:rsidR="009F17CA" w:rsidRPr="00A04585">
        <w:rPr>
          <w:rFonts w:ascii="Trebuchet MS" w:hAnsi="Trebuchet MS"/>
          <w:color w:val="000000"/>
          <w:sz w:val="24"/>
          <w:szCs w:val="24"/>
          <w:lang w:val="es-ES_tradnl" w:eastAsia="es-MX"/>
        </w:rPr>
        <w:t>es un equivalente a una parte proporcional</w:t>
      </w:r>
      <w:r w:rsidRPr="00A04585">
        <w:rPr>
          <w:rFonts w:ascii="Trebuchet MS" w:hAnsi="Trebuchet MS"/>
          <w:color w:val="000000"/>
          <w:sz w:val="24"/>
          <w:szCs w:val="24"/>
          <w:lang w:val="es-ES_tradnl" w:eastAsia="es-MX"/>
        </w:rPr>
        <w:t xml:space="preserve"> del segundo, también en esta parte de la asignación, los recursos habrán de distribuirse a partir de una bolsa para los partidos nacionales y otra para los que cuentan con registro estatal.</w:t>
      </w:r>
    </w:p>
    <w:p w14:paraId="1C3B0E4E" w14:textId="77777777" w:rsidR="00FF22FC" w:rsidRPr="00242547" w:rsidRDefault="00FF22FC" w:rsidP="002E7CFF">
      <w:pPr>
        <w:pStyle w:val="Sinespaciado"/>
        <w:jc w:val="both"/>
        <w:rPr>
          <w:rFonts w:ascii="Trebuchet MS" w:hAnsi="Trebuchet MS"/>
          <w:color w:val="000000"/>
          <w:sz w:val="24"/>
          <w:szCs w:val="24"/>
          <w:lang w:val="es-ES_tradnl" w:eastAsia="es-MX"/>
        </w:rPr>
      </w:pPr>
    </w:p>
    <w:p w14:paraId="49E0960B" w14:textId="1FEFB6B8" w:rsidR="00FF22FC" w:rsidRPr="00A04585" w:rsidRDefault="00FF22F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relación con ello, es importante recalcar que ambas bolsas se distribuyen con idénticos parámetros que las relativas al financiamiento para actividades ordinarias, lo cual se traduce en que el </w:t>
      </w:r>
      <w:r w:rsidR="0074231A"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se repartirá de forma igualitaria y el restante </w:t>
      </w:r>
      <w:r w:rsidR="0074231A" w:rsidRPr="00242547">
        <w:rPr>
          <w:rFonts w:ascii="Trebuchet MS" w:hAnsi="Trebuchet MS"/>
          <w:color w:val="000000"/>
          <w:sz w:val="24"/>
          <w:szCs w:val="24"/>
          <w:lang w:val="es-ES_tradnl" w:eastAsia="es-MX"/>
        </w:rPr>
        <w:t>setenta por ciento</w:t>
      </w:r>
      <w:r w:rsidRPr="00A04585">
        <w:rPr>
          <w:rFonts w:ascii="Trebuchet MS" w:hAnsi="Trebuchet MS"/>
          <w:color w:val="000000"/>
          <w:sz w:val="24"/>
          <w:szCs w:val="24"/>
          <w:lang w:val="es-ES_tradnl" w:eastAsia="es-MX"/>
        </w:rPr>
        <w:t xml:space="preserve"> de cada bolsa, conforme al porcentaje de votación obtenido por cada partido político </w:t>
      </w:r>
      <w:r w:rsidR="00E3467E" w:rsidRPr="00A04585">
        <w:rPr>
          <w:rFonts w:ascii="Trebuchet MS" w:hAnsi="Trebuchet MS"/>
          <w:color w:val="000000"/>
          <w:sz w:val="24"/>
          <w:szCs w:val="24"/>
          <w:lang w:val="es-ES_tradnl" w:eastAsia="es-MX"/>
        </w:rPr>
        <w:t xml:space="preserve">en </w:t>
      </w:r>
      <w:r w:rsidRPr="00A04585">
        <w:rPr>
          <w:rFonts w:ascii="Trebuchet MS" w:hAnsi="Trebuchet MS"/>
          <w:color w:val="000000"/>
          <w:sz w:val="24"/>
          <w:szCs w:val="24"/>
          <w:lang w:val="es-ES_tradnl" w:eastAsia="es-MX"/>
        </w:rPr>
        <w:t>la última elección de diputaciones locales.</w:t>
      </w:r>
    </w:p>
    <w:p w14:paraId="1CDDB93B" w14:textId="1A17BD2A" w:rsidR="00FF22FC" w:rsidRPr="00A04585" w:rsidRDefault="00FF22FC" w:rsidP="002E7CFF">
      <w:pPr>
        <w:pStyle w:val="Sinespaciado"/>
        <w:jc w:val="both"/>
        <w:rPr>
          <w:rFonts w:ascii="Trebuchet MS" w:hAnsi="Trebuchet MS"/>
          <w:color w:val="000000"/>
          <w:sz w:val="24"/>
          <w:szCs w:val="24"/>
          <w:lang w:val="es-ES_tradnl" w:eastAsia="es-MX"/>
        </w:rPr>
      </w:pPr>
    </w:p>
    <w:p w14:paraId="1BC0B2C0" w14:textId="40E45C23" w:rsidR="00FF22FC" w:rsidRPr="00A04585" w:rsidRDefault="00FF22F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Al respecto</w:t>
      </w:r>
      <w:r w:rsidR="00E3467E"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la distribución de ambas partes del financiamiento para actividades específicas, debe realizarse conforme a los razonamientos expresados en relación con el financiamiento ordinario, pues se trata de fórmulas que tienen una construcción idéntica y, por tanto, lo conducente será seguir el mismo método para distribuir el financiamiento para actividades específicas</w:t>
      </w:r>
      <w:r w:rsidR="00E3467E" w:rsidRPr="00A04585">
        <w:rPr>
          <w:rFonts w:ascii="Trebuchet MS" w:hAnsi="Trebuchet MS"/>
          <w:color w:val="000000"/>
          <w:sz w:val="24"/>
          <w:szCs w:val="24"/>
          <w:lang w:val="es-ES_tradnl" w:eastAsia="es-MX"/>
        </w:rPr>
        <w:t xml:space="preserve"> en aplicación d</w:t>
      </w:r>
      <w:r w:rsidRPr="00A04585">
        <w:rPr>
          <w:rFonts w:ascii="Trebuchet MS" w:hAnsi="Trebuchet MS"/>
          <w:color w:val="000000"/>
          <w:sz w:val="24"/>
          <w:szCs w:val="24"/>
          <w:lang w:val="es-ES_tradnl" w:eastAsia="es-MX"/>
        </w:rPr>
        <w:t xml:space="preserve">el principio </w:t>
      </w:r>
      <w:r w:rsidR="00E3467E" w:rsidRPr="00A04585">
        <w:rPr>
          <w:rFonts w:ascii="Trebuchet MS" w:hAnsi="Trebuchet MS"/>
          <w:color w:val="000000"/>
          <w:sz w:val="24"/>
          <w:szCs w:val="24"/>
          <w:lang w:val="es-ES_tradnl" w:eastAsia="es-MX"/>
        </w:rPr>
        <w:t xml:space="preserve">jurídico </w:t>
      </w:r>
      <w:r w:rsidRPr="00A04585">
        <w:rPr>
          <w:rFonts w:ascii="Trebuchet MS" w:hAnsi="Trebuchet MS"/>
          <w:color w:val="000000"/>
          <w:sz w:val="24"/>
          <w:szCs w:val="24"/>
          <w:lang w:val="es-ES_tradnl" w:eastAsia="es-MX"/>
        </w:rPr>
        <w:t>que establece</w:t>
      </w:r>
      <w:r w:rsidR="00E3467E"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w:t>
      </w:r>
      <w:r w:rsidRPr="00A04585">
        <w:rPr>
          <w:rFonts w:ascii="Trebuchet MS" w:hAnsi="Trebuchet MS"/>
          <w:i/>
          <w:iCs/>
          <w:color w:val="000000"/>
          <w:sz w:val="24"/>
          <w:szCs w:val="24"/>
          <w:lang w:val="es-ES_tradnl" w:eastAsia="es-MX"/>
        </w:rPr>
        <w:t>donde existe la misma razón debe regir igual disposición</w:t>
      </w:r>
      <w:r w:rsidR="00982996" w:rsidRPr="00A04585">
        <w:rPr>
          <w:rFonts w:ascii="Trebuchet MS" w:hAnsi="Trebuchet MS"/>
          <w:color w:val="000000"/>
          <w:sz w:val="24"/>
          <w:szCs w:val="24"/>
          <w:lang w:val="es-ES_tradnl" w:eastAsia="es-MX"/>
        </w:rPr>
        <w:t>, pues ante el escenarios idénticos no existe justificación para un trato diferenciado.</w:t>
      </w:r>
    </w:p>
    <w:p w14:paraId="55448751" w14:textId="77777777" w:rsidR="00FF22FC" w:rsidRPr="00A04585" w:rsidRDefault="00FF22FC" w:rsidP="002E7CFF">
      <w:pPr>
        <w:pStyle w:val="Sinespaciado"/>
        <w:jc w:val="both"/>
        <w:rPr>
          <w:rFonts w:ascii="Trebuchet MS" w:hAnsi="Trebuchet MS"/>
          <w:color w:val="000000"/>
          <w:sz w:val="24"/>
          <w:szCs w:val="24"/>
          <w:lang w:val="es-ES_tradnl" w:eastAsia="es-MX"/>
        </w:rPr>
      </w:pPr>
    </w:p>
    <w:p w14:paraId="4108233D" w14:textId="15DE4AA6" w:rsidR="00FF22FC" w:rsidRPr="00A04585" w:rsidRDefault="00FF22FC"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Por tanto, la distribución del financiamiento de actividades específicas, </w:t>
      </w:r>
      <w:r w:rsidR="00420DE8" w:rsidRPr="00A04585">
        <w:rPr>
          <w:rFonts w:ascii="Trebuchet MS" w:hAnsi="Trebuchet MS"/>
          <w:color w:val="000000"/>
          <w:sz w:val="24"/>
          <w:szCs w:val="24"/>
          <w:lang w:val="es-ES_tradnl" w:eastAsia="es-MX"/>
        </w:rPr>
        <w:t xml:space="preserve">está sujeta a </w:t>
      </w:r>
      <w:r w:rsidRPr="00A04585">
        <w:rPr>
          <w:rFonts w:ascii="Trebuchet MS" w:hAnsi="Trebuchet MS"/>
          <w:color w:val="000000"/>
          <w:sz w:val="24"/>
          <w:szCs w:val="24"/>
          <w:lang w:val="es-ES_tradnl" w:eastAsia="es-MX"/>
        </w:rPr>
        <w:t>los siguientes parámetros.</w:t>
      </w:r>
    </w:p>
    <w:p w14:paraId="4844B868" w14:textId="77777777" w:rsidR="00FF22FC" w:rsidRPr="00A04585" w:rsidRDefault="00FF22FC" w:rsidP="002E7CFF">
      <w:pPr>
        <w:pStyle w:val="Sinespaciado"/>
        <w:jc w:val="both"/>
        <w:rPr>
          <w:rFonts w:ascii="Trebuchet MS" w:hAnsi="Trebuchet MS"/>
          <w:color w:val="000000"/>
          <w:sz w:val="24"/>
          <w:szCs w:val="24"/>
          <w:lang w:val="es-ES_tradnl" w:eastAsia="es-MX"/>
        </w:rPr>
      </w:pPr>
    </w:p>
    <w:p w14:paraId="6FED42DA" w14:textId="73568A54" w:rsidR="00FF22FC" w:rsidRPr="00A04585" w:rsidRDefault="00FF22FC" w:rsidP="002E7CFF">
      <w:pPr>
        <w:pStyle w:val="Sinespaciado"/>
        <w:numPr>
          <w:ilvl w:val="0"/>
          <w:numId w:val="10"/>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Hay que realizar un cálculo diferenciado del monto máximo a repartir entre partidos nacionales y locales.</w:t>
      </w:r>
    </w:p>
    <w:p w14:paraId="218E8379" w14:textId="0D7C97CC" w:rsidR="00FF22FC" w:rsidRPr="00A04585" w:rsidRDefault="00FF22FC" w:rsidP="002E7CFF">
      <w:pPr>
        <w:pStyle w:val="Sinespaciado"/>
        <w:numPr>
          <w:ilvl w:val="0"/>
          <w:numId w:val="10"/>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El resultado de ese cálculo da como resultado un monto de dinero a distribuir entre unos y otros, como si se tratara de dos bolsas de recursos.</w:t>
      </w:r>
    </w:p>
    <w:p w14:paraId="519CF555" w14:textId="3008A53F" w:rsidR="00FF22FC" w:rsidRPr="00A04585" w:rsidRDefault="00D329E1" w:rsidP="002E7CFF">
      <w:pPr>
        <w:pStyle w:val="Sinespaciado"/>
        <w:numPr>
          <w:ilvl w:val="0"/>
          <w:numId w:val="10"/>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La parte igualitaria de cada bolsa (el equivalente al 30%), debe dividirse entre la cantidad total de partidos que tienen derecho a financiamiento.</w:t>
      </w:r>
    </w:p>
    <w:p w14:paraId="00434708" w14:textId="226A2463" w:rsidR="00D329E1" w:rsidRPr="00A04585" w:rsidRDefault="00D329E1" w:rsidP="002E7CFF">
      <w:pPr>
        <w:pStyle w:val="Sinespaciado"/>
        <w:numPr>
          <w:ilvl w:val="0"/>
          <w:numId w:val="10"/>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La porción que a cada partido se asigne de la parte igualitaria de la bolsa debe ser igual en porcentaje, </w:t>
      </w:r>
      <w:r w:rsidR="00ED16F2" w:rsidRPr="00A04585">
        <w:rPr>
          <w:rFonts w:ascii="Trebuchet MS" w:hAnsi="Trebuchet MS"/>
          <w:color w:val="000000"/>
          <w:sz w:val="24"/>
          <w:szCs w:val="24"/>
          <w:lang w:val="es-ES_tradnl" w:eastAsia="es-MX"/>
        </w:rPr>
        <w:t>sin embargo,</w:t>
      </w:r>
      <w:r w:rsidRPr="00A04585">
        <w:rPr>
          <w:rFonts w:ascii="Trebuchet MS" w:hAnsi="Trebuchet MS"/>
          <w:color w:val="000000"/>
          <w:sz w:val="24"/>
          <w:szCs w:val="24"/>
          <w:lang w:val="es-ES_tradnl" w:eastAsia="es-MX"/>
        </w:rPr>
        <w:t xml:space="preserve"> a cada uno se le otorgará la fracción de financiamiento calculada conforme a la bolsa en que tenga derecho a participar.</w:t>
      </w:r>
    </w:p>
    <w:p w14:paraId="52D3B48F" w14:textId="7ED9470E" w:rsidR="00D329E1" w:rsidRPr="00A04585" w:rsidRDefault="00D329E1" w:rsidP="002E7CFF">
      <w:pPr>
        <w:pStyle w:val="Sinespaciado"/>
        <w:numPr>
          <w:ilvl w:val="0"/>
          <w:numId w:val="10"/>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 los partidos nacionales se les asignará la parte que corresponda de la bolsa destinada para ellos y</w:t>
      </w:r>
      <w:r w:rsidR="00AB641D"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a los locales del monto </w:t>
      </w:r>
      <w:r w:rsidR="00970698" w:rsidRPr="00A04585">
        <w:rPr>
          <w:rFonts w:ascii="Trebuchet MS" w:hAnsi="Trebuchet MS"/>
          <w:color w:val="000000"/>
          <w:sz w:val="24"/>
          <w:szCs w:val="24"/>
          <w:lang w:val="es-ES_tradnl" w:eastAsia="es-MX"/>
        </w:rPr>
        <w:t xml:space="preserve">correspondiente </w:t>
      </w:r>
      <w:r w:rsidRPr="00A04585">
        <w:rPr>
          <w:rFonts w:ascii="Trebuchet MS" w:hAnsi="Trebuchet MS"/>
          <w:color w:val="000000"/>
          <w:sz w:val="24"/>
          <w:szCs w:val="24"/>
          <w:lang w:val="es-ES_tradnl" w:eastAsia="es-MX"/>
        </w:rPr>
        <w:t xml:space="preserve">a </w:t>
      </w:r>
      <w:r w:rsidR="00AB641D" w:rsidRPr="00A04585">
        <w:rPr>
          <w:rFonts w:ascii="Trebuchet MS" w:hAnsi="Trebuchet MS"/>
          <w:color w:val="000000"/>
          <w:sz w:val="24"/>
          <w:szCs w:val="24"/>
          <w:lang w:val="es-ES_tradnl" w:eastAsia="es-MX"/>
        </w:rPr>
        <w:t>ellos</w:t>
      </w:r>
      <w:r w:rsidRPr="00A04585">
        <w:rPr>
          <w:rFonts w:ascii="Trebuchet MS" w:hAnsi="Trebuchet MS"/>
          <w:color w:val="000000"/>
          <w:sz w:val="24"/>
          <w:szCs w:val="24"/>
          <w:lang w:val="es-ES_tradnl" w:eastAsia="es-MX"/>
        </w:rPr>
        <w:t xml:space="preserve">, de forma que en la bolsa nacional quedarán sin asignar las fracciones correspondientes los partidos locales y en la </w:t>
      </w:r>
      <w:r w:rsidR="00AB641D" w:rsidRPr="00A04585">
        <w:rPr>
          <w:rFonts w:ascii="Trebuchet MS" w:hAnsi="Trebuchet MS"/>
          <w:color w:val="000000"/>
          <w:sz w:val="24"/>
          <w:szCs w:val="24"/>
          <w:lang w:val="es-ES_tradnl" w:eastAsia="es-MX"/>
        </w:rPr>
        <w:t>relativa</w:t>
      </w:r>
      <w:r w:rsidRPr="00A04585">
        <w:rPr>
          <w:rFonts w:ascii="Trebuchet MS" w:hAnsi="Trebuchet MS"/>
          <w:color w:val="000000"/>
          <w:sz w:val="24"/>
          <w:szCs w:val="24"/>
          <w:lang w:val="es-ES_tradnl" w:eastAsia="es-MX"/>
        </w:rPr>
        <w:t xml:space="preserve"> a estos sucederá igual con las porciones equivalentes a la cantidad de partidos nacionales.</w:t>
      </w:r>
    </w:p>
    <w:p w14:paraId="16D1220C" w14:textId="0BCEF470" w:rsidR="00D329E1" w:rsidRPr="00A04585" w:rsidRDefault="00D329E1" w:rsidP="002E7CFF">
      <w:pPr>
        <w:pStyle w:val="Sinespaciado"/>
        <w:numPr>
          <w:ilvl w:val="0"/>
          <w:numId w:val="10"/>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La parte de cada bolsa que corresponda a la distribución proporcional (70%) será repartida conforme al porcentaje de votación obtenida por cada partido político con derecho al financiamiento</w:t>
      </w:r>
      <w:r w:rsidR="00164398" w:rsidRPr="00A04585">
        <w:rPr>
          <w:rFonts w:ascii="Trebuchet MS" w:hAnsi="Trebuchet MS"/>
          <w:color w:val="000000"/>
          <w:sz w:val="24"/>
          <w:szCs w:val="24"/>
          <w:lang w:val="es-ES_tradnl" w:eastAsia="es-MX"/>
        </w:rPr>
        <w:t>, respecto al total de los votos de los partidos participantes en la elección de diputaciones de mayoría relativa.</w:t>
      </w:r>
    </w:p>
    <w:p w14:paraId="40A932A5" w14:textId="43E2F9C3" w:rsidR="00FF22FC" w:rsidRPr="00A04585" w:rsidRDefault="00D329E1" w:rsidP="002E7CFF">
      <w:pPr>
        <w:pStyle w:val="Sinespaciado"/>
        <w:numPr>
          <w:ilvl w:val="0"/>
          <w:numId w:val="10"/>
        </w:numPr>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 cada partido se le asignar</w:t>
      </w:r>
      <w:r w:rsidR="00AB641D" w:rsidRPr="00A04585">
        <w:rPr>
          <w:rFonts w:ascii="Trebuchet MS" w:hAnsi="Trebuchet MS"/>
          <w:color w:val="000000"/>
          <w:sz w:val="24"/>
          <w:szCs w:val="24"/>
          <w:lang w:val="es-ES_tradnl" w:eastAsia="es-MX"/>
        </w:rPr>
        <w:t>á el financiamiento de la</w:t>
      </w:r>
      <w:r w:rsidRPr="00A04585">
        <w:rPr>
          <w:rFonts w:ascii="Trebuchet MS" w:hAnsi="Trebuchet MS"/>
          <w:color w:val="000000"/>
          <w:sz w:val="24"/>
          <w:szCs w:val="24"/>
          <w:lang w:val="es-ES_tradnl" w:eastAsia="es-MX"/>
        </w:rPr>
        <w:t xml:space="preserve"> parte </w:t>
      </w:r>
      <w:r w:rsidR="00AB641D" w:rsidRPr="00A04585">
        <w:rPr>
          <w:rFonts w:ascii="Trebuchet MS" w:hAnsi="Trebuchet MS"/>
          <w:color w:val="000000"/>
          <w:sz w:val="24"/>
          <w:szCs w:val="24"/>
          <w:lang w:val="es-ES_tradnl" w:eastAsia="es-MX"/>
        </w:rPr>
        <w:t xml:space="preserve">proporcional </w:t>
      </w:r>
      <w:r w:rsidRPr="00A04585">
        <w:rPr>
          <w:rFonts w:ascii="Trebuchet MS" w:hAnsi="Trebuchet MS"/>
          <w:color w:val="000000"/>
          <w:sz w:val="24"/>
          <w:szCs w:val="24"/>
          <w:lang w:val="es-ES_tradnl" w:eastAsia="es-MX"/>
        </w:rPr>
        <w:t>de la bolsa respectiva</w:t>
      </w:r>
      <w:r w:rsidR="00AB641D" w:rsidRPr="00A04585">
        <w:rPr>
          <w:rFonts w:ascii="Trebuchet MS" w:hAnsi="Trebuchet MS"/>
          <w:color w:val="000000"/>
          <w:sz w:val="24"/>
          <w:szCs w:val="24"/>
          <w:lang w:val="es-ES_tradnl" w:eastAsia="es-MX"/>
        </w:rPr>
        <w:t xml:space="preserve"> conforme a la su votación válida obtenida</w:t>
      </w:r>
      <w:r w:rsidRPr="00A04585">
        <w:rPr>
          <w:rFonts w:ascii="Trebuchet MS" w:hAnsi="Trebuchet MS"/>
          <w:color w:val="000000"/>
          <w:sz w:val="24"/>
          <w:szCs w:val="24"/>
          <w:lang w:val="es-ES_tradnl" w:eastAsia="es-MX"/>
        </w:rPr>
        <w:t xml:space="preserve">, para lo cual quedará sin asignar en la bolsa nacional lo correspondiente al porcentaje de la votación de los partidos locales y </w:t>
      </w:r>
      <w:r w:rsidR="00164398" w:rsidRPr="00A04585">
        <w:rPr>
          <w:rFonts w:ascii="Trebuchet MS" w:hAnsi="Trebuchet MS"/>
          <w:color w:val="000000"/>
          <w:sz w:val="24"/>
          <w:szCs w:val="24"/>
          <w:lang w:val="es-ES_tradnl" w:eastAsia="es-MX"/>
        </w:rPr>
        <w:t xml:space="preserve">el </w:t>
      </w:r>
      <w:r w:rsidR="00AB641D" w:rsidRPr="00A04585">
        <w:rPr>
          <w:rFonts w:ascii="Trebuchet MS" w:hAnsi="Trebuchet MS"/>
          <w:color w:val="000000"/>
          <w:sz w:val="24"/>
          <w:szCs w:val="24"/>
          <w:lang w:val="es-ES_tradnl" w:eastAsia="es-MX"/>
        </w:rPr>
        <w:t>relativo</w:t>
      </w:r>
      <w:r w:rsidRPr="00A04585">
        <w:rPr>
          <w:rFonts w:ascii="Trebuchet MS" w:hAnsi="Trebuchet MS"/>
          <w:color w:val="000000"/>
          <w:sz w:val="24"/>
          <w:szCs w:val="24"/>
          <w:lang w:val="es-ES_tradnl" w:eastAsia="es-MX"/>
        </w:rPr>
        <w:t xml:space="preserve"> a estos últimos no ser</w:t>
      </w:r>
      <w:r w:rsidR="00AB641D" w:rsidRPr="00A04585">
        <w:rPr>
          <w:rFonts w:ascii="Trebuchet MS" w:hAnsi="Trebuchet MS"/>
          <w:color w:val="000000"/>
          <w:sz w:val="24"/>
          <w:szCs w:val="24"/>
          <w:lang w:val="es-ES_tradnl" w:eastAsia="es-MX"/>
        </w:rPr>
        <w:t xml:space="preserve">á distribuido </w:t>
      </w:r>
      <w:r w:rsidR="00164398" w:rsidRPr="00A04585">
        <w:rPr>
          <w:rFonts w:ascii="Trebuchet MS" w:hAnsi="Trebuchet MS"/>
          <w:color w:val="000000"/>
          <w:sz w:val="24"/>
          <w:szCs w:val="24"/>
          <w:lang w:val="es-ES_tradnl" w:eastAsia="es-MX"/>
        </w:rPr>
        <w:t>respecto de la parte proporcional de la bolsa de los partidos políticos nacionales.</w:t>
      </w:r>
    </w:p>
    <w:p w14:paraId="699477B7" w14:textId="77777777" w:rsidR="00164398" w:rsidRPr="00242547" w:rsidRDefault="00164398" w:rsidP="002E7CFF">
      <w:pPr>
        <w:pStyle w:val="Sinespaciado"/>
        <w:ind w:left="720"/>
        <w:jc w:val="both"/>
        <w:rPr>
          <w:rFonts w:ascii="Trebuchet MS" w:hAnsi="Trebuchet MS"/>
          <w:color w:val="000000"/>
          <w:sz w:val="24"/>
          <w:szCs w:val="24"/>
          <w:lang w:val="es-ES_tradnl" w:eastAsia="es-MX"/>
        </w:rPr>
      </w:pPr>
    </w:p>
    <w:p w14:paraId="123B4C79" w14:textId="29D2669D" w:rsidR="007474EA" w:rsidRPr="00A04585" w:rsidRDefault="00C746B9"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La </w:t>
      </w:r>
      <w:r w:rsidR="00895850" w:rsidRPr="00A04585">
        <w:rPr>
          <w:rFonts w:ascii="Trebuchet MS" w:hAnsi="Trebuchet MS"/>
          <w:color w:val="000000"/>
          <w:sz w:val="24"/>
          <w:szCs w:val="24"/>
          <w:lang w:val="es-ES_tradnl" w:eastAsia="es-MX"/>
        </w:rPr>
        <w:t xml:space="preserve">distribución </w:t>
      </w:r>
      <w:r w:rsidRPr="00A04585">
        <w:rPr>
          <w:rFonts w:ascii="Trebuchet MS" w:hAnsi="Trebuchet MS"/>
          <w:color w:val="000000"/>
          <w:sz w:val="24"/>
          <w:szCs w:val="24"/>
          <w:lang w:val="es-ES_tradnl" w:eastAsia="es-MX"/>
        </w:rPr>
        <w:t>de esos importes</w:t>
      </w:r>
      <w:r w:rsidR="00FF22FC" w:rsidRPr="00A04585">
        <w:rPr>
          <w:rFonts w:ascii="Trebuchet MS" w:hAnsi="Trebuchet MS"/>
          <w:color w:val="000000"/>
          <w:sz w:val="24"/>
          <w:szCs w:val="24"/>
          <w:lang w:val="es-ES_tradnl" w:eastAsia="es-MX"/>
        </w:rPr>
        <w:t xml:space="preserve">, es decir, </w:t>
      </w:r>
      <w:r w:rsidR="00D329E1" w:rsidRPr="00A04585">
        <w:rPr>
          <w:rFonts w:ascii="Trebuchet MS" w:hAnsi="Trebuchet MS"/>
          <w:color w:val="000000"/>
          <w:sz w:val="24"/>
          <w:szCs w:val="24"/>
          <w:lang w:val="es-ES_tradnl" w:eastAsia="es-MX"/>
        </w:rPr>
        <w:t xml:space="preserve">tanto </w:t>
      </w:r>
      <w:r w:rsidR="00AB641D" w:rsidRPr="00A04585">
        <w:rPr>
          <w:rFonts w:ascii="Trebuchet MS" w:hAnsi="Trebuchet MS"/>
          <w:color w:val="000000"/>
          <w:sz w:val="24"/>
          <w:szCs w:val="24"/>
          <w:lang w:val="es-ES_tradnl" w:eastAsia="es-MX"/>
        </w:rPr>
        <w:t xml:space="preserve">el </w:t>
      </w:r>
      <w:r w:rsidR="00D329E1" w:rsidRPr="00A04585">
        <w:rPr>
          <w:rFonts w:ascii="Trebuchet MS" w:hAnsi="Trebuchet MS"/>
          <w:color w:val="000000"/>
          <w:sz w:val="24"/>
          <w:szCs w:val="24"/>
          <w:lang w:val="es-ES_tradnl" w:eastAsia="es-MX"/>
        </w:rPr>
        <w:t xml:space="preserve">de la parte igualitaria, como </w:t>
      </w:r>
      <w:r w:rsidR="00AB641D" w:rsidRPr="00A04585">
        <w:rPr>
          <w:rFonts w:ascii="Trebuchet MS" w:hAnsi="Trebuchet MS"/>
          <w:color w:val="000000"/>
          <w:sz w:val="24"/>
          <w:szCs w:val="24"/>
          <w:lang w:val="es-ES_tradnl" w:eastAsia="es-MX"/>
        </w:rPr>
        <w:t xml:space="preserve">el </w:t>
      </w:r>
      <w:r w:rsidR="00D329E1" w:rsidRPr="00A04585">
        <w:rPr>
          <w:rFonts w:ascii="Trebuchet MS" w:hAnsi="Trebuchet MS"/>
          <w:color w:val="000000"/>
          <w:sz w:val="24"/>
          <w:szCs w:val="24"/>
          <w:lang w:val="es-ES_tradnl" w:eastAsia="es-MX"/>
        </w:rPr>
        <w:t xml:space="preserve">de la fracción proporcional </w:t>
      </w:r>
      <w:r w:rsidR="00AE1293" w:rsidRPr="00A04585">
        <w:rPr>
          <w:rFonts w:ascii="Trebuchet MS" w:hAnsi="Trebuchet MS"/>
          <w:color w:val="000000"/>
          <w:sz w:val="24"/>
          <w:szCs w:val="24"/>
          <w:lang w:val="es-ES_tradnl" w:eastAsia="es-MX"/>
        </w:rPr>
        <w:t xml:space="preserve">a la votación </w:t>
      </w:r>
      <w:r w:rsidR="00D329E1" w:rsidRPr="00A04585">
        <w:rPr>
          <w:rFonts w:ascii="Trebuchet MS" w:hAnsi="Trebuchet MS"/>
          <w:color w:val="000000"/>
          <w:sz w:val="24"/>
          <w:szCs w:val="24"/>
          <w:lang w:val="es-ES_tradnl" w:eastAsia="es-MX"/>
        </w:rPr>
        <w:t xml:space="preserve">de cada bolsa, </w:t>
      </w:r>
      <w:r w:rsidRPr="00A04585">
        <w:rPr>
          <w:rFonts w:ascii="Trebuchet MS" w:hAnsi="Trebuchet MS"/>
          <w:color w:val="000000"/>
          <w:sz w:val="24"/>
          <w:szCs w:val="24"/>
          <w:lang w:val="es-ES_tradnl" w:eastAsia="es-MX"/>
        </w:rPr>
        <w:t xml:space="preserve">debe realizarse entre los partidos </w:t>
      </w:r>
      <w:r w:rsidR="00895850" w:rsidRPr="00A04585">
        <w:rPr>
          <w:rFonts w:ascii="Trebuchet MS" w:hAnsi="Trebuchet MS"/>
          <w:color w:val="000000"/>
          <w:sz w:val="24"/>
          <w:szCs w:val="24"/>
          <w:lang w:val="es-ES_tradnl" w:eastAsia="es-MX"/>
        </w:rPr>
        <w:t>nacionales o locales</w:t>
      </w:r>
      <w:r w:rsidRPr="00A04585">
        <w:rPr>
          <w:rFonts w:ascii="Trebuchet MS" w:hAnsi="Trebuchet MS"/>
          <w:color w:val="000000"/>
          <w:sz w:val="24"/>
          <w:szCs w:val="24"/>
          <w:lang w:val="es-ES_tradnl" w:eastAsia="es-MX"/>
        </w:rPr>
        <w:t>,</w:t>
      </w:r>
      <w:r w:rsidR="00AB641D" w:rsidRPr="00A04585">
        <w:rPr>
          <w:rFonts w:ascii="Trebuchet MS" w:hAnsi="Trebuchet MS"/>
          <w:color w:val="000000"/>
          <w:sz w:val="24"/>
          <w:szCs w:val="24"/>
          <w:lang w:val="es-ES_tradnl" w:eastAsia="es-MX"/>
        </w:rPr>
        <w:t xml:space="preserve"> según el caso,</w:t>
      </w:r>
      <w:r w:rsidRPr="00A04585">
        <w:rPr>
          <w:rFonts w:ascii="Trebuchet MS" w:hAnsi="Trebuchet MS"/>
          <w:color w:val="000000"/>
          <w:sz w:val="24"/>
          <w:szCs w:val="24"/>
          <w:lang w:val="es-ES_tradnl" w:eastAsia="es-MX"/>
        </w:rPr>
        <w:t xml:space="preserve"> conforme a los porc</w:t>
      </w:r>
      <w:r w:rsidR="00AB641D" w:rsidRPr="00A04585">
        <w:rPr>
          <w:rFonts w:ascii="Trebuchet MS" w:hAnsi="Trebuchet MS"/>
          <w:color w:val="000000"/>
          <w:sz w:val="24"/>
          <w:szCs w:val="24"/>
          <w:lang w:val="es-ES_tradnl" w:eastAsia="es-MX"/>
        </w:rPr>
        <w:t>entajes y principios referidos.</w:t>
      </w:r>
    </w:p>
    <w:p w14:paraId="54E43DA2" w14:textId="77777777" w:rsidR="007474EA" w:rsidRPr="00A04585" w:rsidRDefault="007474EA" w:rsidP="002E7CFF">
      <w:pPr>
        <w:pStyle w:val="Sinespaciado"/>
        <w:jc w:val="both"/>
        <w:rPr>
          <w:rFonts w:ascii="Trebuchet MS" w:hAnsi="Trebuchet MS"/>
          <w:color w:val="000000"/>
          <w:sz w:val="24"/>
          <w:szCs w:val="24"/>
          <w:lang w:val="es-ES_tradnl" w:eastAsia="es-MX"/>
        </w:rPr>
      </w:pPr>
    </w:p>
    <w:p w14:paraId="531D512F" w14:textId="03F120F7" w:rsidR="007474EA" w:rsidRPr="00A04585" w:rsidRDefault="00AB641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Esto es, el </w:t>
      </w:r>
      <w:r w:rsidR="0074231A"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de cada bolsa se dividirá</w:t>
      </w:r>
      <w:r w:rsidR="000B73DD" w:rsidRPr="00A04585">
        <w:rPr>
          <w:rFonts w:ascii="Trebuchet MS" w:hAnsi="Trebuchet MS"/>
          <w:color w:val="000000"/>
          <w:sz w:val="24"/>
          <w:szCs w:val="24"/>
          <w:lang w:val="es-ES_tradnl" w:eastAsia="es-MX"/>
        </w:rPr>
        <w:t xml:space="preserve"> en</w:t>
      </w:r>
      <w:r w:rsidR="00C746B9" w:rsidRPr="00A04585">
        <w:rPr>
          <w:rFonts w:ascii="Trebuchet MS" w:hAnsi="Trebuchet MS"/>
          <w:color w:val="000000"/>
          <w:sz w:val="24"/>
          <w:szCs w:val="24"/>
          <w:lang w:val="es-ES_tradnl" w:eastAsia="es-MX"/>
        </w:rPr>
        <w:t xml:space="preserve"> partes iguales</w:t>
      </w:r>
      <w:r w:rsidR="00895850" w:rsidRPr="00A04585">
        <w:rPr>
          <w:rFonts w:ascii="Trebuchet MS" w:hAnsi="Trebuchet MS"/>
          <w:color w:val="000000"/>
          <w:sz w:val="24"/>
          <w:szCs w:val="24"/>
          <w:lang w:val="es-ES_tradnl" w:eastAsia="es-MX"/>
        </w:rPr>
        <w:t xml:space="preserve">, es decir, </w:t>
      </w:r>
      <w:r w:rsidRPr="00A04585">
        <w:rPr>
          <w:rFonts w:ascii="Trebuchet MS" w:hAnsi="Trebuchet MS"/>
          <w:color w:val="000000"/>
          <w:sz w:val="24"/>
          <w:szCs w:val="24"/>
          <w:lang w:val="es-ES_tradnl" w:eastAsia="es-MX"/>
        </w:rPr>
        <w:t xml:space="preserve">el monto de financiamiento equivalente a esa fracción será dividida entre la totalidad de los partidos con derecho a financiamiento y a cada uno se le distribuirá la cantidad correspondiente </w:t>
      </w:r>
      <w:r w:rsidR="00895850" w:rsidRPr="00A04585">
        <w:rPr>
          <w:rFonts w:ascii="Trebuchet MS" w:hAnsi="Trebuchet MS"/>
          <w:color w:val="000000"/>
          <w:sz w:val="24"/>
          <w:szCs w:val="24"/>
          <w:lang w:val="es-ES_tradnl" w:eastAsia="es-MX"/>
        </w:rPr>
        <w:t>a razón de una séptima</w:t>
      </w:r>
      <w:r w:rsidRPr="00A04585">
        <w:rPr>
          <w:rFonts w:ascii="Trebuchet MS" w:hAnsi="Trebuchet MS"/>
          <w:color w:val="000000"/>
          <w:sz w:val="24"/>
          <w:szCs w:val="24"/>
          <w:lang w:val="es-ES_tradnl" w:eastAsia="es-MX"/>
        </w:rPr>
        <w:t xml:space="preserve"> parte (ya que en el caso hay siete partidos con derecho a financiamiento),</w:t>
      </w:r>
      <w:r w:rsidR="00895850" w:rsidRPr="00A04585">
        <w:rPr>
          <w:rFonts w:ascii="Trebuchet MS" w:hAnsi="Trebuchet MS"/>
          <w:color w:val="000000"/>
          <w:sz w:val="24"/>
          <w:szCs w:val="24"/>
          <w:lang w:val="es-ES_tradnl" w:eastAsia="es-MX"/>
        </w:rPr>
        <w:t xml:space="preserve"> para guardar la proporción de la asignación</w:t>
      </w:r>
      <w:r w:rsidR="00164398" w:rsidRPr="00A04585">
        <w:rPr>
          <w:rFonts w:ascii="Trebuchet MS" w:hAnsi="Trebuchet MS"/>
          <w:color w:val="000000"/>
          <w:sz w:val="24"/>
          <w:szCs w:val="24"/>
          <w:lang w:val="es-ES_tradnl" w:eastAsia="es-MX"/>
        </w:rPr>
        <w:t>.</w:t>
      </w:r>
    </w:p>
    <w:p w14:paraId="3ACB72EA" w14:textId="77777777" w:rsidR="007474EA" w:rsidRPr="00A04585" w:rsidRDefault="007474EA" w:rsidP="002E7CFF">
      <w:pPr>
        <w:pStyle w:val="Sinespaciado"/>
        <w:jc w:val="both"/>
        <w:rPr>
          <w:rFonts w:ascii="Trebuchet MS" w:hAnsi="Trebuchet MS"/>
          <w:color w:val="000000"/>
          <w:sz w:val="24"/>
          <w:szCs w:val="24"/>
          <w:lang w:val="es-ES_tradnl" w:eastAsia="es-MX"/>
        </w:rPr>
      </w:pPr>
    </w:p>
    <w:p w14:paraId="53C46DF3" w14:textId="3B0E45E2" w:rsidR="00C746B9" w:rsidRPr="00A04585" w:rsidRDefault="00AB641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w:t>
      </w:r>
      <w:r w:rsidR="00C746B9" w:rsidRPr="00A04585">
        <w:rPr>
          <w:rFonts w:ascii="Trebuchet MS" w:hAnsi="Trebuchet MS"/>
          <w:color w:val="000000"/>
          <w:sz w:val="24"/>
          <w:szCs w:val="24"/>
          <w:lang w:val="es-ES_tradnl" w:eastAsia="es-MX"/>
        </w:rPr>
        <w:t xml:space="preserve">l </w:t>
      </w:r>
      <w:r w:rsidR="0074231A" w:rsidRPr="00242547">
        <w:rPr>
          <w:rFonts w:ascii="Trebuchet MS" w:hAnsi="Trebuchet MS"/>
          <w:color w:val="000000"/>
          <w:sz w:val="24"/>
          <w:szCs w:val="24"/>
          <w:lang w:val="es-ES_tradnl" w:eastAsia="es-MX"/>
        </w:rPr>
        <w:t>setenta por ciento</w:t>
      </w:r>
      <w:r w:rsidR="00C746B9" w:rsidRPr="00A04585">
        <w:rPr>
          <w:rFonts w:ascii="Trebuchet MS" w:hAnsi="Trebuchet MS"/>
          <w:color w:val="000000"/>
          <w:sz w:val="24"/>
          <w:szCs w:val="24"/>
          <w:lang w:val="es-ES_tradnl" w:eastAsia="es-MX"/>
        </w:rPr>
        <w:t xml:space="preserve"> restante </w:t>
      </w:r>
      <w:r w:rsidR="00164398" w:rsidRPr="00A04585">
        <w:rPr>
          <w:rFonts w:ascii="Trebuchet MS" w:hAnsi="Trebuchet MS"/>
          <w:color w:val="000000"/>
          <w:sz w:val="24"/>
          <w:szCs w:val="24"/>
          <w:lang w:val="es-ES_tradnl" w:eastAsia="es-MX"/>
        </w:rPr>
        <w:t xml:space="preserve">de cada bolsa, </w:t>
      </w:r>
      <w:r w:rsidR="00C746B9" w:rsidRPr="00A04585">
        <w:rPr>
          <w:rFonts w:ascii="Trebuchet MS" w:hAnsi="Trebuchet MS"/>
          <w:color w:val="000000"/>
          <w:sz w:val="24"/>
          <w:szCs w:val="24"/>
          <w:lang w:val="es-ES_tradnl" w:eastAsia="es-MX"/>
        </w:rPr>
        <w:t>en proporción a la votación obtenida por cada par</w:t>
      </w:r>
      <w:r w:rsidR="00895850" w:rsidRPr="00A04585">
        <w:rPr>
          <w:rFonts w:ascii="Trebuchet MS" w:hAnsi="Trebuchet MS"/>
          <w:color w:val="000000"/>
          <w:sz w:val="24"/>
          <w:szCs w:val="24"/>
          <w:lang w:val="es-ES_tradnl" w:eastAsia="es-MX"/>
        </w:rPr>
        <w:t xml:space="preserve">tido político en relación con </w:t>
      </w:r>
      <w:r w:rsidR="00AC7263" w:rsidRPr="00A04585">
        <w:rPr>
          <w:rFonts w:ascii="Trebuchet MS" w:hAnsi="Trebuchet MS"/>
          <w:color w:val="000000"/>
          <w:sz w:val="24"/>
          <w:szCs w:val="24"/>
          <w:lang w:val="es-ES_tradnl" w:eastAsia="es-MX"/>
        </w:rPr>
        <w:t>la totalidad</w:t>
      </w:r>
      <w:r w:rsidR="00C746B9" w:rsidRPr="00A04585">
        <w:rPr>
          <w:rFonts w:ascii="Trebuchet MS" w:hAnsi="Trebuchet MS"/>
          <w:color w:val="000000"/>
          <w:sz w:val="24"/>
          <w:szCs w:val="24"/>
          <w:lang w:val="es-ES_tradnl" w:eastAsia="es-MX"/>
        </w:rPr>
        <w:t xml:space="preserve"> de los sufragios válidos, con la finalidad de </w:t>
      </w:r>
      <w:r w:rsidR="005D44CE" w:rsidRPr="00A04585">
        <w:rPr>
          <w:rFonts w:ascii="Trebuchet MS" w:hAnsi="Trebuchet MS"/>
          <w:color w:val="000000"/>
          <w:sz w:val="24"/>
          <w:szCs w:val="24"/>
          <w:lang w:val="es-ES_tradnl" w:eastAsia="es-MX"/>
        </w:rPr>
        <w:t>que del total de la cantidad que se asigne por ese esquema, se le otorgue al partido la porción equivalente a los sufragios que consiguió en la elección de diputaciones locales.</w:t>
      </w:r>
    </w:p>
    <w:p w14:paraId="612EF1E4" w14:textId="01C3D53D" w:rsidR="005D44CE" w:rsidRPr="00A04585" w:rsidRDefault="005D44CE" w:rsidP="002E7CFF">
      <w:pPr>
        <w:pStyle w:val="Sinespaciado"/>
        <w:jc w:val="both"/>
        <w:rPr>
          <w:rFonts w:ascii="Trebuchet MS" w:hAnsi="Trebuchet MS"/>
          <w:color w:val="000000"/>
          <w:sz w:val="24"/>
          <w:szCs w:val="24"/>
          <w:lang w:val="es-ES_tradnl" w:eastAsia="es-MX"/>
        </w:rPr>
      </w:pPr>
    </w:p>
    <w:p w14:paraId="50D83A6F" w14:textId="27FD63C6" w:rsidR="005D44CE" w:rsidRPr="00A04585" w:rsidRDefault="005D44CE"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Enseguida, se procede a realizar el cálcul</w:t>
      </w:r>
      <w:r w:rsidR="003874C6" w:rsidRPr="00A04585">
        <w:rPr>
          <w:rFonts w:ascii="Trebuchet MS" w:hAnsi="Trebuchet MS"/>
          <w:color w:val="000000"/>
          <w:sz w:val="24"/>
          <w:szCs w:val="24"/>
          <w:lang w:val="es-ES_tradnl" w:eastAsia="es-MX"/>
        </w:rPr>
        <w:t>o del financiamiento correspondiente</w:t>
      </w:r>
      <w:r w:rsidRPr="00A04585">
        <w:rPr>
          <w:rFonts w:ascii="Trebuchet MS" w:hAnsi="Trebuchet MS"/>
          <w:color w:val="000000"/>
          <w:sz w:val="24"/>
          <w:szCs w:val="24"/>
          <w:lang w:val="es-ES_tradnl" w:eastAsia="es-MX"/>
        </w:rPr>
        <w:t>, por un lado, a los partidos políticos nacionales y, por otro</w:t>
      </w:r>
      <w:r w:rsidR="009913C3"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a los institutos políticos estatales, </w:t>
      </w:r>
      <w:r w:rsidR="00C64DCC" w:rsidRPr="00A04585">
        <w:rPr>
          <w:rFonts w:ascii="Trebuchet MS" w:hAnsi="Trebuchet MS"/>
          <w:color w:val="000000"/>
          <w:sz w:val="24"/>
          <w:szCs w:val="24"/>
          <w:lang w:val="es-ES_tradnl" w:eastAsia="es-MX"/>
        </w:rPr>
        <w:t>con derecho</w:t>
      </w:r>
      <w:r w:rsidRPr="00A04585">
        <w:rPr>
          <w:rFonts w:ascii="Trebuchet MS" w:hAnsi="Trebuchet MS"/>
          <w:color w:val="000000"/>
          <w:sz w:val="24"/>
          <w:szCs w:val="24"/>
          <w:lang w:val="es-ES_tradnl" w:eastAsia="es-MX"/>
        </w:rPr>
        <w:t xml:space="preserve"> para recibir </w:t>
      </w:r>
      <w:r w:rsidR="00ED16F2" w:rsidRPr="00A04585">
        <w:rPr>
          <w:rFonts w:ascii="Trebuchet MS" w:hAnsi="Trebuchet MS"/>
          <w:color w:val="000000"/>
          <w:sz w:val="24"/>
          <w:szCs w:val="24"/>
          <w:lang w:val="es-ES_tradnl" w:eastAsia="es-MX"/>
        </w:rPr>
        <w:t>financiamiento público estatal</w:t>
      </w:r>
      <w:r w:rsidRPr="00A04585">
        <w:rPr>
          <w:rFonts w:ascii="Trebuchet MS" w:hAnsi="Trebuchet MS"/>
          <w:color w:val="000000"/>
          <w:sz w:val="24"/>
          <w:szCs w:val="24"/>
          <w:lang w:val="es-ES_tradnl" w:eastAsia="es-MX"/>
        </w:rPr>
        <w:t>.</w:t>
      </w:r>
    </w:p>
    <w:p w14:paraId="6277B465" w14:textId="77777777" w:rsidR="00796AA5" w:rsidRPr="00242547" w:rsidRDefault="00796AA5" w:rsidP="002E7CFF">
      <w:pPr>
        <w:pStyle w:val="Sinespaciado"/>
        <w:jc w:val="both"/>
        <w:rPr>
          <w:rFonts w:ascii="Trebuchet MS" w:hAnsi="Trebuchet MS"/>
          <w:b/>
          <w:bCs/>
          <w:color w:val="000000"/>
          <w:sz w:val="24"/>
          <w:szCs w:val="24"/>
          <w:lang w:val="es-ES_tradnl" w:eastAsia="es-MX"/>
        </w:rPr>
      </w:pPr>
    </w:p>
    <w:p w14:paraId="76AA4D97" w14:textId="633EF6FE" w:rsidR="00E763A4" w:rsidRPr="00A04585" w:rsidRDefault="00502610"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A. Partidos políticos nacionales con derecho a recibir financiamiento local</w:t>
      </w:r>
      <w:r w:rsidR="003B214D" w:rsidRPr="00A04585">
        <w:rPr>
          <w:rFonts w:ascii="Trebuchet MS" w:hAnsi="Trebuchet MS"/>
          <w:b/>
          <w:bCs/>
          <w:color w:val="000000"/>
          <w:sz w:val="24"/>
          <w:szCs w:val="24"/>
          <w:lang w:val="es-ES_tradnl" w:eastAsia="es-MX"/>
        </w:rPr>
        <w:t xml:space="preserve"> para actividades específicas</w:t>
      </w:r>
      <w:r w:rsidRPr="00A04585">
        <w:rPr>
          <w:rFonts w:ascii="Trebuchet MS" w:hAnsi="Trebuchet MS"/>
          <w:b/>
          <w:bCs/>
          <w:color w:val="000000"/>
          <w:sz w:val="24"/>
          <w:szCs w:val="24"/>
          <w:lang w:val="es-ES_tradnl" w:eastAsia="es-MX"/>
        </w:rPr>
        <w:t>.</w:t>
      </w:r>
      <w:r w:rsidR="0079671C" w:rsidRPr="00A04585">
        <w:rPr>
          <w:rFonts w:ascii="Trebuchet MS" w:hAnsi="Trebuchet MS"/>
          <w:color w:val="000000"/>
          <w:sz w:val="24"/>
          <w:szCs w:val="24"/>
          <w:lang w:val="es-ES_tradnl" w:eastAsia="es-MX"/>
        </w:rPr>
        <w:t xml:space="preserve"> </w:t>
      </w:r>
      <w:r w:rsidR="00E763A4" w:rsidRPr="00A04585">
        <w:rPr>
          <w:rFonts w:ascii="Trebuchet MS" w:hAnsi="Trebuchet MS"/>
          <w:color w:val="000000"/>
          <w:sz w:val="24"/>
          <w:szCs w:val="24"/>
          <w:lang w:val="es-ES_tradnl" w:eastAsia="es-MX"/>
        </w:rPr>
        <w:t xml:space="preserve">Para realizar el cálculo correspondiente debe obtenerse el </w:t>
      </w:r>
      <w:r w:rsidR="0074231A" w:rsidRPr="00242547">
        <w:rPr>
          <w:rFonts w:ascii="Trebuchet MS" w:hAnsi="Trebuchet MS"/>
          <w:color w:val="000000"/>
          <w:sz w:val="24"/>
          <w:szCs w:val="24"/>
          <w:lang w:val="es-ES_tradnl" w:eastAsia="es-MX"/>
        </w:rPr>
        <w:t>tres por ciento</w:t>
      </w:r>
      <w:r w:rsidR="00E763A4" w:rsidRPr="00A04585">
        <w:rPr>
          <w:rFonts w:ascii="Trebuchet MS" w:hAnsi="Trebuchet MS"/>
          <w:color w:val="000000"/>
          <w:sz w:val="24"/>
          <w:szCs w:val="24"/>
          <w:lang w:val="es-ES_tradnl" w:eastAsia="es-MX"/>
        </w:rPr>
        <w:t xml:space="preserve"> de la cantidad correspondiente al monto total de financiamiento para actividades ordinarias de los pa</w:t>
      </w:r>
      <w:r w:rsidR="00A503FF" w:rsidRPr="00A04585">
        <w:rPr>
          <w:rFonts w:ascii="Trebuchet MS" w:hAnsi="Trebuchet MS"/>
          <w:color w:val="000000"/>
          <w:sz w:val="24"/>
          <w:szCs w:val="24"/>
          <w:lang w:val="es-ES_tradnl" w:eastAsia="es-MX"/>
        </w:rPr>
        <w:t xml:space="preserve">rtidos nacionales, el resultado de la operación será el monto </w:t>
      </w:r>
      <w:r w:rsidR="00E763A4" w:rsidRPr="00A04585">
        <w:rPr>
          <w:rFonts w:ascii="Trebuchet MS" w:hAnsi="Trebuchet MS"/>
          <w:color w:val="000000"/>
          <w:sz w:val="24"/>
          <w:szCs w:val="24"/>
          <w:lang w:val="es-ES_tradnl" w:eastAsia="es-MX"/>
        </w:rPr>
        <w:t>que debe distribuirse por actividades específicas entre dichos institutos políticos</w:t>
      </w:r>
      <w:r w:rsidR="00A503FF" w:rsidRPr="00A04585">
        <w:rPr>
          <w:rFonts w:ascii="Trebuchet MS" w:hAnsi="Trebuchet MS"/>
          <w:color w:val="000000"/>
          <w:sz w:val="24"/>
          <w:szCs w:val="24"/>
          <w:lang w:val="es-ES_tradnl" w:eastAsia="es-MX"/>
        </w:rPr>
        <w:t>, el cual</w:t>
      </w:r>
      <w:r w:rsidR="00E763A4" w:rsidRPr="00A04585">
        <w:rPr>
          <w:rFonts w:ascii="Trebuchet MS" w:hAnsi="Trebuchet MS"/>
          <w:color w:val="000000"/>
          <w:sz w:val="24"/>
          <w:szCs w:val="24"/>
          <w:lang w:val="es-ES_tradnl" w:eastAsia="es-MX"/>
        </w:rPr>
        <w:t xml:space="preserve"> equivale a $</w:t>
      </w:r>
      <w:r w:rsidR="00A503FF" w:rsidRPr="00A04585">
        <w:rPr>
          <w:rFonts w:ascii="Trebuchet MS" w:hAnsi="Trebuchet MS"/>
          <w:color w:val="000000"/>
          <w:sz w:val="24"/>
          <w:szCs w:val="24"/>
          <w:lang w:val="es-ES_tradnl" w:eastAsia="es-MX"/>
        </w:rPr>
        <w:t xml:space="preserve">3´638,598.56 </w:t>
      </w:r>
      <w:r w:rsidR="00E763A4" w:rsidRPr="00A04585">
        <w:rPr>
          <w:rFonts w:ascii="Trebuchet MS" w:hAnsi="Trebuchet MS"/>
          <w:color w:val="000000"/>
          <w:sz w:val="24"/>
          <w:szCs w:val="24"/>
          <w:lang w:val="es-ES_tradnl" w:eastAsia="es-MX"/>
        </w:rPr>
        <w:t>(</w:t>
      </w:r>
      <w:r w:rsidR="00A503FF" w:rsidRPr="00A04585">
        <w:rPr>
          <w:rFonts w:ascii="Trebuchet MS" w:hAnsi="Trebuchet MS"/>
          <w:color w:val="000000"/>
          <w:sz w:val="24"/>
          <w:szCs w:val="24"/>
          <w:lang w:val="es-ES_tradnl" w:eastAsia="es-MX"/>
        </w:rPr>
        <w:t>tres millones seiscientos treinta y ocho mil quinientos noventa y ocho pesos 56</w:t>
      </w:r>
      <w:r w:rsidR="00E763A4" w:rsidRPr="00A04585">
        <w:rPr>
          <w:rFonts w:ascii="Trebuchet MS" w:hAnsi="Trebuchet MS"/>
          <w:color w:val="000000"/>
          <w:sz w:val="24"/>
          <w:szCs w:val="24"/>
          <w:lang w:val="es-ES_tradnl" w:eastAsia="es-MX"/>
        </w:rPr>
        <w:t>/100 M.N.). Ello se ilustra en la tabla que se expone:</w:t>
      </w:r>
      <w:r w:rsidR="00FF70A9" w:rsidRPr="00A04585">
        <w:rPr>
          <w:rFonts w:ascii="Trebuchet MS" w:hAnsi="Trebuchet MS"/>
          <w:color w:val="000000"/>
          <w:sz w:val="24"/>
          <w:szCs w:val="24"/>
          <w:lang w:val="es-ES_tradnl" w:eastAsia="es-MX"/>
        </w:rPr>
        <w:t xml:space="preserve">    </w:t>
      </w:r>
    </w:p>
    <w:p w14:paraId="1759C719" w14:textId="77777777" w:rsidR="00E763A4" w:rsidRPr="00242547" w:rsidRDefault="00E763A4" w:rsidP="002E7CFF">
      <w:pPr>
        <w:pStyle w:val="Sinespaciado"/>
        <w:jc w:val="both"/>
        <w:rPr>
          <w:rFonts w:ascii="Trebuchet MS" w:hAnsi="Trebuchet MS"/>
          <w:color w:val="000000"/>
          <w:sz w:val="24"/>
          <w:szCs w:val="24"/>
          <w:lang w:val="es-ES_tradnl" w:eastAsia="es-MX"/>
        </w:rPr>
      </w:pPr>
    </w:p>
    <w:tbl>
      <w:tblPr>
        <w:tblW w:w="7718" w:type="dxa"/>
        <w:jc w:val="center"/>
        <w:tblCellMar>
          <w:left w:w="70" w:type="dxa"/>
          <w:right w:w="70" w:type="dxa"/>
        </w:tblCellMar>
        <w:tblLook w:val="04A0" w:firstRow="1" w:lastRow="0" w:firstColumn="1" w:lastColumn="0" w:noHBand="0" w:noVBand="1"/>
      </w:tblPr>
      <w:tblGrid>
        <w:gridCol w:w="3424"/>
        <w:gridCol w:w="4294"/>
      </w:tblGrid>
      <w:tr w:rsidR="00A503FF" w:rsidRPr="00A04585" w14:paraId="51678312" w14:textId="77777777" w:rsidTr="00A503FF">
        <w:trPr>
          <w:trHeight w:val="918"/>
          <w:jc w:val="center"/>
        </w:trPr>
        <w:tc>
          <w:tcPr>
            <w:tcW w:w="7718" w:type="dxa"/>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48571FB0" w14:textId="77777777" w:rsidR="00A503FF" w:rsidRPr="00A04585" w:rsidRDefault="00A503FF" w:rsidP="00A503F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3.1. Determinación de la cantidad a distribuir por concepto de Financiamiento público para Actividades Específicas</w:t>
            </w:r>
            <w:r w:rsidRPr="00A04585">
              <w:rPr>
                <w:rFonts w:ascii="Trebuchet MS" w:eastAsia="Times New Roman" w:hAnsi="Trebuchet MS" w:cs="Calibri Light"/>
                <w:b/>
                <w:bCs/>
                <w:color w:val="000000"/>
                <w:sz w:val="20"/>
                <w:szCs w:val="20"/>
                <w:lang w:eastAsia="es-MX"/>
              </w:rPr>
              <w:br/>
            </w:r>
            <w:r w:rsidRPr="00A04585">
              <w:rPr>
                <w:rFonts w:ascii="Trebuchet MS" w:eastAsia="Times New Roman" w:hAnsi="Trebuchet MS" w:cs="Calibri Light"/>
                <w:color w:val="000000"/>
                <w:sz w:val="20"/>
                <w:szCs w:val="20"/>
                <w:lang w:eastAsia="es-MX"/>
              </w:rPr>
              <w:t>Fórmula: Financiamiento público para actividades específicas es igual al 3% del monto total del financiamiento público para actividades ordinarias permanentes</w:t>
            </w:r>
          </w:p>
        </w:tc>
      </w:tr>
      <w:tr w:rsidR="00A503FF" w:rsidRPr="00A04585" w14:paraId="07BD7486" w14:textId="77777777" w:rsidTr="00A503FF">
        <w:trPr>
          <w:trHeight w:val="677"/>
          <w:jc w:val="center"/>
        </w:trPr>
        <w:tc>
          <w:tcPr>
            <w:tcW w:w="3424"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0B1C251B" w14:textId="77777777" w:rsidR="00A503FF" w:rsidRPr="00A04585" w:rsidRDefault="00A503FF" w:rsidP="00A503F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Financiamiento público para actividades ordinarias</w:t>
            </w:r>
          </w:p>
        </w:tc>
        <w:tc>
          <w:tcPr>
            <w:tcW w:w="4294" w:type="dxa"/>
            <w:tcBorders>
              <w:top w:val="single" w:sz="4" w:space="0" w:color="808080"/>
              <w:left w:val="nil"/>
              <w:bottom w:val="single" w:sz="4" w:space="0" w:color="808080"/>
              <w:right w:val="single" w:sz="8" w:space="0" w:color="808080"/>
            </w:tcBorders>
            <w:shd w:val="clear" w:color="auto" w:fill="auto"/>
            <w:noWrap/>
            <w:vAlign w:val="center"/>
            <w:hideMark/>
          </w:tcPr>
          <w:p w14:paraId="51C82EEF" w14:textId="77777777" w:rsidR="00A503FF" w:rsidRPr="00A04585" w:rsidRDefault="00A503FF" w:rsidP="00A503F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$121,286,618.59</w:t>
            </w:r>
          </w:p>
        </w:tc>
      </w:tr>
      <w:tr w:rsidR="00A503FF" w:rsidRPr="00A04585" w14:paraId="7E81F4A6" w14:textId="77777777" w:rsidTr="00A503FF">
        <w:trPr>
          <w:trHeight w:val="584"/>
          <w:jc w:val="center"/>
        </w:trPr>
        <w:tc>
          <w:tcPr>
            <w:tcW w:w="3424" w:type="dxa"/>
            <w:tcBorders>
              <w:top w:val="single" w:sz="4" w:space="0" w:color="808080"/>
              <w:left w:val="single" w:sz="8" w:space="0" w:color="808080"/>
              <w:bottom w:val="single" w:sz="4" w:space="0" w:color="808080"/>
              <w:right w:val="single" w:sz="4" w:space="0" w:color="808080"/>
            </w:tcBorders>
            <w:shd w:val="clear" w:color="000000" w:fill="F3EBF9"/>
            <w:vAlign w:val="center"/>
            <w:hideMark/>
          </w:tcPr>
          <w:p w14:paraId="0A2BE929" w14:textId="77777777" w:rsidR="00A503FF" w:rsidRPr="00A04585" w:rsidRDefault="00A503FF" w:rsidP="00A503F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3% Financiamiento público para actividades específicas</w:t>
            </w:r>
          </w:p>
        </w:tc>
        <w:tc>
          <w:tcPr>
            <w:tcW w:w="4294" w:type="dxa"/>
            <w:tcBorders>
              <w:top w:val="single" w:sz="4" w:space="0" w:color="808080"/>
              <w:left w:val="nil"/>
              <w:bottom w:val="single" w:sz="4" w:space="0" w:color="808080"/>
              <w:right w:val="single" w:sz="8" w:space="0" w:color="808080"/>
            </w:tcBorders>
            <w:shd w:val="clear" w:color="000000" w:fill="F3EBF9"/>
            <w:noWrap/>
            <w:vAlign w:val="center"/>
            <w:hideMark/>
          </w:tcPr>
          <w:p w14:paraId="519C9160" w14:textId="77777777" w:rsidR="00A503FF" w:rsidRPr="00A04585" w:rsidRDefault="00A503FF" w:rsidP="00A503F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$3,638,598.56</w:t>
            </w:r>
          </w:p>
        </w:tc>
      </w:tr>
    </w:tbl>
    <w:p w14:paraId="4089C9E1" w14:textId="5FEFF20F" w:rsidR="00C0782C" w:rsidRPr="00242547" w:rsidRDefault="00C0782C" w:rsidP="002E7CFF">
      <w:pPr>
        <w:pStyle w:val="Sinespaciado"/>
        <w:jc w:val="center"/>
        <w:rPr>
          <w:rFonts w:ascii="Trebuchet MS" w:hAnsi="Trebuchet MS"/>
          <w:color w:val="000000"/>
          <w:sz w:val="24"/>
          <w:szCs w:val="24"/>
          <w:lang w:val="es-ES_tradnl" w:eastAsia="es-MX"/>
        </w:rPr>
      </w:pPr>
    </w:p>
    <w:p w14:paraId="3905E9CA" w14:textId="77777777" w:rsidR="00C0782C" w:rsidRPr="00242547" w:rsidRDefault="00C0782C" w:rsidP="002E7CFF">
      <w:pPr>
        <w:pStyle w:val="Sinespaciado"/>
        <w:jc w:val="both"/>
        <w:rPr>
          <w:rFonts w:ascii="Trebuchet MS" w:hAnsi="Trebuchet MS"/>
          <w:color w:val="000000"/>
          <w:sz w:val="24"/>
          <w:szCs w:val="24"/>
          <w:lang w:val="es-ES_tradnl" w:eastAsia="es-MX"/>
        </w:rPr>
      </w:pPr>
    </w:p>
    <w:p w14:paraId="6A37C1C0" w14:textId="4A406726"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esa última cantidad el </w:t>
      </w:r>
      <w:r w:rsidR="0074231A"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debe </w:t>
      </w:r>
      <w:r w:rsidR="00C0782C" w:rsidRPr="00A04585">
        <w:rPr>
          <w:rFonts w:ascii="Trebuchet MS" w:hAnsi="Trebuchet MS"/>
          <w:color w:val="000000"/>
          <w:sz w:val="24"/>
          <w:szCs w:val="24"/>
          <w:lang w:val="es-ES_tradnl" w:eastAsia="es-MX"/>
        </w:rPr>
        <w:t>dividirse entre siete –</w:t>
      </w:r>
      <w:r w:rsidR="00C0782C" w:rsidRPr="00A04585">
        <w:rPr>
          <w:rFonts w:ascii="Trebuchet MS" w:hAnsi="Trebuchet MS"/>
          <w:i/>
          <w:iCs/>
          <w:color w:val="000000"/>
          <w:sz w:val="24"/>
          <w:szCs w:val="24"/>
          <w:lang w:val="es-ES_tradnl" w:eastAsia="es-MX"/>
        </w:rPr>
        <w:t>por ser el número de partidos con derecho a prerrogativas económicas</w:t>
      </w:r>
      <w:r w:rsidR="00C0782C" w:rsidRPr="00A04585">
        <w:rPr>
          <w:rFonts w:ascii="Trebuchet MS" w:hAnsi="Trebuchet MS"/>
          <w:color w:val="000000"/>
          <w:sz w:val="24"/>
          <w:szCs w:val="24"/>
          <w:lang w:val="es-ES_tradnl" w:eastAsia="es-MX"/>
        </w:rPr>
        <w:t>- y otorgarse una parte igual a cada</w:t>
      </w:r>
      <w:r w:rsidRPr="00A04585">
        <w:rPr>
          <w:rFonts w:ascii="Trebuchet MS" w:hAnsi="Trebuchet MS"/>
          <w:color w:val="000000"/>
          <w:sz w:val="24"/>
          <w:szCs w:val="24"/>
          <w:lang w:val="es-ES_tradnl" w:eastAsia="es-MX"/>
        </w:rPr>
        <w:t xml:space="preserve"> </w:t>
      </w:r>
      <w:r w:rsidR="00C0782C" w:rsidRPr="00A04585">
        <w:rPr>
          <w:rFonts w:ascii="Trebuchet MS" w:hAnsi="Trebuchet MS"/>
          <w:color w:val="000000"/>
          <w:sz w:val="24"/>
          <w:szCs w:val="24"/>
          <w:lang w:val="es-ES_tradnl" w:eastAsia="es-MX"/>
        </w:rPr>
        <w:t>partido nacional</w:t>
      </w:r>
      <w:r w:rsidRPr="00A04585">
        <w:rPr>
          <w:rFonts w:ascii="Trebuchet MS" w:hAnsi="Trebuchet MS"/>
          <w:color w:val="000000"/>
          <w:sz w:val="24"/>
          <w:szCs w:val="24"/>
          <w:lang w:val="es-ES_tradnl" w:eastAsia="es-MX"/>
        </w:rPr>
        <w:t xml:space="preserve"> con derecho a financiamiento l</w:t>
      </w:r>
      <w:r w:rsidR="00A503FF" w:rsidRPr="00A04585">
        <w:rPr>
          <w:rFonts w:ascii="Trebuchet MS" w:hAnsi="Trebuchet MS"/>
          <w:color w:val="000000"/>
          <w:sz w:val="24"/>
          <w:szCs w:val="24"/>
          <w:lang w:val="es-ES_tradnl" w:eastAsia="es-MX"/>
        </w:rPr>
        <w:t>ocal en el año dos mil veintitrés</w:t>
      </w:r>
      <w:r w:rsidRPr="00A04585">
        <w:rPr>
          <w:rFonts w:ascii="Trebuchet MS" w:hAnsi="Trebuchet MS"/>
          <w:color w:val="000000"/>
          <w:sz w:val="24"/>
          <w:szCs w:val="24"/>
          <w:lang w:val="es-ES_tradnl" w:eastAsia="es-MX"/>
        </w:rPr>
        <w:t xml:space="preserve">, es decir, </w:t>
      </w:r>
      <w:r w:rsidR="00A503FF" w:rsidRPr="00A04585">
        <w:rPr>
          <w:rFonts w:ascii="Trebuchet MS" w:hAnsi="Trebuchet MS"/>
          <w:color w:val="000000"/>
          <w:sz w:val="24"/>
          <w:szCs w:val="24"/>
          <w:lang w:val="es-ES_tradnl" w:eastAsia="es-MX"/>
        </w:rPr>
        <w:t xml:space="preserve">a los institutos políticos </w:t>
      </w:r>
      <w:r w:rsidRPr="00A04585">
        <w:rPr>
          <w:rFonts w:ascii="Trebuchet MS" w:hAnsi="Trebuchet MS"/>
          <w:color w:val="000000"/>
          <w:sz w:val="24"/>
          <w:szCs w:val="24"/>
          <w:lang w:val="es-ES_tradnl" w:eastAsia="es-MX"/>
        </w:rPr>
        <w:t xml:space="preserve">Acción Nacional, Revolucionario Institucional, Verde Ecologista de México, Movimiento Ciudadano y Morena. </w:t>
      </w:r>
    </w:p>
    <w:p w14:paraId="7810E160" w14:textId="77777777" w:rsidR="00E763A4" w:rsidRPr="00242547" w:rsidRDefault="00E763A4" w:rsidP="002E7CFF">
      <w:pPr>
        <w:pStyle w:val="Sinespaciado"/>
        <w:jc w:val="both"/>
        <w:rPr>
          <w:rFonts w:ascii="Trebuchet MS" w:hAnsi="Trebuchet MS"/>
          <w:color w:val="000000"/>
          <w:sz w:val="24"/>
          <w:szCs w:val="24"/>
          <w:lang w:val="es-ES_tradnl" w:eastAsia="es-MX"/>
        </w:rPr>
      </w:pPr>
    </w:p>
    <w:p w14:paraId="3AA31F07" w14:textId="1C25A4FC" w:rsidR="00E763A4" w:rsidRPr="00A04585" w:rsidRDefault="00A503FF"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El equivalente al </w:t>
      </w:r>
      <w:r w:rsidR="0074231A"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w:t>
      </w:r>
      <w:r w:rsidR="00C13C5C" w:rsidRPr="00A04585">
        <w:rPr>
          <w:rFonts w:ascii="Trebuchet MS" w:hAnsi="Trebuchet MS"/>
          <w:color w:val="000000"/>
          <w:sz w:val="24"/>
          <w:szCs w:val="24"/>
          <w:lang w:val="es-ES_tradnl" w:eastAsia="es-MX"/>
        </w:rPr>
        <w:t xml:space="preserve">de </w:t>
      </w:r>
      <w:r w:rsidRPr="00A04585">
        <w:rPr>
          <w:rFonts w:ascii="Trebuchet MS" w:hAnsi="Trebuchet MS"/>
          <w:color w:val="000000"/>
          <w:sz w:val="24"/>
          <w:szCs w:val="24"/>
          <w:lang w:val="es-ES_tradnl" w:eastAsia="es-MX"/>
        </w:rPr>
        <w:t xml:space="preserve">la </w:t>
      </w:r>
      <w:r w:rsidR="00C13C5C" w:rsidRPr="00A04585">
        <w:rPr>
          <w:rFonts w:ascii="Trebuchet MS" w:hAnsi="Trebuchet MS"/>
          <w:color w:val="000000"/>
          <w:sz w:val="24"/>
          <w:szCs w:val="24"/>
          <w:lang w:val="es-ES_tradnl" w:eastAsia="es-MX"/>
        </w:rPr>
        <w:t xml:space="preserve">distribución igualitaria </w:t>
      </w:r>
      <w:r w:rsidR="00E763A4" w:rsidRPr="00A04585">
        <w:rPr>
          <w:rFonts w:ascii="Trebuchet MS" w:hAnsi="Trebuchet MS"/>
          <w:color w:val="000000"/>
          <w:sz w:val="24"/>
          <w:szCs w:val="24"/>
          <w:lang w:val="es-ES_tradnl" w:eastAsia="es-MX"/>
        </w:rPr>
        <w:t>es la cantidad de $</w:t>
      </w:r>
      <w:r w:rsidRPr="00A04585">
        <w:rPr>
          <w:rFonts w:ascii="Trebuchet MS" w:hAnsi="Trebuchet MS"/>
          <w:color w:val="000000"/>
          <w:sz w:val="24"/>
          <w:szCs w:val="24"/>
          <w:lang w:val="es-ES_tradnl" w:eastAsia="es-MX"/>
        </w:rPr>
        <w:t>1´091,579.57</w:t>
      </w:r>
      <w:r w:rsidR="00E763A4" w:rsidRPr="00A04585">
        <w:rPr>
          <w:rFonts w:ascii="Trebuchet MS" w:hAnsi="Trebuchet MS"/>
          <w:color w:val="000000"/>
          <w:sz w:val="24"/>
          <w:szCs w:val="24"/>
          <w:lang w:val="es-ES_tradnl" w:eastAsia="es-MX"/>
        </w:rPr>
        <w:t xml:space="preserve"> (un millón </w:t>
      </w:r>
      <w:r w:rsidRPr="00A04585">
        <w:rPr>
          <w:rFonts w:ascii="Trebuchet MS" w:hAnsi="Trebuchet MS"/>
          <w:color w:val="000000"/>
          <w:sz w:val="24"/>
          <w:szCs w:val="24"/>
          <w:lang w:val="es-ES_tradnl" w:eastAsia="es-MX"/>
        </w:rPr>
        <w:t>noventa y un mil quinientos setenta y nueve</w:t>
      </w:r>
      <w:r w:rsidR="001A6C5F" w:rsidRPr="00A04585">
        <w:rPr>
          <w:rFonts w:ascii="Trebuchet MS" w:hAnsi="Trebuchet MS"/>
          <w:color w:val="000000"/>
          <w:sz w:val="24"/>
          <w:szCs w:val="24"/>
          <w:lang w:val="es-ES_tradnl" w:eastAsia="es-MX"/>
        </w:rPr>
        <w:t xml:space="preserve"> pesos</w:t>
      </w:r>
      <w:r w:rsidRPr="00A04585">
        <w:rPr>
          <w:rFonts w:ascii="Trebuchet MS" w:hAnsi="Trebuchet MS"/>
          <w:color w:val="000000"/>
          <w:sz w:val="24"/>
          <w:szCs w:val="24"/>
          <w:lang w:val="es-ES_tradnl" w:eastAsia="es-MX"/>
        </w:rPr>
        <w:t xml:space="preserve"> 57</w:t>
      </w:r>
      <w:r w:rsidR="00E763A4" w:rsidRPr="00A04585">
        <w:rPr>
          <w:rFonts w:ascii="Trebuchet MS" w:hAnsi="Trebuchet MS"/>
          <w:color w:val="000000"/>
          <w:sz w:val="24"/>
          <w:szCs w:val="24"/>
          <w:lang w:val="es-ES_tradnl" w:eastAsia="es-MX"/>
        </w:rPr>
        <w:t xml:space="preserve">/100 M.N.). Por su parte, el restante </w:t>
      </w:r>
      <w:r w:rsidR="0074231A" w:rsidRPr="00242547">
        <w:rPr>
          <w:rFonts w:ascii="Trebuchet MS" w:hAnsi="Trebuchet MS"/>
          <w:color w:val="000000"/>
          <w:sz w:val="24"/>
          <w:szCs w:val="24"/>
          <w:lang w:val="es-ES_tradnl" w:eastAsia="es-MX"/>
        </w:rPr>
        <w:t>setenta por ciento</w:t>
      </w:r>
      <w:r w:rsidR="00E763A4" w:rsidRPr="00A04585">
        <w:rPr>
          <w:rFonts w:ascii="Trebuchet MS" w:hAnsi="Trebuchet MS"/>
          <w:color w:val="000000"/>
          <w:sz w:val="24"/>
          <w:szCs w:val="24"/>
          <w:lang w:val="es-ES_tradnl" w:eastAsia="es-MX"/>
        </w:rPr>
        <w:t xml:space="preserve"> </w:t>
      </w:r>
      <w:r w:rsidR="00C13C5C" w:rsidRPr="00A04585">
        <w:rPr>
          <w:rFonts w:ascii="Trebuchet MS" w:hAnsi="Trebuchet MS"/>
          <w:color w:val="000000"/>
          <w:sz w:val="24"/>
          <w:szCs w:val="24"/>
          <w:lang w:val="es-ES_tradnl" w:eastAsia="es-MX"/>
        </w:rPr>
        <w:t xml:space="preserve">de reparto proporcional </w:t>
      </w:r>
      <w:r w:rsidR="00E763A4" w:rsidRPr="00A04585">
        <w:rPr>
          <w:rFonts w:ascii="Trebuchet MS" w:hAnsi="Trebuchet MS"/>
          <w:color w:val="000000"/>
          <w:sz w:val="24"/>
          <w:szCs w:val="24"/>
          <w:lang w:val="es-ES_tradnl" w:eastAsia="es-MX"/>
        </w:rPr>
        <w:t>es igual a la cantidad de $2´</w:t>
      </w:r>
      <w:r w:rsidR="001A6C5F" w:rsidRPr="00A04585">
        <w:rPr>
          <w:rFonts w:ascii="Trebuchet MS" w:hAnsi="Trebuchet MS"/>
          <w:color w:val="000000"/>
          <w:sz w:val="24"/>
          <w:szCs w:val="24"/>
          <w:lang w:val="es-ES_tradnl" w:eastAsia="es-MX"/>
        </w:rPr>
        <w:t>547,018.99</w:t>
      </w:r>
      <w:r w:rsidR="00E763A4" w:rsidRPr="00A04585">
        <w:rPr>
          <w:rFonts w:ascii="Trebuchet MS" w:hAnsi="Trebuchet MS"/>
          <w:color w:val="000000"/>
          <w:sz w:val="24"/>
          <w:szCs w:val="24"/>
          <w:lang w:val="es-ES_tradnl" w:eastAsia="es-MX"/>
        </w:rPr>
        <w:t xml:space="preserve"> (dos millones </w:t>
      </w:r>
      <w:r w:rsidR="001A6C5F" w:rsidRPr="00A04585">
        <w:rPr>
          <w:rFonts w:ascii="Trebuchet MS" w:hAnsi="Trebuchet MS"/>
          <w:color w:val="000000"/>
          <w:sz w:val="24"/>
          <w:szCs w:val="24"/>
          <w:lang w:val="es-ES_tradnl" w:eastAsia="es-MX"/>
        </w:rPr>
        <w:t>quinientos cuarenta y siete mil dieciocho pesos 99</w:t>
      </w:r>
      <w:r w:rsidR="00E763A4" w:rsidRPr="00A04585">
        <w:rPr>
          <w:rFonts w:ascii="Trebuchet MS" w:hAnsi="Trebuchet MS"/>
          <w:color w:val="000000"/>
          <w:sz w:val="24"/>
          <w:szCs w:val="24"/>
          <w:lang w:val="es-ES_tradnl" w:eastAsia="es-MX"/>
        </w:rPr>
        <w:t>/100 M.N.), tal como se expone a continuación:</w:t>
      </w:r>
    </w:p>
    <w:p w14:paraId="1EEA32D3" w14:textId="77777777" w:rsidR="00E763A4" w:rsidRPr="00242547" w:rsidRDefault="00E763A4" w:rsidP="002E7CFF">
      <w:pPr>
        <w:pStyle w:val="Sinespaciado"/>
        <w:jc w:val="both"/>
        <w:rPr>
          <w:rFonts w:ascii="Trebuchet MS" w:hAnsi="Trebuchet MS"/>
          <w:color w:val="000000"/>
          <w:sz w:val="24"/>
          <w:szCs w:val="24"/>
          <w:lang w:val="es-ES_tradnl" w:eastAsia="es-MX"/>
        </w:rPr>
      </w:pPr>
    </w:p>
    <w:tbl>
      <w:tblPr>
        <w:tblW w:w="7174" w:type="dxa"/>
        <w:jc w:val="center"/>
        <w:tblCellMar>
          <w:left w:w="70" w:type="dxa"/>
          <w:right w:w="70" w:type="dxa"/>
        </w:tblCellMar>
        <w:tblLook w:val="04A0" w:firstRow="1" w:lastRow="0" w:firstColumn="1" w:lastColumn="0" w:noHBand="0" w:noVBand="1"/>
      </w:tblPr>
      <w:tblGrid>
        <w:gridCol w:w="3183"/>
        <w:gridCol w:w="3991"/>
      </w:tblGrid>
      <w:tr w:rsidR="001A6C5F" w:rsidRPr="00A04585" w14:paraId="78180A0D" w14:textId="77777777" w:rsidTr="001A6C5F">
        <w:trPr>
          <w:trHeight w:val="430"/>
          <w:jc w:val="center"/>
        </w:trPr>
        <w:tc>
          <w:tcPr>
            <w:tcW w:w="7174" w:type="dxa"/>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7BBF61CE"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3.2 Criterio de distribución: 30% en forma igualitaria, 70% en forma proporcional </w:t>
            </w:r>
          </w:p>
        </w:tc>
      </w:tr>
      <w:tr w:rsidR="001A6C5F" w:rsidRPr="00A04585" w14:paraId="6F89B0E4" w14:textId="77777777" w:rsidTr="001A6C5F">
        <w:trPr>
          <w:trHeight w:val="305"/>
          <w:jc w:val="center"/>
        </w:trPr>
        <w:tc>
          <w:tcPr>
            <w:tcW w:w="3183"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D469C6B"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distribuir</w:t>
            </w:r>
          </w:p>
        </w:tc>
        <w:tc>
          <w:tcPr>
            <w:tcW w:w="3991" w:type="dxa"/>
            <w:tcBorders>
              <w:top w:val="single" w:sz="4" w:space="0" w:color="808080"/>
              <w:left w:val="nil"/>
              <w:bottom w:val="single" w:sz="4" w:space="0" w:color="808080"/>
              <w:right w:val="single" w:sz="8" w:space="0" w:color="808080"/>
            </w:tcBorders>
            <w:shd w:val="clear" w:color="auto" w:fill="auto"/>
            <w:noWrap/>
            <w:vAlign w:val="center"/>
            <w:hideMark/>
          </w:tcPr>
          <w:p w14:paraId="28EB8CEA"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$3,638,598.56</w:t>
            </w:r>
          </w:p>
        </w:tc>
      </w:tr>
      <w:tr w:rsidR="001A6C5F" w:rsidRPr="00A04585" w14:paraId="71BDBA4C" w14:textId="77777777" w:rsidTr="001A6C5F">
        <w:trPr>
          <w:trHeight w:val="305"/>
          <w:jc w:val="center"/>
        </w:trPr>
        <w:tc>
          <w:tcPr>
            <w:tcW w:w="3183"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10540A66"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forma igualitaria</w:t>
            </w:r>
          </w:p>
        </w:tc>
        <w:tc>
          <w:tcPr>
            <w:tcW w:w="3991" w:type="dxa"/>
            <w:tcBorders>
              <w:top w:val="single" w:sz="4" w:space="0" w:color="808080"/>
              <w:left w:val="nil"/>
              <w:bottom w:val="single" w:sz="4" w:space="0" w:color="808080"/>
              <w:right w:val="single" w:sz="8" w:space="0" w:color="808080"/>
            </w:tcBorders>
            <w:shd w:val="clear" w:color="auto" w:fill="auto"/>
            <w:noWrap/>
            <w:vAlign w:val="center"/>
            <w:hideMark/>
          </w:tcPr>
          <w:p w14:paraId="031FB05E"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$1,091,579.57</w:t>
            </w:r>
          </w:p>
        </w:tc>
      </w:tr>
      <w:tr w:rsidR="001A6C5F" w:rsidRPr="00A04585" w14:paraId="67E825D8" w14:textId="77777777" w:rsidTr="001A6C5F">
        <w:trPr>
          <w:trHeight w:val="305"/>
          <w:jc w:val="center"/>
        </w:trPr>
        <w:tc>
          <w:tcPr>
            <w:tcW w:w="3183" w:type="dxa"/>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16A0DFA3"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forma proporcional</w:t>
            </w:r>
          </w:p>
        </w:tc>
        <w:tc>
          <w:tcPr>
            <w:tcW w:w="3991" w:type="dxa"/>
            <w:tcBorders>
              <w:top w:val="single" w:sz="4" w:space="0" w:color="808080"/>
              <w:left w:val="nil"/>
              <w:bottom w:val="single" w:sz="8" w:space="0" w:color="808080"/>
              <w:right w:val="single" w:sz="8" w:space="0" w:color="808080"/>
            </w:tcBorders>
            <w:shd w:val="clear" w:color="000000" w:fill="FFFFFF"/>
            <w:vAlign w:val="center"/>
            <w:hideMark/>
          </w:tcPr>
          <w:p w14:paraId="34B03B85"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$2,547,018.99</w:t>
            </w:r>
          </w:p>
        </w:tc>
      </w:tr>
    </w:tbl>
    <w:p w14:paraId="19AC95FB" w14:textId="77E6E8B0" w:rsidR="00E763A4" w:rsidRPr="00242547" w:rsidRDefault="00E763A4" w:rsidP="002E7CFF">
      <w:pPr>
        <w:pStyle w:val="Sinespaciado"/>
        <w:jc w:val="center"/>
        <w:rPr>
          <w:rFonts w:ascii="Trebuchet MS" w:hAnsi="Trebuchet MS"/>
          <w:color w:val="000000"/>
          <w:sz w:val="24"/>
          <w:szCs w:val="24"/>
          <w:lang w:val="es-ES_tradnl" w:eastAsia="es-MX"/>
        </w:rPr>
      </w:pPr>
    </w:p>
    <w:p w14:paraId="70C1021B" w14:textId="77777777" w:rsidR="001A6C5F" w:rsidRPr="00A04585" w:rsidRDefault="001A6C5F" w:rsidP="002E7CFF">
      <w:pPr>
        <w:pStyle w:val="Sinespaciado"/>
        <w:jc w:val="both"/>
        <w:rPr>
          <w:rFonts w:ascii="Trebuchet MS" w:hAnsi="Trebuchet MS"/>
          <w:color w:val="000000"/>
          <w:sz w:val="24"/>
          <w:szCs w:val="24"/>
          <w:lang w:val="es-ES_tradnl" w:eastAsia="es-MX"/>
        </w:rPr>
      </w:pPr>
    </w:p>
    <w:p w14:paraId="346A1410" w14:textId="1BFC84FE"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Así al dividirse la prime</w:t>
      </w:r>
      <w:r w:rsidR="00841485" w:rsidRPr="00A04585">
        <w:rPr>
          <w:rFonts w:ascii="Trebuchet MS" w:hAnsi="Trebuchet MS"/>
          <w:color w:val="000000"/>
          <w:sz w:val="24"/>
          <w:szCs w:val="24"/>
          <w:lang w:val="es-ES_tradnl" w:eastAsia="es-MX"/>
        </w:rPr>
        <w:t>ra cantidad referida entre siete</w:t>
      </w:r>
      <w:r w:rsidRPr="00A04585">
        <w:rPr>
          <w:rFonts w:ascii="Trebuchet MS" w:hAnsi="Trebuchet MS"/>
          <w:color w:val="000000"/>
          <w:sz w:val="24"/>
          <w:szCs w:val="24"/>
          <w:lang w:val="es-ES_tradnl" w:eastAsia="es-MX"/>
        </w:rPr>
        <w:t>, da como resultado $</w:t>
      </w:r>
      <w:r w:rsidR="001A6C5F" w:rsidRPr="00A04585">
        <w:rPr>
          <w:rFonts w:ascii="Trebuchet MS" w:hAnsi="Trebuchet MS"/>
          <w:color w:val="000000"/>
          <w:sz w:val="24"/>
          <w:szCs w:val="24"/>
          <w:lang w:val="es-ES_tradnl" w:eastAsia="es-MX"/>
        </w:rPr>
        <w:t>155,939.94</w:t>
      </w:r>
      <w:r w:rsidRPr="00A04585">
        <w:rPr>
          <w:rFonts w:ascii="Trebuchet MS" w:hAnsi="Trebuchet MS"/>
          <w:color w:val="000000"/>
          <w:sz w:val="24"/>
          <w:szCs w:val="24"/>
          <w:lang w:val="es-ES_tradnl" w:eastAsia="es-MX"/>
        </w:rPr>
        <w:t xml:space="preserve"> (</w:t>
      </w:r>
      <w:r w:rsidR="001A6C5F" w:rsidRPr="00A04585">
        <w:rPr>
          <w:rFonts w:ascii="Trebuchet MS" w:hAnsi="Trebuchet MS"/>
          <w:color w:val="000000"/>
          <w:sz w:val="24"/>
          <w:szCs w:val="24"/>
          <w:lang w:val="es-ES_tradnl" w:eastAsia="es-MX"/>
        </w:rPr>
        <w:t>ciento cincuenta y cinco mil novecientos treinta y nueve pesos  94</w:t>
      </w:r>
      <w:r w:rsidRPr="00A04585">
        <w:rPr>
          <w:rFonts w:ascii="Trebuchet MS" w:hAnsi="Trebuchet MS"/>
          <w:color w:val="000000"/>
          <w:sz w:val="24"/>
          <w:szCs w:val="24"/>
          <w:lang w:val="es-ES_tradnl" w:eastAsia="es-MX"/>
        </w:rPr>
        <w:t xml:space="preserve">/100 M.N.) que deberán otorgarse a cada una de esas fuerzas políticas, lo que se ilustra en la tabla inserta: </w:t>
      </w:r>
    </w:p>
    <w:p w14:paraId="35574A0F" w14:textId="77777777" w:rsidR="001A6C5F" w:rsidRPr="00A04585" w:rsidRDefault="001A6C5F" w:rsidP="002E7CFF">
      <w:pPr>
        <w:pStyle w:val="Sinespaciado"/>
        <w:jc w:val="both"/>
        <w:rPr>
          <w:rFonts w:ascii="Trebuchet MS" w:hAnsi="Trebuchet MS"/>
          <w:color w:val="000000"/>
          <w:sz w:val="24"/>
          <w:szCs w:val="24"/>
          <w:lang w:val="es-ES_tradnl" w:eastAsia="es-MX"/>
        </w:rPr>
      </w:pPr>
    </w:p>
    <w:p w14:paraId="64908632" w14:textId="77777777" w:rsidR="00E763A4" w:rsidRPr="00242547" w:rsidRDefault="00E763A4" w:rsidP="002E7CFF">
      <w:pPr>
        <w:pStyle w:val="Sinespaciado"/>
        <w:jc w:val="both"/>
        <w:rPr>
          <w:rFonts w:ascii="Trebuchet MS" w:hAnsi="Trebuchet MS"/>
          <w:color w:val="000000"/>
          <w:sz w:val="24"/>
          <w:szCs w:val="24"/>
          <w:lang w:val="es-ES_tradnl" w:eastAsia="es-MX"/>
        </w:rPr>
      </w:pPr>
    </w:p>
    <w:tbl>
      <w:tblPr>
        <w:tblW w:w="6943" w:type="dxa"/>
        <w:jc w:val="center"/>
        <w:tblCellMar>
          <w:left w:w="70" w:type="dxa"/>
          <w:right w:w="70" w:type="dxa"/>
        </w:tblCellMar>
        <w:tblLook w:val="04A0" w:firstRow="1" w:lastRow="0" w:firstColumn="1" w:lastColumn="0" w:noHBand="0" w:noVBand="1"/>
      </w:tblPr>
      <w:tblGrid>
        <w:gridCol w:w="4197"/>
        <w:gridCol w:w="2746"/>
      </w:tblGrid>
      <w:tr w:rsidR="001A6C5F" w:rsidRPr="00A04585" w14:paraId="7E2D17BD" w14:textId="77777777" w:rsidTr="001A6C5F">
        <w:trPr>
          <w:trHeight w:val="357"/>
          <w:jc w:val="center"/>
        </w:trPr>
        <w:tc>
          <w:tcPr>
            <w:tcW w:w="6943" w:type="dxa"/>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61511204"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3.3  Distribución de la parte igualitaria: 30% de la cantidad a distribuir</w:t>
            </w:r>
          </w:p>
        </w:tc>
      </w:tr>
      <w:tr w:rsidR="001A6C5F" w:rsidRPr="00A04585" w14:paraId="47FF3D83" w14:textId="77777777" w:rsidTr="001A6C5F">
        <w:trPr>
          <w:trHeight w:val="357"/>
          <w:jc w:val="center"/>
        </w:trPr>
        <w:tc>
          <w:tcPr>
            <w:tcW w:w="4197"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22F4AA45"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en la parte igualitaria</w:t>
            </w:r>
          </w:p>
        </w:tc>
        <w:tc>
          <w:tcPr>
            <w:tcW w:w="2746" w:type="dxa"/>
            <w:tcBorders>
              <w:top w:val="single" w:sz="4" w:space="0" w:color="808080"/>
              <w:left w:val="nil"/>
              <w:bottom w:val="single" w:sz="4" w:space="0" w:color="808080"/>
              <w:right w:val="single" w:sz="8" w:space="0" w:color="808080"/>
            </w:tcBorders>
            <w:shd w:val="clear" w:color="auto" w:fill="auto"/>
            <w:noWrap/>
            <w:vAlign w:val="center"/>
            <w:hideMark/>
          </w:tcPr>
          <w:p w14:paraId="1F34CF3E"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$1,091,579.57</w:t>
            </w:r>
          </w:p>
        </w:tc>
      </w:tr>
      <w:tr w:rsidR="001A6C5F" w:rsidRPr="00A04585" w14:paraId="26398277" w14:textId="77777777" w:rsidTr="001A6C5F">
        <w:trPr>
          <w:trHeight w:val="357"/>
          <w:jc w:val="center"/>
        </w:trPr>
        <w:tc>
          <w:tcPr>
            <w:tcW w:w="4197" w:type="dxa"/>
            <w:tcBorders>
              <w:top w:val="single" w:sz="4" w:space="0" w:color="808080"/>
              <w:left w:val="single" w:sz="8" w:space="0" w:color="808080"/>
              <w:bottom w:val="nil"/>
              <w:right w:val="single" w:sz="4" w:space="0" w:color="808080"/>
            </w:tcBorders>
            <w:shd w:val="clear" w:color="auto" w:fill="auto"/>
            <w:vAlign w:val="center"/>
            <w:hideMark/>
          </w:tcPr>
          <w:p w14:paraId="25E7A914"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Partidos políticos con derecho a recibirlo</w:t>
            </w:r>
          </w:p>
        </w:tc>
        <w:tc>
          <w:tcPr>
            <w:tcW w:w="2746" w:type="dxa"/>
            <w:tcBorders>
              <w:top w:val="single" w:sz="4" w:space="0" w:color="808080"/>
              <w:left w:val="nil"/>
              <w:bottom w:val="nil"/>
              <w:right w:val="single" w:sz="8" w:space="0" w:color="808080"/>
            </w:tcBorders>
            <w:shd w:val="clear" w:color="auto" w:fill="auto"/>
            <w:noWrap/>
            <w:vAlign w:val="center"/>
            <w:hideMark/>
          </w:tcPr>
          <w:p w14:paraId="434E199D"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7 </w:t>
            </w:r>
          </w:p>
        </w:tc>
      </w:tr>
      <w:tr w:rsidR="001A6C5F" w:rsidRPr="00A04585" w14:paraId="4B182B0A" w14:textId="77777777" w:rsidTr="001A6C5F">
        <w:trPr>
          <w:trHeight w:val="357"/>
          <w:jc w:val="center"/>
        </w:trPr>
        <w:tc>
          <w:tcPr>
            <w:tcW w:w="4197" w:type="dxa"/>
            <w:tcBorders>
              <w:top w:val="single" w:sz="8" w:space="0" w:color="808080"/>
              <w:left w:val="single" w:sz="8" w:space="0" w:color="808080"/>
              <w:bottom w:val="single" w:sz="8" w:space="0" w:color="808080"/>
              <w:right w:val="nil"/>
            </w:tcBorders>
            <w:shd w:val="clear" w:color="000000" w:fill="F3EBF9"/>
            <w:vAlign w:val="center"/>
            <w:hideMark/>
          </w:tcPr>
          <w:p w14:paraId="074ECE53" w14:textId="1ACA0132" w:rsidR="001A6C5F" w:rsidRPr="00A04585" w:rsidRDefault="001A6C5F" w:rsidP="001A6C5F">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Cantidad a entregar por partido político</w:t>
            </w:r>
            <w:r w:rsidR="00AE1293" w:rsidRPr="00A04585">
              <w:rPr>
                <w:rFonts w:ascii="Trebuchet MS" w:eastAsia="Times New Roman" w:hAnsi="Trebuchet MS" w:cs="Calibri Light"/>
                <w:b/>
                <w:bCs/>
                <w:sz w:val="20"/>
                <w:szCs w:val="20"/>
                <w:lang w:eastAsia="es-MX"/>
              </w:rPr>
              <w:t xml:space="preserve"> (sólo para partidos nacionales)</w:t>
            </w:r>
          </w:p>
        </w:tc>
        <w:tc>
          <w:tcPr>
            <w:tcW w:w="2746" w:type="dxa"/>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754DF761" w14:textId="77777777" w:rsidR="001A6C5F" w:rsidRPr="00A04585" w:rsidRDefault="001A6C5F" w:rsidP="001A6C5F">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$155,939.94</w:t>
            </w:r>
          </w:p>
        </w:tc>
      </w:tr>
    </w:tbl>
    <w:p w14:paraId="17792AF2" w14:textId="4186C17D" w:rsidR="00E763A4" w:rsidRPr="00242547" w:rsidRDefault="00E763A4" w:rsidP="002E7CFF">
      <w:pPr>
        <w:pStyle w:val="Sinespaciado"/>
        <w:jc w:val="center"/>
        <w:rPr>
          <w:rFonts w:ascii="Trebuchet MS" w:hAnsi="Trebuchet MS"/>
          <w:color w:val="000000"/>
          <w:sz w:val="24"/>
          <w:szCs w:val="24"/>
          <w:lang w:val="es-ES_tradnl" w:eastAsia="es-MX"/>
        </w:rPr>
      </w:pPr>
    </w:p>
    <w:p w14:paraId="2E19F84C" w14:textId="77777777" w:rsidR="001A6C5F" w:rsidRPr="00A04585" w:rsidRDefault="001A6C5F" w:rsidP="002E7CFF">
      <w:pPr>
        <w:pStyle w:val="Sinespaciado"/>
        <w:jc w:val="both"/>
        <w:rPr>
          <w:rFonts w:ascii="Trebuchet MS" w:hAnsi="Trebuchet MS"/>
          <w:color w:val="000000"/>
          <w:sz w:val="24"/>
          <w:szCs w:val="24"/>
          <w:lang w:val="es-ES_tradnl" w:eastAsia="es-MX"/>
        </w:rPr>
      </w:pPr>
    </w:p>
    <w:p w14:paraId="75F7426A" w14:textId="33E4BD21" w:rsidR="00841485" w:rsidRPr="00A04585" w:rsidRDefault="00841485"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consecuencia, cada uno de los partidos nacionales </w:t>
      </w:r>
      <w:r w:rsidR="00BB17B7" w:rsidRPr="00A04585">
        <w:rPr>
          <w:rFonts w:ascii="Trebuchet MS" w:hAnsi="Trebuchet MS"/>
          <w:color w:val="000000"/>
          <w:sz w:val="24"/>
          <w:szCs w:val="24"/>
          <w:lang w:val="es-ES_tradnl" w:eastAsia="es-MX"/>
        </w:rPr>
        <w:t>tiene derecho a que se le entregue l</w:t>
      </w:r>
      <w:r w:rsidRPr="00A04585">
        <w:rPr>
          <w:rFonts w:ascii="Trebuchet MS" w:hAnsi="Trebuchet MS"/>
          <w:color w:val="000000"/>
          <w:sz w:val="24"/>
          <w:szCs w:val="24"/>
          <w:lang w:val="es-ES_tradnl" w:eastAsia="es-MX"/>
        </w:rPr>
        <w:t>a cantidad mencionada</w:t>
      </w:r>
      <w:r w:rsidR="0083548F" w:rsidRPr="00A04585">
        <w:rPr>
          <w:rFonts w:ascii="Trebuchet MS" w:hAnsi="Trebuchet MS"/>
          <w:color w:val="000000"/>
          <w:sz w:val="24"/>
          <w:szCs w:val="24"/>
          <w:lang w:val="es-ES_tradnl" w:eastAsia="es-MX"/>
        </w:rPr>
        <w:t>, que en total corresponde</w:t>
      </w:r>
      <w:r w:rsidR="00D9226A" w:rsidRPr="00A04585">
        <w:rPr>
          <w:rFonts w:ascii="Trebuchet MS" w:hAnsi="Trebuchet MS"/>
          <w:color w:val="000000"/>
          <w:sz w:val="24"/>
          <w:szCs w:val="24"/>
          <w:lang w:val="es-ES_tradnl" w:eastAsia="es-MX"/>
        </w:rPr>
        <w:t xml:space="preserve"> a la cantidad de $779,699.69</w:t>
      </w:r>
      <w:r w:rsidR="0083548F" w:rsidRPr="00A04585">
        <w:rPr>
          <w:rFonts w:ascii="Trebuchet MS" w:hAnsi="Trebuchet MS"/>
          <w:color w:val="000000"/>
          <w:sz w:val="24"/>
          <w:szCs w:val="24"/>
          <w:lang w:val="es-ES_tradnl" w:eastAsia="es-MX"/>
        </w:rPr>
        <w:t xml:space="preserve"> (setecientos setenta y nueve mil, seis</w:t>
      </w:r>
      <w:r w:rsidR="00D9226A" w:rsidRPr="00A04585">
        <w:rPr>
          <w:rFonts w:ascii="Trebuchet MS" w:hAnsi="Trebuchet MS"/>
          <w:color w:val="000000"/>
          <w:sz w:val="24"/>
          <w:szCs w:val="24"/>
          <w:lang w:val="es-ES_tradnl" w:eastAsia="es-MX"/>
        </w:rPr>
        <w:t>cientos noventa y nueve pesos 69</w:t>
      </w:r>
      <w:r w:rsidR="0083548F" w:rsidRPr="00A04585">
        <w:rPr>
          <w:rFonts w:ascii="Trebuchet MS" w:hAnsi="Trebuchet MS"/>
          <w:color w:val="000000"/>
          <w:sz w:val="24"/>
          <w:szCs w:val="24"/>
          <w:lang w:val="es-ES_tradnl" w:eastAsia="es-MX"/>
        </w:rPr>
        <w:t xml:space="preserve">/100 M.N.) </w:t>
      </w:r>
      <w:r w:rsidRPr="00A04585">
        <w:rPr>
          <w:rFonts w:ascii="Trebuchet MS" w:hAnsi="Trebuchet MS"/>
          <w:color w:val="000000"/>
          <w:sz w:val="24"/>
          <w:szCs w:val="24"/>
          <w:lang w:val="es-ES_tradnl" w:eastAsia="es-MX"/>
        </w:rPr>
        <w:t xml:space="preserve">y, dado que los </w:t>
      </w:r>
      <w:r w:rsidR="00D9226A" w:rsidRPr="00A04585">
        <w:rPr>
          <w:rFonts w:ascii="Trebuchet MS" w:hAnsi="Trebuchet MS"/>
          <w:color w:val="000000"/>
          <w:sz w:val="24"/>
          <w:szCs w:val="24"/>
          <w:lang w:val="es-ES_tradnl" w:eastAsia="es-MX"/>
        </w:rPr>
        <w:t xml:space="preserve">partidos políticos </w:t>
      </w:r>
      <w:r w:rsidRPr="00A04585">
        <w:rPr>
          <w:rFonts w:ascii="Trebuchet MS" w:hAnsi="Trebuchet MS"/>
          <w:color w:val="000000"/>
          <w:sz w:val="24"/>
          <w:szCs w:val="24"/>
          <w:lang w:val="es-ES_tradnl" w:eastAsia="es-MX"/>
        </w:rPr>
        <w:t>estatales no pueden participar en esta bolsa, quedarán sin distribuir dos séptimas partes del monto general destinado a la distribución igualitaria lo que corresponde a $</w:t>
      </w:r>
      <w:r w:rsidR="001A6C5F" w:rsidRPr="00A04585">
        <w:rPr>
          <w:rFonts w:ascii="Trebuchet MS" w:hAnsi="Trebuchet MS"/>
          <w:color w:val="000000"/>
          <w:sz w:val="24"/>
          <w:szCs w:val="24"/>
          <w:lang w:val="es-ES_tradnl" w:eastAsia="es-MX"/>
        </w:rPr>
        <w:t>311,879.88</w:t>
      </w:r>
      <w:r w:rsidRPr="00A04585">
        <w:rPr>
          <w:rFonts w:ascii="Trebuchet MS" w:hAnsi="Trebuchet MS"/>
          <w:color w:val="000000"/>
          <w:sz w:val="24"/>
          <w:szCs w:val="24"/>
          <w:lang w:val="es-ES_tradnl" w:eastAsia="es-MX"/>
        </w:rPr>
        <w:t xml:space="preserve"> (</w:t>
      </w:r>
      <w:r w:rsidR="001A6C5F" w:rsidRPr="00A04585">
        <w:rPr>
          <w:rFonts w:ascii="Trebuchet MS" w:hAnsi="Trebuchet MS"/>
          <w:color w:val="000000"/>
          <w:sz w:val="24"/>
          <w:szCs w:val="24"/>
          <w:lang w:val="es-ES_tradnl" w:eastAsia="es-MX"/>
        </w:rPr>
        <w:t>trescientos once mil ochocientos setenta y nueve pesos 88</w:t>
      </w:r>
      <w:r w:rsidRPr="00A04585">
        <w:rPr>
          <w:rFonts w:ascii="Trebuchet MS" w:hAnsi="Trebuchet MS"/>
          <w:color w:val="000000"/>
          <w:sz w:val="24"/>
          <w:szCs w:val="24"/>
          <w:lang w:val="es-ES_tradnl" w:eastAsia="es-MX"/>
        </w:rPr>
        <w:t>/100 M.N.)</w:t>
      </w:r>
      <w:r w:rsidR="001A6C5F" w:rsidRPr="00A04585">
        <w:rPr>
          <w:rFonts w:ascii="Trebuchet MS" w:hAnsi="Trebuchet MS"/>
          <w:color w:val="000000"/>
          <w:sz w:val="24"/>
          <w:szCs w:val="24"/>
          <w:lang w:val="es-ES_tradnl" w:eastAsia="es-MX"/>
        </w:rPr>
        <w:t>.</w:t>
      </w:r>
    </w:p>
    <w:p w14:paraId="29BBD778" w14:textId="77777777" w:rsidR="00841485" w:rsidRPr="00242547" w:rsidRDefault="00841485" w:rsidP="002E7CFF">
      <w:pPr>
        <w:pStyle w:val="Sinespaciado"/>
        <w:jc w:val="both"/>
        <w:rPr>
          <w:rFonts w:ascii="Trebuchet MS" w:hAnsi="Trebuchet MS"/>
          <w:color w:val="000000"/>
          <w:sz w:val="24"/>
          <w:szCs w:val="24"/>
          <w:lang w:val="es-ES_tradnl" w:eastAsia="es-MX"/>
        </w:rPr>
      </w:pPr>
    </w:p>
    <w:p w14:paraId="7AA1ECC1" w14:textId="71609721"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Del i</w:t>
      </w:r>
      <w:r w:rsidR="00841485" w:rsidRPr="00A04585">
        <w:rPr>
          <w:rFonts w:ascii="Trebuchet MS" w:hAnsi="Trebuchet MS"/>
          <w:color w:val="000000"/>
          <w:sz w:val="24"/>
          <w:szCs w:val="24"/>
          <w:lang w:val="es-ES_tradnl" w:eastAsia="es-MX"/>
        </w:rPr>
        <w:t xml:space="preserve">mporte equivalente al </w:t>
      </w:r>
      <w:r w:rsidR="007B0875" w:rsidRPr="00242547">
        <w:rPr>
          <w:rFonts w:ascii="Trebuchet MS" w:hAnsi="Trebuchet MS"/>
          <w:color w:val="000000"/>
          <w:sz w:val="24"/>
          <w:szCs w:val="24"/>
          <w:lang w:val="es-ES_tradnl" w:eastAsia="es-MX"/>
        </w:rPr>
        <w:t>setenta por ciento</w:t>
      </w:r>
      <w:r w:rsidR="00841485" w:rsidRPr="00A04585">
        <w:rPr>
          <w:rFonts w:ascii="Trebuchet MS" w:hAnsi="Trebuchet MS"/>
          <w:color w:val="000000"/>
          <w:sz w:val="24"/>
          <w:szCs w:val="24"/>
          <w:lang w:val="es-ES_tradnl" w:eastAsia="es-MX"/>
        </w:rPr>
        <w:t xml:space="preserve"> de la bolsa de financiamiento para actividades específicas de partidos políticos nacionales</w:t>
      </w:r>
      <w:r w:rsidRPr="00A04585">
        <w:rPr>
          <w:rFonts w:ascii="Trebuchet MS" w:hAnsi="Trebuchet MS"/>
          <w:color w:val="000000"/>
          <w:sz w:val="24"/>
          <w:szCs w:val="24"/>
          <w:lang w:val="es-ES_tradnl" w:eastAsia="es-MX"/>
        </w:rPr>
        <w:t xml:space="preserve">, debe distribuirse, como se adelantó, sólo lo correspondiente a la votación de obtenida por los partidos políticos </w:t>
      </w:r>
      <w:r w:rsidR="00841485" w:rsidRPr="00A04585">
        <w:rPr>
          <w:rFonts w:ascii="Trebuchet MS" w:hAnsi="Trebuchet MS"/>
          <w:color w:val="000000"/>
          <w:sz w:val="24"/>
          <w:szCs w:val="24"/>
          <w:lang w:val="es-ES_tradnl" w:eastAsia="es-MX"/>
        </w:rPr>
        <w:t xml:space="preserve">nacionales </w:t>
      </w:r>
      <w:r w:rsidRPr="00A04585">
        <w:rPr>
          <w:rFonts w:ascii="Trebuchet MS" w:hAnsi="Trebuchet MS"/>
          <w:color w:val="000000"/>
          <w:sz w:val="24"/>
          <w:szCs w:val="24"/>
          <w:lang w:val="es-ES_tradnl" w:eastAsia="es-MX"/>
        </w:rPr>
        <w:t>referidos, en la elección de diputaciones locales pasada, tal como se muestra enseguida:</w:t>
      </w:r>
    </w:p>
    <w:p w14:paraId="40E0DB76" w14:textId="77777777" w:rsidR="00381031" w:rsidRPr="00A04585" w:rsidRDefault="00381031" w:rsidP="002E7CFF">
      <w:pPr>
        <w:pStyle w:val="Sinespaciado"/>
        <w:jc w:val="both"/>
        <w:rPr>
          <w:rFonts w:ascii="Trebuchet MS" w:hAnsi="Trebuchet MS"/>
          <w:color w:val="000000"/>
          <w:sz w:val="24"/>
          <w:szCs w:val="24"/>
          <w:lang w:val="es-ES_tradnl" w:eastAsia="es-MX"/>
        </w:rPr>
      </w:pPr>
    </w:p>
    <w:p w14:paraId="31049596" w14:textId="77777777" w:rsidR="00E763A4" w:rsidRPr="00242547" w:rsidRDefault="00E763A4" w:rsidP="002E7CFF">
      <w:pPr>
        <w:pStyle w:val="Sinespaciado"/>
        <w:jc w:val="both"/>
        <w:rPr>
          <w:rFonts w:ascii="Trebuchet MS" w:hAnsi="Trebuchet MS"/>
          <w:color w:val="000000"/>
          <w:sz w:val="24"/>
          <w:szCs w:val="24"/>
          <w:lang w:val="es-ES_tradnl" w:eastAsia="es-MX"/>
        </w:rPr>
      </w:pPr>
    </w:p>
    <w:tbl>
      <w:tblPr>
        <w:tblW w:w="8588" w:type="dxa"/>
        <w:tblCellMar>
          <w:left w:w="70" w:type="dxa"/>
          <w:right w:w="70" w:type="dxa"/>
        </w:tblCellMar>
        <w:tblLook w:val="04A0" w:firstRow="1" w:lastRow="0" w:firstColumn="1" w:lastColumn="0" w:noHBand="0" w:noVBand="1"/>
      </w:tblPr>
      <w:tblGrid>
        <w:gridCol w:w="1595"/>
        <w:gridCol w:w="1953"/>
        <w:gridCol w:w="2368"/>
        <w:gridCol w:w="2672"/>
      </w:tblGrid>
      <w:tr w:rsidR="001A6C5F" w:rsidRPr="00A04585" w14:paraId="5D20CB34" w14:textId="77777777" w:rsidTr="001A6C5F">
        <w:trPr>
          <w:trHeight w:val="323"/>
        </w:trPr>
        <w:tc>
          <w:tcPr>
            <w:tcW w:w="8588" w:type="dxa"/>
            <w:gridSpan w:val="4"/>
            <w:tcBorders>
              <w:top w:val="single" w:sz="8" w:space="0" w:color="808080"/>
              <w:left w:val="single" w:sz="8" w:space="0" w:color="808080"/>
              <w:bottom w:val="single" w:sz="8" w:space="0" w:color="808080"/>
              <w:right w:val="single" w:sz="8" w:space="0" w:color="808080"/>
            </w:tcBorders>
            <w:shd w:val="clear" w:color="000000" w:fill="F3EBF9"/>
            <w:noWrap/>
            <w:vAlign w:val="center"/>
            <w:hideMark/>
          </w:tcPr>
          <w:p w14:paraId="1F1754E6"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3.4 Distribución de la parte proporcional: 70% de la cantidad a distribuir</w:t>
            </w:r>
          </w:p>
        </w:tc>
      </w:tr>
      <w:tr w:rsidR="001A6C5F" w:rsidRPr="00A04585" w14:paraId="2C3CB300" w14:textId="77777777" w:rsidTr="001A6C5F">
        <w:trPr>
          <w:trHeight w:val="323"/>
        </w:trPr>
        <w:tc>
          <w:tcPr>
            <w:tcW w:w="3548" w:type="dxa"/>
            <w:gridSpan w:val="2"/>
            <w:tcBorders>
              <w:top w:val="nil"/>
              <w:left w:val="single" w:sz="8" w:space="0" w:color="808080"/>
              <w:bottom w:val="nil"/>
              <w:right w:val="single" w:sz="4" w:space="0" w:color="808080"/>
            </w:tcBorders>
            <w:shd w:val="clear" w:color="auto" w:fill="auto"/>
            <w:vAlign w:val="center"/>
            <w:hideMark/>
          </w:tcPr>
          <w:p w14:paraId="4E2066F3"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cantidad a distribuir</w:t>
            </w:r>
          </w:p>
        </w:tc>
        <w:tc>
          <w:tcPr>
            <w:tcW w:w="5040" w:type="dxa"/>
            <w:gridSpan w:val="2"/>
            <w:tcBorders>
              <w:top w:val="nil"/>
              <w:left w:val="nil"/>
              <w:bottom w:val="single" w:sz="4" w:space="0" w:color="808080"/>
              <w:right w:val="single" w:sz="8" w:space="0" w:color="808080"/>
            </w:tcBorders>
            <w:shd w:val="clear" w:color="000000" w:fill="FFFFFF"/>
            <w:vAlign w:val="center"/>
            <w:hideMark/>
          </w:tcPr>
          <w:p w14:paraId="4C1A690B"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$2,547,018.99</w:t>
            </w:r>
          </w:p>
        </w:tc>
      </w:tr>
      <w:tr w:rsidR="001A6C5F" w:rsidRPr="00A04585" w14:paraId="67DCDA1A" w14:textId="77777777" w:rsidTr="001A6C5F">
        <w:trPr>
          <w:trHeight w:val="625"/>
        </w:trPr>
        <w:tc>
          <w:tcPr>
            <w:tcW w:w="3548" w:type="dxa"/>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FABBEF9" w14:textId="77777777" w:rsidR="001A6C5F" w:rsidRPr="00A04585" w:rsidRDefault="001A6C5F" w:rsidP="001A6C5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Criterio de distribución</w:t>
            </w:r>
          </w:p>
        </w:tc>
        <w:tc>
          <w:tcPr>
            <w:tcW w:w="5040" w:type="dxa"/>
            <w:gridSpan w:val="2"/>
            <w:tcBorders>
              <w:top w:val="single" w:sz="4" w:space="0" w:color="808080"/>
              <w:left w:val="nil"/>
              <w:bottom w:val="single" w:sz="4" w:space="0" w:color="808080"/>
              <w:right w:val="single" w:sz="8" w:space="0" w:color="808080"/>
            </w:tcBorders>
            <w:shd w:val="clear" w:color="auto" w:fill="auto"/>
            <w:vAlign w:val="center"/>
            <w:hideMark/>
          </w:tcPr>
          <w:p w14:paraId="6ACA243B" w14:textId="77777777" w:rsidR="001A6C5F" w:rsidRPr="00A04585" w:rsidRDefault="001A6C5F" w:rsidP="001A6C5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 xml:space="preserve">De acuerdo con el porcentaje de votos obtenidos en la elección de diputaciones por el principio de mayoría relativa inmediata anterior. </w:t>
            </w:r>
            <w:r w:rsidRPr="00A04585">
              <w:rPr>
                <w:rFonts w:ascii="Trebuchet MS" w:eastAsia="Times New Roman" w:hAnsi="Trebuchet MS" w:cs="Calibri Light"/>
                <w:color w:val="000000"/>
                <w:sz w:val="20"/>
                <w:szCs w:val="20"/>
                <w:lang w:eastAsia="es-MX"/>
              </w:rPr>
              <w:br/>
              <w:t>(Art. 13, base IV de  la CPEJ y 46 del CEEJ)</w:t>
            </w:r>
          </w:p>
        </w:tc>
      </w:tr>
      <w:tr w:rsidR="001A6C5F" w:rsidRPr="00A04585" w14:paraId="3B73483A" w14:textId="77777777" w:rsidTr="001A6C5F">
        <w:trPr>
          <w:trHeight w:val="323"/>
        </w:trPr>
        <w:tc>
          <w:tcPr>
            <w:tcW w:w="3548" w:type="dxa"/>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1EA7FC3A" w14:textId="77777777" w:rsidR="001A6C5F" w:rsidRPr="00A04585" w:rsidRDefault="001A6C5F" w:rsidP="001A6C5F">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Votación Obtenida por Partidos Políticos con Derecho a recibir financiamiento público</w:t>
            </w:r>
          </w:p>
        </w:tc>
        <w:tc>
          <w:tcPr>
            <w:tcW w:w="5040"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2D83FC50"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2,679,747 </w:t>
            </w:r>
          </w:p>
        </w:tc>
      </w:tr>
      <w:tr w:rsidR="001A6C5F" w:rsidRPr="00A04585" w14:paraId="559D1E2B" w14:textId="77777777" w:rsidTr="001A6C5F">
        <w:trPr>
          <w:trHeight w:val="323"/>
        </w:trPr>
        <w:tc>
          <w:tcPr>
            <w:tcW w:w="1595" w:type="dxa"/>
            <w:tcBorders>
              <w:top w:val="nil"/>
              <w:left w:val="single" w:sz="8" w:space="0" w:color="808080"/>
              <w:bottom w:val="single" w:sz="4" w:space="0" w:color="808080"/>
              <w:right w:val="single" w:sz="4" w:space="0" w:color="808080"/>
            </w:tcBorders>
            <w:shd w:val="clear" w:color="auto" w:fill="auto"/>
            <w:noWrap/>
            <w:vAlign w:val="center"/>
            <w:hideMark/>
          </w:tcPr>
          <w:p w14:paraId="50A6B7A1"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1953" w:type="dxa"/>
            <w:tcBorders>
              <w:top w:val="nil"/>
              <w:left w:val="nil"/>
              <w:bottom w:val="single" w:sz="4" w:space="0" w:color="808080"/>
              <w:right w:val="single" w:sz="4" w:space="0" w:color="808080"/>
            </w:tcBorders>
            <w:shd w:val="clear" w:color="000000" w:fill="FFFFFF"/>
            <w:vAlign w:val="center"/>
            <w:hideMark/>
          </w:tcPr>
          <w:p w14:paraId="26DF7E2C"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Votación obtenida</w:t>
            </w:r>
          </w:p>
        </w:tc>
        <w:tc>
          <w:tcPr>
            <w:tcW w:w="2368" w:type="dxa"/>
            <w:tcBorders>
              <w:top w:val="single" w:sz="4" w:space="0" w:color="808080"/>
              <w:left w:val="nil"/>
              <w:bottom w:val="single" w:sz="4" w:space="0" w:color="808080"/>
              <w:right w:val="single" w:sz="4" w:space="0" w:color="808080"/>
            </w:tcBorders>
            <w:shd w:val="clear" w:color="000000" w:fill="FFFFFF"/>
            <w:vAlign w:val="center"/>
            <w:hideMark/>
          </w:tcPr>
          <w:p w14:paraId="66F819ED"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de la votación obtenida</w:t>
            </w:r>
          </w:p>
        </w:tc>
        <w:tc>
          <w:tcPr>
            <w:tcW w:w="2671" w:type="dxa"/>
            <w:tcBorders>
              <w:top w:val="single" w:sz="4" w:space="0" w:color="808080"/>
              <w:left w:val="nil"/>
              <w:bottom w:val="single" w:sz="4" w:space="0" w:color="808080"/>
              <w:right w:val="single" w:sz="8" w:space="0" w:color="808080"/>
            </w:tcBorders>
            <w:shd w:val="clear" w:color="000000" w:fill="FFFFFF"/>
            <w:vAlign w:val="center"/>
            <w:hideMark/>
          </w:tcPr>
          <w:p w14:paraId="57077EED"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entregar</w:t>
            </w:r>
          </w:p>
        </w:tc>
      </w:tr>
      <w:tr w:rsidR="001A6C5F" w:rsidRPr="00A04585" w14:paraId="1C985A66" w14:textId="77777777" w:rsidTr="001A6C5F">
        <w:trPr>
          <w:trHeight w:val="323"/>
        </w:trPr>
        <w:tc>
          <w:tcPr>
            <w:tcW w:w="1595" w:type="dxa"/>
            <w:tcBorders>
              <w:top w:val="nil"/>
              <w:left w:val="single" w:sz="8" w:space="0" w:color="808080"/>
              <w:bottom w:val="single" w:sz="4" w:space="0" w:color="808080"/>
              <w:right w:val="single" w:sz="4" w:space="0" w:color="808080"/>
            </w:tcBorders>
            <w:shd w:val="clear" w:color="auto" w:fill="auto"/>
            <w:noWrap/>
            <w:vAlign w:val="center"/>
            <w:hideMark/>
          </w:tcPr>
          <w:p w14:paraId="079B29D2"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PAN</w:t>
            </w:r>
          </w:p>
        </w:tc>
        <w:tc>
          <w:tcPr>
            <w:tcW w:w="1953" w:type="dxa"/>
            <w:tcBorders>
              <w:top w:val="nil"/>
              <w:left w:val="nil"/>
              <w:bottom w:val="single" w:sz="4" w:space="0" w:color="808080"/>
              <w:right w:val="single" w:sz="4" w:space="0" w:color="808080"/>
            </w:tcBorders>
            <w:shd w:val="clear" w:color="000000" w:fill="FFFFFF"/>
            <w:vAlign w:val="center"/>
            <w:hideMark/>
          </w:tcPr>
          <w:p w14:paraId="66A01ABA"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371,381 </w:t>
            </w:r>
          </w:p>
        </w:tc>
        <w:tc>
          <w:tcPr>
            <w:tcW w:w="2368" w:type="dxa"/>
            <w:tcBorders>
              <w:top w:val="single" w:sz="4" w:space="0" w:color="808080"/>
              <w:left w:val="nil"/>
              <w:bottom w:val="single" w:sz="4" w:space="0" w:color="808080"/>
              <w:right w:val="single" w:sz="4" w:space="0" w:color="808080"/>
            </w:tcBorders>
            <w:shd w:val="clear" w:color="000000" w:fill="FFFFFF"/>
            <w:vAlign w:val="center"/>
            <w:hideMark/>
          </w:tcPr>
          <w:p w14:paraId="272E4FAD"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13.8588%</w:t>
            </w:r>
          </w:p>
        </w:tc>
        <w:tc>
          <w:tcPr>
            <w:tcW w:w="2671" w:type="dxa"/>
            <w:tcBorders>
              <w:top w:val="single" w:sz="4" w:space="0" w:color="808080"/>
              <w:left w:val="nil"/>
              <w:bottom w:val="single" w:sz="4" w:space="0" w:color="808080"/>
              <w:right w:val="single" w:sz="8" w:space="0" w:color="808080"/>
            </w:tcBorders>
            <w:shd w:val="clear" w:color="000000" w:fill="FFFFFF"/>
            <w:vAlign w:val="center"/>
            <w:hideMark/>
          </w:tcPr>
          <w:p w14:paraId="36B36E39"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$352,986.48</w:t>
            </w:r>
          </w:p>
        </w:tc>
      </w:tr>
      <w:tr w:rsidR="001A6C5F" w:rsidRPr="00A04585" w14:paraId="3F4212CD" w14:textId="77777777" w:rsidTr="001A6C5F">
        <w:trPr>
          <w:trHeight w:val="323"/>
        </w:trPr>
        <w:tc>
          <w:tcPr>
            <w:tcW w:w="1595" w:type="dxa"/>
            <w:tcBorders>
              <w:top w:val="nil"/>
              <w:left w:val="single" w:sz="8" w:space="0" w:color="808080"/>
              <w:bottom w:val="single" w:sz="4" w:space="0" w:color="808080"/>
              <w:right w:val="single" w:sz="4" w:space="0" w:color="808080"/>
            </w:tcBorders>
            <w:shd w:val="clear" w:color="auto" w:fill="auto"/>
            <w:noWrap/>
            <w:vAlign w:val="center"/>
            <w:hideMark/>
          </w:tcPr>
          <w:p w14:paraId="1BD0BECB"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PRI</w:t>
            </w:r>
          </w:p>
        </w:tc>
        <w:tc>
          <w:tcPr>
            <w:tcW w:w="1953" w:type="dxa"/>
            <w:tcBorders>
              <w:top w:val="nil"/>
              <w:left w:val="nil"/>
              <w:bottom w:val="single" w:sz="4" w:space="0" w:color="808080"/>
              <w:right w:val="single" w:sz="4" w:space="0" w:color="808080"/>
            </w:tcBorders>
            <w:shd w:val="clear" w:color="000000" w:fill="FFFFFF"/>
            <w:vAlign w:val="center"/>
            <w:hideMark/>
          </w:tcPr>
          <w:p w14:paraId="32342D04"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367,139 </w:t>
            </w:r>
          </w:p>
        </w:tc>
        <w:tc>
          <w:tcPr>
            <w:tcW w:w="2368" w:type="dxa"/>
            <w:tcBorders>
              <w:top w:val="single" w:sz="4" w:space="0" w:color="808080"/>
              <w:left w:val="nil"/>
              <w:bottom w:val="single" w:sz="4" w:space="0" w:color="808080"/>
              <w:right w:val="single" w:sz="4" w:space="0" w:color="808080"/>
            </w:tcBorders>
            <w:shd w:val="clear" w:color="000000" w:fill="FFFFFF"/>
            <w:vAlign w:val="center"/>
            <w:hideMark/>
          </w:tcPr>
          <w:p w14:paraId="16AFBFEF"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13.7005%</w:t>
            </w:r>
          </w:p>
        </w:tc>
        <w:tc>
          <w:tcPr>
            <w:tcW w:w="2671" w:type="dxa"/>
            <w:tcBorders>
              <w:top w:val="single" w:sz="4" w:space="0" w:color="808080"/>
              <w:left w:val="nil"/>
              <w:bottom w:val="single" w:sz="4" w:space="0" w:color="808080"/>
              <w:right w:val="single" w:sz="8" w:space="0" w:color="808080"/>
            </w:tcBorders>
            <w:shd w:val="clear" w:color="000000" w:fill="FFFFFF"/>
            <w:vAlign w:val="center"/>
            <w:hideMark/>
          </w:tcPr>
          <w:p w14:paraId="6F62E041"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$348,954.59</w:t>
            </w:r>
          </w:p>
        </w:tc>
      </w:tr>
      <w:tr w:rsidR="001A6C5F" w:rsidRPr="00A04585" w14:paraId="3DCCA03F" w14:textId="77777777" w:rsidTr="001A6C5F">
        <w:trPr>
          <w:trHeight w:val="323"/>
        </w:trPr>
        <w:tc>
          <w:tcPr>
            <w:tcW w:w="1595" w:type="dxa"/>
            <w:tcBorders>
              <w:top w:val="nil"/>
              <w:left w:val="single" w:sz="8" w:space="0" w:color="808080"/>
              <w:bottom w:val="single" w:sz="4" w:space="0" w:color="808080"/>
              <w:right w:val="single" w:sz="4" w:space="0" w:color="808080"/>
            </w:tcBorders>
            <w:shd w:val="clear" w:color="auto" w:fill="auto"/>
            <w:noWrap/>
            <w:vAlign w:val="center"/>
            <w:hideMark/>
          </w:tcPr>
          <w:p w14:paraId="64D81F9B"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PVEM</w:t>
            </w:r>
          </w:p>
        </w:tc>
        <w:tc>
          <w:tcPr>
            <w:tcW w:w="1953" w:type="dxa"/>
            <w:tcBorders>
              <w:top w:val="nil"/>
              <w:left w:val="nil"/>
              <w:bottom w:val="single" w:sz="4" w:space="0" w:color="808080"/>
              <w:right w:val="single" w:sz="4" w:space="0" w:color="808080"/>
            </w:tcBorders>
            <w:shd w:val="clear" w:color="000000" w:fill="FFFFFF"/>
            <w:vAlign w:val="center"/>
            <w:hideMark/>
          </w:tcPr>
          <w:p w14:paraId="5241750B"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94,973 </w:t>
            </w:r>
          </w:p>
        </w:tc>
        <w:tc>
          <w:tcPr>
            <w:tcW w:w="2368" w:type="dxa"/>
            <w:tcBorders>
              <w:top w:val="single" w:sz="4" w:space="0" w:color="808080"/>
              <w:left w:val="nil"/>
              <w:bottom w:val="single" w:sz="4" w:space="0" w:color="808080"/>
              <w:right w:val="single" w:sz="4" w:space="0" w:color="808080"/>
            </w:tcBorders>
            <w:shd w:val="clear" w:color="000000" w:fill="FFFFFF"/>
            <w:vAlign w:val="center"/>
            <w:hideMark/>
          </w:tcPr>
          <w:p w14:paraId="34340AE0"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3.5441%</w:t>
            </w:r>
          </w:p>
        </w:tc>
        <w:tc>
          <w:tcPr>
            <w:tcW w:w="2671" w:type="dxa"/>
            <w:tcBorders>
              <w:top w:val="single" w:sz="4" w:space="0" w:color="808080"/>
              <w:left w:val="nil"/>
              <w:bottom w:val="single" w:sz="4" w:space="0" w:color="808080"/>
              <w:right w:val="single" w:sz="8" w:space="0" w:color="808080"/>
            </w:tcBorders>
            <w:shd w:val="clear" w:color="000000" w:fill="FFFFFF"/>
            <w:vAlign w:val="center"/>
            <w:hideMark/>
          </w:tcPr>
          <w:p w14:paraId="4B921215"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$90,268.98</w:t>
            </w:r>
          </w:p>
        </w:tc>
      </w:tr>
      <w:tr w:rsidR="001A6C5F" w:rsidRPr="00A04585" w14:paraId="17F1368D" w14:textId="77777777" w:rsidTr="001A6C5F">
        <w:trPr>
          <w:trHeight w:val="323"/>
        </w:trPr>
        <w:tc>
          <w:tcPr>
            <w:tcW w:w="1595" w:type="dxa"/>
            <w:tcBorders>
              <w:top w:val="nil"/>
              <w:left w:val="single" w:sz="8" w:space="0" w:color="808080"/>
              <w:bottom w:val="single" w:sz="4" w:space="0" w:color="808080"/>
              <w:right w:val="single" w:sz="4" w:space="0" w:color="808080"/>
            </w:tcBorders>
            <w:shd w:val="clear" w:color="auto" w:fill="auto"/>
            <w:noWrap/>
            <w:vAlign w:val="center"/>
            <w:hideMark/>
          </w:tcPr>
          <w:p w14:paraId="6E2C6AF3"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MC</w:t>
            </w:r>
          </w:p>
        </w:tc>
        <w:tc>
          <w:tcPr>
            <w:tcW w:w="1953" w:type="dxa"/>
            <w:tcBorders>
              <w:top w:val="nil"/>
              <w:left w:val="nil"/>
              <w:bottom w:val="single" w:sz="4" w:space="0" w:color="808080"/>
              <w:right w:val="single" w:sz="4" w:space="0" w:color="808080"/>
            </w:tcBorders>
            <w:shd w:val="clear" w:color="000000" w:fill="FFFFFF"/>
            <w:vAlign w:val="center"/>
            <w:hideMark/>
          </w:tcPr>
          <w:p w14:paraId="390FD2DB"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965,089 </w:t>
            </w:r>
          </w:p>
        </w:tc>
        <w:tc>
          <w:tcPr>
            <w:tcW w:w="2368" w:type="dxa"/>
            <w:tcBorders>
              <w:top w:val="single" w:sz="4" w:space="0" w:color="808080"/>
              <w:left w:val="nil"/>
              <w:bottom w:val="single" w:sz="4" w:space="0" w:color="808080"/>
              <w:right w:val="single" w:sz="4" w:space="0" w:color="808080"/>
            </w:tcBorders>
            <w:shd w:val="clear" w:color="000000" w:fill="FFFFFF"/>
            <w:vAlign w:val="center"/>
            <w:hideMark/>
          </w:tcPr>
          <w:p w14:paraId="2F18E8A9"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36.0142%</w:t>
            </w:r>
          </w:p>
        </w:tc>
        <w:tc>
          <w:tcPr>
            <w:tcW w:w="2671" w:type="dxa"/>
            <w:tcBorders>
              <w:top w:val="single" w:sz="4" w:space="0" w:color="808080"/>
              <w:left w:val="nil"/>
              <w:bottom w:val="single" w:sz="4" w:space="0" w:color="808080"/>
              <w:right w:val="single" w:sz="8" w:space="0" w:color="808080"/>
            </w:tcBorders>
            <w:shd w:val="clear" w:color="000000" w:fill="FFFFFF"/>
            <w:vAlign w:val="center"/>
            <w:hideMark/>
          </w:tcPr>
          <w:p w14:paraId="69A271B6"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$917,288.09</w:t>
            </w:r>
          </w:p>
        </w:tc>
      </w:tr>
      <w:tr w:rsidR="001A6C5F" w:rsidRPr="00A04585" w14:paraId="1B4DF3D9" w14:textId="77777777" w:rsidTr="001A6C5F">
        <w:trPr>
          <w:trHeight w:val="323"/>
        </w:trPr>
        <w:tc>
          <w:tcPr>
            <w:tcW w:w="1595" w:type="dxa"/>
            <w:tcBorders>
              <w:top w:val="nil"/>
              <w:left w:val="single" w:sz="8" w:space="0" w:color="808080"/>
              <w:bottom w:val="single" w:sz="4" w:space="0" w:color="808080"/>
              <w:right w:val="single" w:sz="4" w:space="0" w:color="808080"/>
            </w:tcBorders>
            <w:shd w:val="clear" w:color="auto" w:fill="auto"/>
            <w:noWrap/>
            <w:vAlign w:val="center"/>
            <w:hideMark/>
          </w:tcPr>
          <w:p w14:paraId="1BC67420"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MORENA</w:t>
            </w:r>
          </w:p>
        </w:tc>
        <w:tc>
          <w:tcPr>
            <w:tcW w:w="1953" w:type="dxa"/>
            <w:tcBorders>
              <w:top w:val="nil"/>
              <w:left w:val="nil"/>
              <w:bottom w:val="single" w:sz="4" w:space="0" w:color="808080"/>
              <w:right w:val="single" w:sz="4" w:space="0" w:color="808080"/>
            </w:tcBorders>
            <w:shd w:val="clear" w:color="000000" w:fill="FFFFFF"/>
            <w:vAlign w:val="center"/>
            <w:hideMark/>
          </w:tcPr>
          <w:p w14:paraId="2761AC3E"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618,777 </w:t>
            </w:r>
          </w:p>
        </w:tc>
        <w:tc>
          <w:tcPr>
            <w:tcW w:w="2368" w:type="dxa"/>
            <w:tcBorders>
              <w:top w:val="single" w:sz="4" w:space="0" w:color="808080"/>
              <w:left w:val="nil"/>
              <w:bottom w:val="single" w:sz="4" w:space="0" w:color="808080"/>
              <w:right w:val="single" w:sz="4" w:space="0" w:color="808080"/>
            </w:tcBorders>
            <w:shd w:val="clear" w:color="000000" w:fill="FFFFFF"/>
            <w:vAlign w:val="center"/>
            <w:hideMark/>
          </w:tcPr>
          <w:p w14:paraId="69199E56"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23.0909%</w:t>
            </w:r>
          </w:p>
        </w:tc>
        <w:tc>
          <w:tcPr>
            <w:tcW w:w="2671" w:type="dxa"/>
            <w:tcBorders>
              <w:top w:val="single" w:sz="4" w:space="0" w:color="808080"/>
              <w:left w:val="nil"/>
              <w:bottom w:val="single" w:sz="4" w:space="0" w:color="808080"/>
              <w:right w:val="single" w:sz="8" w:space="0" w:color="808080"/>
            </w:tcBorders>
            <w:shd w:val="clear" w:color="000000" w:fill="FFFFFF"/>
            <w:vAlign w:val="center"/>
            <w:hideMark/>
          </w:tcPr>
          <w:p w14:paraId="16DC44F4"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$588,128.94</w:t>
            </w:r>
          </w:p>
        </w:tc>
      </w:tr>
      <w:tr w:rsidR="001A6C5F" w:rsidRPr="00A04585" w14:paraId="0A62AB0F" w14:textId="77777777" w:rsidTr="001A6C5F">
        <w:trPr>
          <w:trHeight w:val="323"/>
        </w:trPr>
        <w:tc>
          <w:tcPr>
            <w:tcW w:w="1595" w:type="dxa"/>
            <w:tcBorders>
              <w:top w:val="nil"/>
              <w:left w:val="single" w:sz="8" w:space="0" w:color="808080"/>
              <w:bottom w:val="single" w:sz="8" w:space="0" w:color="808080"/>
              <w:right w:val="single" w:sz="4" w:space="0" w:color="808080"/>
            </w:tcBorders>
            <w:shd w:val="clear" w:color="auto" w:fill="auto"/>
            <w:noWrap/>
            <w:vAlign w:val="center"/>
            <w:hideMark/>
          </w:tcPr>
          <w:p w14:paraId="18908FF2"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w:t>
            </w:r>
          </w:p>
        </w:tc>
        <w:tc>
          <w:tcPr>
            <w:tcW w:w="1953" w:type="dxa"/>
            <w:tcBorders>
              <w:top w:val="nil"/>
              <w:left w:val="nil"/>
              <w:bottom w:val="single" w:sz="8" w:space="0" w:color="808080"/>
              <w:right w:val="single" w:sz="4" w:space="0" w:color="808080"/>
            </w:tcBorders>
            <w:shd w:val="clear" w:color="000000" w:fill="FFFFFF"/>
            <w:vAlign w:val="center"/>
            <w:hideMark/>
          </w:tcPr>
          <w:p w14:paraId="7CEEEEA8"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2,417,359 </w:t>
            </w:r>
          </w:p>
        </w:tc>
        <w:tc>
          <w:tcPr>
            <w:tcW w:w="2368" w:type="dxa"/>
            <w:tcBorders>
              <w:top w:val="single" w:sz="4" w:space="0" w:color="808080"/>
              <w:left w:val="nil"/>
              <w:bottom w:val="single" w:sz="8" w:space="0" w:color="808080"/>
              <w:right w:val="single" w:sz="4" w:space="0" w:color="808080"/>
            </w:tcBorders>
            <w:shd w:val="clear" w:color="000000" w:fill="FFFFFF"/>
            <w:vAlign w:val="center"/>
            <w:hideMark/>
          </w:tcPr>
          <w:p w14:paraId="7546A8A0" w14:textId="69F53C88" w:rsidR="001A6C5F" w:rsidRPr="00A04585" w:rsidRDefault="001A6C5F" w:rsidP="001A6C5F">
            <w:pPr>
              <w:jc w:val="center"/>
              <w:rPr>
                <w:rFonts w:ascii="Trebuchet MS" w:eastAsia="Times New Roman" w:hAnsi="Trebuchet MS" w:cs="Calibri Light"/>
                <w:b/>
                <w:bCs/>
                <w:color w:val="000000"/>
                <w:sz w:val="20"/>
                <w:szCs w:val="20"/>
                <w:lang w:eastAsia="es-MX"/>
              </w:rPr>
            </w:pPr>
            <w:r w:rsidRPr="00242547">
              <w:rPr>
                <w:rFonts w:ascii="Trebuchet MS" w:eastAsia="Times New Roman" w:hAnsi="Trebuchet MS" w:cs="Calibri Light"/>
                <w:b/>
                <w:bCs/>
                <w:color w:val="000000"/>
                <w:sz w:val="20"/>
                <w:szCs w:val="20"/>
                <w:lang w:eastAsia="es-MX"/>
              </w:rPr>
              <w:t>90</w:t>
            </w:r>
            <w:r w:rsidR="00BB37BD" w:rsidRPr="00242547">
              <w:rPr>
                <w:rFonts w:ascii="Trebuchet MS" w:eastAsia="Times New Roman" w:hAnsi="Trebuchet MS" w:cs="Calibri Light"/>
                <w:b/>
                <w:bCs/>
                <w:color w:val="000000"/>
                <w:sz w:val="20"/>
                <w:szCs w:val="20"/>
                <w:lang w:eastAsia="es-MX"/>
              </w:rPr>
              <w:t>.2085</w:t>
            </w:r>
            <w:r w:rsidRPr="00242547">
              <w:rPr>
                <w:rFonts w:ascii="Trebuchet MS" w:eastAsia="Times New Roman" w:hAnsi="Trebuchet MS" w:cs="Calibri Light"/>
                <w:b/>
                <w:bCs/>
                <w:color w:val="000000"/>
                <w:sz w:val="20"/>
                <w:szCs w:val="20"/>
                <w:lang w:eastAsia="es-MX"/>
              </w:rPr>
              <w:t>%</w:t>
            </w:r>
          </w:p>
        </w:tc>
        <w:tc>
          <w:tcPr>
            <w:tcW w:w="2671" w:type="dxa"/>
            <w:tcBorders>
              <w:top w:val="single" w:sz="4" w:space="0" w:color="808080"/>
              <w:left w:val="nil"/>
              <w:bottom w:val="single" w:sz="8" w:space="0" w:color="808080"/>
              <w:right w:val="single" w:sz="8" w:space="0" w:color="808080"/>
            </w:tcBorders>
            <w:shd w:val="clear" w:color="000000" w:fill="FFFFFF"/>
            <w:vAlign w:val="center"/>
            <w:hideMark/>
          </w:tcPr>
          <w:p w14:paraId="32BFFD3C" w14:textId="77777777" w:rsidR="001A6C5F" w:rsidRPr="00A04585" w:rsidRDefault="001A6C5F" w:rsidP="001A6C5F">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$2,297,627.08</w:t>
            </w:r>
          </w:p>
        </w:tc>
      </w:tr>
    </w:tbl>
    <w:p w14:paraId="17EB5D82" w14:textId="6C908457" w:rsidR="00E763A4" w:rsidRPr="00242547" w:rsidRDefault="00E763A4" w:rsidP="002E7CFF">
      <w:pPr>
        <w:pStyle w:val="Sinespaciado"/>
        <w:jc w:val="center"/>
        <w:rPr>
          <w:rFonts w:ascii="Trebuchet MS" w:hAnsi="Trebuchet MS"/>
          <w:color w:val="000000"/>
          <w:sz w:val="24"/>
          <w:szCs w:val="24"/>
          <w:lang w:val="es-ES_tradnl" w:eastAsia="es-MX"/>
        </w:rPr>
      </w:pPr>
    </w:p>
    <w:p w14:paraId="3B6EF8AD" w14:textId="77777777" w:rsidR="00E763A4" w:rsidRPr="00242547" w:rsidRDefault="00E763A4" w:rsidP="002E7CFF">
      <w:pPr>
        <w:pStyle w:val="Sinespaciado"/>
        <w:jc w:val="both"/>
        <w:rPr>
          <w:rFonts w:ascii="Trebuchet MS" w:hAnsi="Trebuchet MS"/>
          <w:color w:val="000000"/>
          <w:sz w:val="24"/>
          <w:szCs w:val="24"/>
          <w:lang w:val="es-ES_tradnl" w:eastAsia="es-MX"/>
        </w:rPr>
      </w:pPr>
    </w:p>
    <w:p w14:paraId="2B46E462" w14:textId="0E1CC024"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El </w:t>
      </w:r>
      <w:r w:rsidR="000525F6" w:rsidRPr="00A04585">
        <w:rPr>
          <w:rFonts w:ascii="Trebuchet MS" w:hAnsi="Trebuchet MS"/>
          <w:color w:val="000000"/>
          <w:sz w:val="24"/>
          <w:szCs w:val="24"/>
          <w:lang w:val="es-ES_tradnl" w:eastAsia="es-MX"/>
        </w:rPr>
        <w:t>ejercicio</w:t>
      </w:r>
      <w:r w:rsidRPr="00A04585">
        <w:rPr>
          <w:rFonts w:ascii="Trebuchet MS" w:hAnsi="Trebuchet MS"/>
          <w:color w:val="000000"/>
          <w:sz w:val="24"/>
          <w:szCs w:val="24"/>
          <w:lang w:val="es-ES_tradnl" w:eastAsia="es-MX"/>
        </w:rPr>
        <w:t xml:space="preserve"> demuestra que no fue asignada a ningún partido político la porción correspondiente a la suma del porcentaje de los partidos locales (5.2328% de Hagamos y 4.5558% de Futuro) porque ya se dijo que no entran en la repartición del financiamiento destinado a los nacionales, lo cual es necesario para guardar la proporción entre votación obtenida</w:t>
      </w:r>
      <w:r w:rsidR="00BB17B7" w:rsidRPr="00A04585">
        <w:rPr>
          <w:rFonts w:ascii="Trebuchet MS" w:hAnsi="Trebuchet MS"/>
          <w:color w:val="000000"/>
          <w:sz w:val="24"/>
          <w:szCs w:val="24"/>
          <w:lang w:val="es-ES_tradnl" w:eastAsia="es-MX"/>
        </w:rPr>
        <w:t xml:space="preserve"> por cada partido y el total de los sufragios conseguidos por todos los partidos participantes.</w:t>
      </w:r>
    </w:p>
    <w:p w14:paraId="59B44DC8" w14:textId="77777777" w:rsidR="00E763A4" w:rsidRPr="00242547" w:rsidRDefault="00E763A4" w:rsidP="002E7CFF">
      <w:pPr>
        <w:pStyle w:val="Sinespaciado"/>
        <w:jc w:val="both"/>
        <w:rPr>
          <w:rFonts w:ascii="Trebuchet MS" w:hAnsi="Trebuchet MS"/>
          <w:color w:val="000000"/>
          <w:sz w:val="24"/>
          <w:szCs w:val="24"/>
          <w:lang w:val="es-ES_tradnl" w:eastAsia="es-MX"/>
        </w:rPr>
      </w:pPr>
    </w:p>
    <w:p w14:paraId="7518C4C0" w14:textId="57B3F02A" w:rsidR="00E763A4" w:rsidRPr="00A04585" w:rsidRDefault="000401FE"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En consecuencia, </w:t>
      </w:r>
      <w:r w:rsidR="00E763A4" w:rsidRPr="00A04585">
        <w:rPr>
          <w:rFonts w:ascii="Trebuchet MS" w:hAnsi="Trebuchet MS"/>
          <w:color w:val="000000"/>
          <w:sz w:val="24"/>
          <w:szCs w:val="24"/>
          <w:lang w:val="es-ES_tradnl" w:eastAsia="es-MX"/>
        </w:rPr>
        <w:t>de los recursos que deben distribuirse conforme a la votación obtenida, quedaría sin asignar la cantidad de $</w:t>
      </w:r>
      <w:r w:rsidR="006A3884" w:rsidRPr="00A04585">
        <w:rPr>
          <w:rFonts w:ascii="Trebuchet MS" w:hAnsi="Trebuchet MS"/>
          <w:color w:val="000000"/>
          <w:sz w:val="24"/>
          <w:szCs w:val="24"/>
          <w:lang w:val="es-ES_tradnl" w:eastAsia="es-MX"/>
        </w:rPr>
        <w:t>249,391.91</w:t>
      </w:r>
      <w:r w:rsidR="00E763A4" w:rsidRPr="00A04585">
        <w:rPr>
          <w:rFonts w:ascii="Trebuchet MS" w:hAnsi="Trebuchet MS"/>
          <w:color w:val="000000"/>
          <w:sz w:val="24"/>
          <w:szCs w:val="24"/>
          <w:lang w:val="es-ES_tradnl" w:eastAsia="es-MX"/>
        </w:rPr>
        <w:t xml:space="preserve"> (</w:t>
      </w:r>
      <w:r w:rsidR="006A3884" w:rsidRPr="00A04585">
        <w:rPr>
          <w:rFonts w:ascii="Trebuchet MS" w:hAnsi="Trebuchet MS"/>
          <w:color w:val="000000"/>
          <w:sz w:val="24"/>
          <w:szCs w:val="24"/>
          <w:lang w:val="es-ES_tradnl" w:eastAsia="es-MX"/>
        </w:rPr>
        <w:t>doscientos cuarenta y nueve mil trescientos noventa y uno 91</w:t>
      </w:r>
      <w:r w:rsidR="00E763A4" w:rsidRPr="00A04585">
        <w:rPr>
          <w:rFonts w:ascii="Trebuchet MS" w:hAnsi="Trebuchet MS"/>
          <w:color w:val="000000"/>
          <w:sz w:val="24"/>
          <w:szCs w:val="24"/>
          <w:lang w:val="es-ES_tradnl" w:eastAsia="es-MX"/>
        </w:rPr>
        <w:t xml:space="preserve">/100 M.N.) que equivale en números redondos al </w:t>
      </w:r>
      <w:r w:rsidR="007B0875" w:rsidRPr="00242547">
        <w:rPr>
          <w:rFonts w:ascii="Trebuchet MS" w:hAnsi="Trebuchet MS"/>
          <w:color w:val="000000"/>
          <w:sz w:val="24"/>
          <w:szCs w:val="24"/>
          <w:lang w:val="es-ES_tradnl" w:eastAsia="es-MX"/>
        </w:rPr>
        <w:t>diez por ciento</w:t>
      </w:r>
      <w:r w:rsidR="00E763A4" w:rsidRPr="00A04585">
        <w:rPr>
          <w:rFonts w:ascii="Trebuchet MS" w:hAnsi="Trebuchet MS"/>
          <w:color w:val="000000"/>
          <w:sz w:val="24"/>
          <w:szCs w:val="24"/>
          <w:lang w:val="es-ES_tradnl" w:eastAsia="es-MX"/>
        </w:rPr>
        <w:t xml:space="preserve"> del total y a su vez es un porcentaje igual al de la suma de la votación de los partidos locales a los que no se les asignaron recursos de esa bolsa. Entonces se distribuyeron $</w:t>
      </w:r>
      <w:r w:rsidR="006A3884" w:rsidRPr="00A04585">
        <w:rPr>
          <w:rFonts w:ascii="Trebuchet MS" w:hAnsi="Trebuchet MS"/>
          <w:color w:val="000000"/>
          <w:sz w:val="24"/>
          <w:szCs w:val="24"/>
          <w:lang w:val="es-ES_tradnl" w:eastAsia="es-MX"/>
        </w:rPr>
        <w:t>2´297,627.08</w:t>
      </w:r>
      <w:r w:rsidR="00E763A4" w:rsidRPr="00A04585">
        <w:rPr>
          <w:rFonts w:ascii="Trebuchet MS" w:hAnsi="Trebuchet MS"/>
          <w:color w:val="000000"/>
          <w:sz w:val="24"/>
          <w:szCs w:val="24"/>
          <w:lang w:val="es-ES_tradnl" w:eastAsia="es-MX"/>
        </w:rPr>
        <w:t xml:space="preserve"> (dos millones </w:t>
      </w:r>
      <w:r w:rsidR="006A3884" w:rsidRPr="00A04585">
        <w:rPr>
          <w:rFonts w:ascii="Trebuchet MS" w:hAnsi="Trebuchet MS"/>
          <w:color w:val="000000"/>
          <w:sz w:val="24"/>
          <w:szCs w:val="24"/>
          <w:lang w:val="es-ES_tradnl" w:eastAsia="es-MX"/>
        </w:rPr>
        <w:t xml:space="preserve">doscientos noventa y siete mil </w:t>
      </w:r>
      <w:r w:rsidR="005C0732" w:rsidRPr="00A04585">
        <w:rPr>
          <w:rFonts w:ascii="Trebuchet MS" w:hAnsi="Trebuchet MS"/>
          <w:color w:val="000000"/>
          <w:sz w:val="24"/>
          <w:szCs w:val="24"/>
          <w:lang w:val="es-ES_tradnl" w:eastAsia="es-MX"/>
        </w:rPr>
        <w:t xml:space="preserve">seiscientos veintisiete </w:t>
      </w:r>
      <w:r w:rsidR="006A3884" w:rsidRPr="00A04585">
        <w:rPr>
          <w:rFonts w:ascii="Trebuchet MS" w:hAnsi="Trebuchet MS"/>
          <w:color w:val="000000"/>
          <w:sz w:val="24"/>
          <w:szCs w:val="24"/>
          <w:lang w:val="es-ES_tradnl" w:eastAsia="es-MX"/>
        </w:rPr>
        <w:t>pesos 08</w:t>
      </w:r>
      <w:r w:rsidR="00E763A4" w:rsidRPr="00A04585">
        <w:rPr>
          <w:rFonts w:ascii="Trebuchet MS" w:hAnsi="Trebuchet MS"/>
          <w:color w:val="000000"/>
          <w:sz w:val="24"/>
          <w:szCs w:val="24"/>
          <w:lang w:val="es-ES_tradnl" w:eastAsia="es-MX"/>
        </w:rPr>
        <w:t>/100 M.N.), de un total de $2´</w:t>
      </w:r>
      <w:r w:rsidR="006A3884" w:rsidRPr="00A04585">
        <w:rPr>
          <w:rFonts w:ascii="Trebuchet MS" w:hAnsi="Trebuchet MS"/>
          <w:color w:val="000000"/>
          <w:sz w:val="24"/>
          <w:szCs w:val="24"/>
          <w:lang w:val="es-ES_tradnl" w:eastAsia="es-MX"/>
        </w:rPr>
        <w:t>547,018.99</w:t>
      </w:r>
      <w:r w:rsidR="00E763A4" w:rsidRPr="00A04585">
        <w:rPr>
          <w:rFonts w:ascii="Trebuchet MS" w:hAnsi="Trebuchet MS"/>
          <w:color w:val="000000"/>
          <w:sz w:val="24"/>
          <w:szCs w:val="24"/>
          <w:lang w:val="es-ES_tradnl" w:eastAsia="es-MX"/>
        </w:rPr>
        <w:t xml:space="preserve"> (dos millones </w:t>
      </w:r>
      <w:r w:rsidR="006A3884" w:rsidRPr="00A04585">
        <w:rPr>
          <w:rFonts w:ascii="Trebuchet MS" w:hAnsi="Trebuchet MS"/>
          <w:color w:val="000000"/>
          <w:sz w:val="24"/>
          <w:szCs w:val="24"/>
          <w:lang w:val="es-ES_tradnl" w:eastAsia="es-MX"/>
        </w:rPr>
        <w:t>quinientos cuarenta y siete mil dieciocho pesos 99</w:t>
      </w:r>
      <w:r w:rsidR="00E763A4" w:rsidRPr="00A04585">
        <w:rPr>
          <w:rFonts w:ascii="Trebuchet MS" w:hAnsi="Trebuchet MS"/>
          <w:color w:val="000000"/>
          <w:sz w:val="24"/>
          <w:szCs w:val="24"/>
          <w:lang w:val="es-ES_tradnl" w:eastAsia="es-MX"/>
        </w:rPr>
        <w:t>/100 M.N.).</w:t>
      </w:r>
    </w:p>
    <w:p w14:paraId="5C3FD61B" w14:textId="77777777" w:rsidR="00E763A4" w:rsidRPr="00242547" w:rsidRDefault="00E763A4" w:rsidP="002E7CFF">
      <w:pPr>
        <w:pStyle w:val="Sinespaciado"/>
        <w:jc w:val="both"/>
        <w:rPr>
          <w:rFonts w:ascii="Trebuchet MS" w:hAnsi="Trebuchet MS"/>
          <w:color w:val="000000"/>
          <w:sz w:val="24"/>
          <w:szCs w:val="24"/>
          <w:lang w:val="es-ES_tradnl" w:eastAsia="es-MX"/>
        </w:rPr>
      </w:pPr>
    </w:p>
    <w:p w14:paraId="46431E29" w14:textId="132E23E1"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 continuación, se presenta la sumatoria del financiamiento que por actividades específicas corresponde a cada uno de los mencionados partidos nacionales, integrada por la parte correspondiente del </w:t>
      </w:r>
      <w:r w:rsidR="007B0875"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igualitario y el </w:t>
      </w:r>
      <w:r w:rsidR="007B0875" w:rsidRPr="00242547">
        <w:rPr>
          <w:rFonts w:ascii="Trebuchet MS" w:hAnsi="Trebuchet MS"/>
          <w:color w:val="000000"/>
          <w:sz w:val="24"/>
          <w:szCs w:val="24"/>
          <w:lang w:val="es-ES_tradnl" w:eastAsia="es-MX"/>
        </w:rPr>
        <w:t>setenta por ciento</w:t>
      </w:r>
      <w:r w:rsidRPr="00A04585">
        <w:rPr>
          <w:rFonts w:ascii="Trebuchet MS" w:hAnsi="Trebuchet MS"/>
          <w:color w:val="000000"/>
          <w:sz w:val="24"/>
          <w:szCs w:val="24"/>
          <w:lang w:val="es-ES_tradnl" w:eastAsia="es-MX"/>
        </w:rPr>
        <w:t xml:space="preserve"> atinente a la votación válida que cada uno obtuvo.</w:t>
      </w:r>
    </w:p>
    <w:p w14:paraId="764F0F34" w14:textId="77777777" w:rsidR="00997446" w:rsidRPr="00A04585" w:rsidRDefault="00997446" w:rsidP="002E7CFF">
      <w:pPr>
        <w:pStyle w:val="Sinespaciado"/>
        <w:jc w:val="both"/>
        <w:rPr>
          <w:rFonts w:ascii="Trebuchet MS" w:hAnsi="Trebuchet MS"/>
          <w:color w:val="000000"/>
          <w:sz w:val="24"/>
          <w:szCs w:val="24"/>
          <w:lang w:val="es-ES_tradnl" w:eastAsia="es-MX"/>
        </w:rPr>
      </w:pPr>
    </w:p>
    <w:p w14:paraId="4B53E1A3" w14:textId="1805B3FC" w:rsidR="00FC6D72" w:rsidRPr="00242547" w:rsidRDefault="00FC6D72" w:rsidP="002E7CFF">
      <w:pPr>
        <w:pStyle w:val="Sinespaciado"/>
        <w:jc w:val="both"/>
        <w:rPr>
          <w:rFonts w:ascii="Trebuchet MS" w:hAnsi="Trebuchet MS"/>
          <w:color w:val="000000"/>
          <w:sz w:val="24"/>
          <w:szCs w:val="24"/>
          <w:lang w:val="es-ES_tradnl" w:eastAsia="es-MX"/>
        </w:rPr>
      </w:pPr>
    </w:p>
    <w:tbl>
      <w:tblPr>
        <w:tblW w:w="8384" w:type="dxa"/>
        <w:tblCellMar>
          <w:left w:w="70" w:type="dxa"/>
          <w:right w:w="70" w:type="dxa"/>
        </w:tblCellMar>
        <w:tblLook w:val="04A0" w:firstRow="1" w:lastRow="0" w:firstColumn="1" w:lastColumn="0" w:noHBand="0" w:noVBand="1"/>
      </w:tblPr>
      <w:tblGrid>
        <w:gridCol w:w="1202"/>
        <w:gridCol w:w="1765"/>
        <w:gridCol w:w="3043"/>
        <w:gridCol w:w="2374"/>
      </w:tblGrid>
      <w:tr w:rsidR="00997446" w:rsidRPr="00A04585" w14:paraId="78824451" w14:textId="77777777" w:rsidTr="00997446">
        <w:trPr>
          <w:trHeight w:val="730"/>
        </w:trPr>
        <w:tc>
          <w:tcPr>
            <w:tcW w:w="8384" w:type="dxa"/>
            <w:gridSpan w:val="4"/>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3FE2BD3B"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3.5 Cantidades a entregar por concepto de financiamiento público para actividades específicas a partidos políticos nacionales acreditados en Jalisco, 2023. </w:t>
            </w:r>
          </w:p>
        </w:tc>
      </w:tr>
      <w:tr w:rsidR="00997446" w:rsidRPr="00A04585" w14:paraId="702AAC7F" w14:textId="77777777" w:rsidTr="00997446">
        <w:trPr>
          <w:trHeight w:val="256"/>
        </w:trPr>
        <w:tc>
          <w:tcPr>
            <w:tcW w:w="1202" w:type="dxa"/>
            <w:tcBorders>
              <w:top w:val="nil"/>
              <w:left w:val="single" w:sz="8" w:space="0" w:color="808080"/>
              <w:bottom w:val="single" w:sz="4" w:space="0" w:color="808080"/>
              <w:right w:val="single" w:sz="4" w:space="0" w:color="808080"/>
            </w:tcBorders>
            <w:shd w:val="clear" w:color="auto" w:fill="auto"/>
            <w:vAlign w:val="center"/>
            <w:hideMark/>
          </w:tcPr>
          <w:p w14:paraId="3883C6FF"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1765" w:type="dxa"/>
            <w:tcBorders>
              <w:top w:val="nil"/>
              <w:left w:val="nil"/>
              <w:bottom w:val="single" w:sz="4" w:space="0" w:color="808080"/>
              <w:right w:val="single" w:sz="4" w:space="0" w:color="808080"/>
            </w:tcBorders>
            <w:shd w:val="clear" w:color="000000" w:fill="FFFFFF"/>
            <w:vAlign w:val="center"/>
            <w:hideMark/>
          </w:tcPr>
          <w:p w14:paraId="3275E9F2"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la parte igualitaria</w:t>
            </w:r>
          </w:p>
        </w:tc>
        <w:tc>
          <w:tcPr>
            <w:tcW w:w="3043" w:type="dxa"/>
            <w:tcBorders>
              <w:top w:val="nil"/>
              <w:left w:val="nil"/>
              <w:bottom w:val="single" w:sz="4" w:space="0" w:color="808080"/>
              <w:right w:val="single" w:sz="4" w:space="0" w:color="808080"/>
            </w:tcBorders>
            <w:shd w:val="clear" w:color="000000" w:fill="FFFFFF"/>
            <w:vAlign w:val="center"/>
            <w:hideMark/>
          </w:tcPr>
          <w:p w14:paraId="709CC36D"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parte proporcional</w:t>
            </w:r>
          </w:p>
        </w:tc>
        <w:tc>
          <w:tcPr>
            <w:tcW w:w="2373" w:type="dxa"/>
            <w:tcBorders>
              <w:top w:val="nil"/>
              <w:left w:val="nil"/>
              <w:bottom w:val="single" w:sz="4" w:space="0" w:color="808080"/>
              <w:right w:val="single" w:sz="8" w:space="0" w:color="808080"/>
            </w:tcBorders>
            <w:shd w:val="clear" w:color="000000" w:fill="FFFFFF"/>
            <w:vAlign w:val="center"/>
            <w:hideMark/>
          </w:tcPr>
          <w:p w14:paraId="4902169F"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TOTAL </w:t>
            </w:r>
          </w:p>
        </w:tc>
      </w:tr>
      <w:tr w:rsidR="00997446" w:rsidRPr="00A04585" w14:paraId="32F1ADDC" w14:textId="77777777" w:rsidTr="00997446">
        <w:trPr>
          <w:trHeight w:val="256"/>
        </w:trPr>
        <w:tc>
          <w:tcPr>
            <w:tcW w:w="1202" w:type="dxa"/>
            <w:tcBorders>
              <w:top w:val="nil"/>
              <w:left w:val="single" w:sz="8" w:space="0" w:color="808080"/>
              <w:bottom w:val="single" w:sz="4" w:space="0" w:color="808080"/>
              <w:right w:val="single" w:sz="4" w:space="0" w:color="808080"/>
            </w:tcBorders>
            <w:shd w:val="clear" w:color="auto" w:fill="auto"/>
            <w:noWrap/>
            <w:vAlign w:val="center"/>
            <w:hideMark/>
          </w:tcPr>
          <w:p w14:paraId="30288311"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PAN</w:t>
            </w:r>
          </w:p>
        </w:tc>
        <w:tc>
          <w:tcPr>
            <w:tcW w:w="1765" w:type="dxa"/>
            <w:tcBorders>
              <w:top w:val="nil"/>
              <w:left w:val="nil"/>
              <w:bottom w:val="single" w:sz="4" w:space="0" w:color="808080"/>
              <w:right w:val="single" w:sz="4" w:space="0" w:color="808080"/>
            </w:tcBorders>
            <w:shd w:val="clear" w:color="000000" w:fill="FFFFFF"/>
            <w:vAlign w:val="center"/>
            <w:hideMark/>
          </w:tcPr>
          <w:p w14:paraId="1D38F1A1"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155,939.94 </w:t>
            </w:r>
          </w:p>
        </w:tc>
        <w:tc>
          <w:tcPr>
            <w:tcW w:w="3043" w:type="dxa"/>
            <w:tcBorders>
              <w:top w:val="single" w:sz="4" w:space="0" w:color="808080"/>
              <w:left w:val="nil"/>
              <w:bottom w:val="single" w:sz="4" w:space="0" w:color="808080"/>
              <w:right w:val="single" w:sz="4" w:space="0" w:color="808080"/>
            </w:tcBorders>
            <w:shd w:val="clear" w:color="000000" w:fill="FFFFFF"/>
            <w:vAlign w:val="center"/>
            <w:hideMark/>
          </w:tcPr>
          <w:p w14:paraId="2C9A67C9"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$352,986.48</w:t>
            </w:r>
          </w:p>
        </w:tc>
        <w:tc>
          <w:tcPr>
            <w:tcW w:w="2373" w:type="dxa"/>
            <w:tcBorders>
              <w:top w:val="single" w:sz="4" w:space="0" w:color="808080"/>
              <w:left w:val="nil"/>
              <w:bottom w:val="single" w:sz="4" w:space="0" w:color="808080"/>
              <w:right w:val="single" w:sz="8" w:space="0" w:color="808080"/>
            </w:tcBorders>
            <w:shd w:val="clear" w:color="000000" w:fill="FFFFFF"/>
            <w:vAlign w:val="center"/>
            <w:hideMark/>
          </w:tcPr>
          <w:p w14:paraId="3A8C49A2"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$508,926.42</w:t>
            </w:r>
          </w:p>
        </w:tc>
      </w:tr>
      <w:tr w:rsidR="00997446" w:rsidRPr="00A04585" w14:paraId="3C25A674" w14:textId="77777777" w:rsidTr="00997446">
        <w:trPr>
          <w:trHeight w:val="256"/>
        </w:trPr>
        <w:tc>
          <w:tcPr>
            <w:tcW w:w="1202" w:type="dxa"/>
            <w:tcBorders>
              <w:top w:val="nil"/>
              <w:left w:val="single" w:sz="8" w:space="0" w:color="808080"/>
              <w:bottom w:val="single" w:sz="4" w:space="0" w:color="808080"/>
              <w:right w:val="single" w:sz="4" w:space="0" w:color="808080"/>
            </w:tcBorders>
            <w:shd w:val="clear" w:color="auto" w:fill="auto"/>
            <w:noWrap/>
            <w:vAlign w:val="center"/>
            <w:hideMark/>
          </w:tcPr>
          <w:p w14:paraId="7CA79ADF"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PRI</w:t>
            </w:r>
          </w:p>
        </w:tc>
        <w:tc>
          <w:tcPr>
            <w:tcW w:w="1765" w:type="dxa"/>
            <w:tcBorders>
              <w:top w:val="nil"/>
              <w:left w:val="nil"/>
              <w:bottom w:val="single" w:sz="4" w:space="0" w:color="808080"/>
              <w:right w:val="single" w:sz="4" w:space="0" w:color="808080"/>
            </w:tcBorders>
            <w:shd w:val="clear" w:color="000000" w:fill="FFFFFF"/>
            <w:vAlign w:val="center"/>
            <w:hideMark/>
          </w:tcPr>
          <w:p w14:paraId="44ED67EE"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155,939.94 </w:t>
            </w:r>
          </w:p>
        </w:tc>
        <w:tc>
          <w:tcPr>
            <w:tcW w:w="3043" w:type="dxa"/>
            <w:tcBorders>
              <w:top w:val="single" w:sz="4" w:space="0" w:color="808080"/>
              <w:left w:val="nil"/>
              <w:bottom w:val="single" w:sz="4" w:space="0" w:color="808080"/>
              <w:right w:val="single" w:sz="4" w:space="0" w:color="808080"/>
            </w:tcBorders>
            <w:shd w:val="clear" w:color="000000" w:fill="FFFFFF"/>
            <w:vAlign w:val="center"/>
            <w:hideMark/>
          </w:tcPr>
          <w:p w14:paraId="62B8E64F"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$348,954.59</w:t>
            </w:r>
          </w:p>
        </w:tc>
        <w:tc>
          <w:tcPr>
            <w:tcW w:w="2373" w:type="dxa"/>
            <w:tcBorders>
              <w:top w:val="single" w:sz="4" w:space="0" w:color="808080"/>
              <w:left w:val="nil"/>
              <w:bottom w:val="single" w:sz="4" w:space="0" w:color="808080"/>
              <w:right w:val="single" w:sz="8" w:space="0" w:color="808080"/>
            </w:tcBorders>
            <w:shd w:val="clear" w:color="000000" w:fill="FFFFFF"/>
            <w:vAlign w:val="center"/>
            <w:hideMark/>
          </w:tcPr>
          <w:p w14:paraId="6A683E29"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$504,894.52</w:t>
            </w:r>
          </w:p>
        </w:tc>
      </w:tr>
      <w:tr w:rsidR="00997446" w:rsidRPr="00A04585" w14:paraId="511B82F3" w14:textId="77777777" w:rsidTr="00997446">
        <w:trPr>
          <w:trHeight w:val="256"/>
        </w:trPr>
        <w:tc>
          <w:tcPr>
            <w:tcW w:w="1202" w:type="dxa"/>
            <w:tcBorders>
              <w:top w:val="nil"/>
              <w:left w:val="single" w:sz="8" w:space="0" w:color="808080"/>
              <w:bottom w:val="single" w:sz="4" w:space="0" w:color="808080"/>
              <w:right w:val="single" w:sz="4" w:space="0" w:color="808080"/>
            </w:tcBorders>
            <w:shd w:val="clear" w:color="auto" w:fill="auto"/>
            <w:noWrap/>
            <w:vAlign w:val="center"/>
            <w:hideMark/>
          </w:tcPr>
          <w:p w14:paraId="0B6F77C7"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PVEM</w:t>
            </w:r>
          </w:p>
        </w:tc>
        <w:tc>
          <w:tcPr>
            <w:tcW w:w="1765" w:type="dxa"/>
            <w:tcBorders>
              <w:top w:val="nil"/>
              <w:left w:val="nil"/>
              <w:bottom w:val="single" w:sz="4" w:space="0" w:color="808080"/>
              <w:right w:val="single" w:sz="4" w:space="0" w:color="808080"/>
            </w:tcBorders>
            <w:shd w:val="clear" w:color="000000" w:fill="FFFFFF"/>
            <w:vAlign w:val="center"/>
            <w:hideMark/>
          </w:tcPr>
          <w:p w14:paraId="4E52B348"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155,939.94 </w:t>
            </w:r>
          </w:p>
        </w:tc>
        <w:tc>
          <w:tcPr>
            <w:tcW w:w="3043" w:type="dxa"/>
            <w:tcBorders>
              <w:top w:val="single" w:sz="4" w:space="0" w:color="808080"/>
              <w:left w:val="nil"/>
              <w:bottom w:val="single" w:sz="4" w:space="0" w:color="808080"/>
              <w:right w:val="single" w:sz="4" w:space="0" w:color="808080"/>
            </w:tcBorders>
            <w:shd w:val="clear" w:color="000000" w:fill="FFFFFF"/>
            <w:vAlign w:val="center"/>
            <w:hideMark/>
          </w:tcPr>
          <w:p w14:paraId="55B4AE84"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$90,268.98</w:t>
            </w:r>
          </w:p>
        </w:tc>
        <w:tc>
          <w:tcPr>
            <w:tcW w:w="2373" w:type="dxa"/>
            <w:tcBorders>
              <w:top w:val="single" w:sz="4" w:space="0" w:color="808080"/>
              <w:left w:val="nil"/>
              <w:bottom w:val="single" w:sz="4" w:space="0" w:color="808080"/>
              <w:right w:val="single" w:sz="8" w:space="0" w:color="808080"/>
            </w:tcBorders>
            <w:shd w:val="clear" w:color="000000" w:fill="FFFFFF"/>
            <w:vAlign w:val="center"/>
            <w:hideMark/>
          </w:tcPr>
          <w:p w14:paraId="0F97E43C"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$246,208.92</w:t>
            </w:r>
          </w:p>
        </w:tc>
      </w:tr>
      <w:tr w:rsidR="00997446" w:rsidRPr="00A04585" w14:paraId="40E7A4B6" w14:textId="77777777" w:rsidTr="00997446">
        <w:trPr>
          <w:trHeight w:val="256"/>
        </w:trPr>
        <w:tc>
          <w:tcPr>
            <w:tcW w:w="1202" w:type="dxa"/>
            <w:tcBorders>
              <w:top w:val="nil"/>
              <w:left w:val="single" w:sz="8" w:space="0" w:color="808080"/>
              <w:bottom w:val="single" w:sz="4" w:space="0" w:color="808080"/>
              <w:right w:val="single" w:sz="4" w:space="0" w:color="808080"/>
            </w:tcBorders>
            <w:shd w:val="clear" w:color="auto" w:fill="auto"/>
            <w:noWrap/>
            <w:vAlign w:val="center"/>
            <w:hideMark/>
          </w:tcPr>
          <w:p w14:paraId="277B841D"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MC</w:t>
            </w:r>
          </w:p>
        </w:tc>
        <w:tc>
          <w:tcPr>
            <w:tcW w:w="1765" w:type="dxa"/>
            <w:tcBorders>
              <w:top w:val="nil"/>
              <w:left w:val="nil"/>
              <w:bottom w:val="single" w:sz="4" w:space="0" w:color="808080"/>
              <w:right w:val="single" w:sz="4" w:space="0" w:color="808080"/>
            </w:tcBorders>
            <w:shd w:val="clear" w:color="000000" w:fill="FFFFFF"/>
            <w:vAlign w:val="center"/>
            <w:hideMark/>
          </w:tcPr>
          <w:p w14:paraId="48880C39"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155,939.94 </w:t>
            </w:r>
          </w:p>
        </w:tc>
        <w:tc>
          <w:tcPr>
            <w:tcW w:w="3043" w:type="dxa"/>
            <w:tcBorders>
              <w:top w:val="single" w:sz="4" w:space="0" w:color="808080"/>
              <w:left w:val="nil"/>
              <w:bottom w:val="single" w:sz="4" w:space="0" w:color="808080"/>
              <w:right w:val="single" w:sz="4" w:space="0" w:color="808080"/>
            </w:tcBorders>
            <w:shd w:val="clear" w:color="000000" w:fill="FFFFFF"/>
            <w:vAlign w:val="center"/>
            <w:hideMark/>
          </w:tcPr>
          <w:p w14:paraId="2649CFAF"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$917,288.09</w:t>
            </w:r>
          </w:p>
        </w:tc>
        <w:tc>
          <w:tcPr>
            <w:tcW w:w="2373" w:type="dxa"/>
            <w:tcBorders>
              <w:top w:val="single" w:sz="4" w:space="0" w:color="808080"/>
              <w:left w:val="nil"/>
              <w:bottom w:val="single" w:sz="4" w:space="0" w:color="808080"/>
              <w:right w:val="single" w:sz="8" w:space="0" w:color="808080"/>
            </w:tcBorders>
            <w:shd w:val="clear" w:color="000000" w:fill="FFFFFF"/>
            <w:vAlign w:val="center"/>
            <w:hideMark/>
          </w:tcPr>
          <w:p w14:paraId="78B13267"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$1,073,228.03</w:t>
            </w:r>
          </w:p>
        </w:tc>
      </w:tr>
      <w:tr w:rsidR="00997446" w:rsidRPr="00A04585" w14:paraId="336776BA" w14:textId="77777777" w:rsidTr="00997446">
        <w:trPr>
          <w:trHeight w:val="256"/>
        </w:trPr>
        <w:tc>
          <w:tcPr>
            <w:tcW w:w="1202" w:type="dxa"/>
            <w:tcBorders>
              <w:top w:val="nil"/>
              <w:left w:val="single" w:sz="8" w:space="0" w:color="808080"/>
              <w:bottom w:val="single" w:sz="4" w:space="0" w:color="808080"/>
              <w:right w:val="single" w:sz="4" w:space="0" w:color="808080"/>
            </w:tcBorders>
            <w:shd w:val="clear" w:color="auto" w:fill="auto"/>
            <w:noWrap/>
            <w:vAlign w:val="center"/>
            <w:hideMark/>
          </w:tcPr>
          <w:p w14:paraId="11A6A75F"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MORENA</w:t>
            </w:r>
          </w:p>
        </w:tc>
        <w:tc>
          <w:tcPr>
            <w:tcW w:w="1765" w:type="dxa"/>
            <w:tcBorders>
              <w:top w:val="nil"/>
              <w:left w:val="nil"/>
              <w:bottom w:val="single" w:sz="4" w:space="0" w:color="808080"/>
              <w:right w:val="single" w:sz="4" w:space="0" w:color="808080"/>
            </w:tcBorders>
            <w:shd w:val="clear" w:color="000000" w:fill="FFFFFF"/>
            <w:vAlign w:val="center"/>
            <w:hideMark/>
          </w:tcPr>
          <w:p w14:paraId="416FA567"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155,939.94 </w:t>
            </w:r>
          </w:p>
        </w:tc>
        <w:tc>
          <w:tcPr>
            <w:tcW w:w="3043" w:type="dxa"/>
            <w:tcBorders>
              <w:top w:val="single" w:sz="4" w:space="0" w:color="808080"/>
              <w:left w:val="nil"/>
              <w:bottom w:val="single" w:sz="4" w:space="0" w:color="808080"/>
              <w:right w:val="single" w:sz="4" w:space="0" w:color="808080"/>
            </w:tcBorders>
            <w:shd w:val="clear" w:color="000000" w:fill="FFFFFF"/>
            <w:vAlign w:val="center"/>
            <w:hideMark/>
          </w:tcPr>
          <w:p w14:paraId="73293B9A"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$588,128.94</w:t>
            </w:r>
          </w:p>
        </w:tc>
        <w:tc>
          <w:tcPr>
            <w:tcW w:w="2373" w:type="dxa"/>
            <w:tcBorders>
              <w:top w:val="single" w:sz="4" w:space="0" w:color="808080"/>
              <w:left w:val="nil"/>
              <w:bottom w:val="single" w:sz="4" w:space="0" w:color="808080"/>
              <w:right w:val="single" w:sz="8" w:space="0" w:color="808080"/>
            </w:tcBorders>
            <w:shd w:val="clear" w:color="000000" w:fill="FFFFFF"/>
            <w:vAlign w:val="center"/>
            <w:hideMark/>
          </w:tcPr>
          <w:p w14:paraId="0FE08553" w14:textId="77777777" w:rsidR="00997446" w:rsidRPr="00A04585" w:rsidRDefault="00997446" w:rsidP="00997446">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$744,068.88</w:t>
            </w:r>
          </w:p>
        </w:tc>
      </w:tr>
      <w:tr w:rsidR="00997446" w:rsidRPr="00A04585" w14:paraId="7F667B6F" w14:textId="77777777" w:rsidTr="00997446">
        <w:trPr>
          <w:trHeight w:val="256"/>
        </w:trPr>
        <w:tc>
          <w:tcPr>
            <w:tcW w:w="1202" w:type="dxa"/>
            <w:tcBorders>
              <w:top w:val="single" w:sz="8" w:space="0" w:color="808080"/>
              <w:left w:val="single" w:sz="8" w:space="0" w:color="808080"/>
              <w:bottom w:val="single" w:sz="8" w:space="0" w:color="808080"/>
              <w:right w:val="nil"/>
            </w:tcBorders>
            <w:shd w:val="clear" w:color="000000" w:fill="F3EBF9"/>
            <w:noWrap/>
            <w:vAlign w:val="center"/>
            <w:hideMark/>
          </w:tcPr>
          <w:p w14:paraId="2342928B" w14:textId="77777777" w:rsidR="00997446" w:rsidRPr="00A04585" w:rsidRDefault="00997446" w:rsidP="00997446">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TOTAL</w:t>
            </w:r>
          </w:p>
        </w:tc>
        <w:tc>
          <w:tcPr>
            <w:tcW w:w="1765" w:type="dxa"/>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4BFC9139" w14:textId="77777777" w:rsidR="00997446" w:rsidRPr="00A04585" w:rsidRDefault="00997446" w:rsidP="00997446">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 xml:space="preserve">779,699.69 </w:t>
            </w:r>
          </w:p>
        </w:tc>
        <w:tc>
          <w:tcPr>
            <w:tcW w:w="3043" w:type="dxa"/>
            <w:tcBorders>
              <w:top w:val="single" w:sz="8" w:space="0" w:color="808080"/>
              <w:left w:val="nil"/>
              <w:bottom w:val="single" w:sz="8" w:space="0" w:color="808080"/>
              <w:right w:val="single" w:sz="8" w:space="0" w:color="808080"/>
            </w:tcBorders>
            <w:shd w:val="clear" w:color="000000" w:fill="F3EBF9"/>
            <w:vAlign w:val="center"/>
            <w:hideMark/>
          </w:tcPr>
          <w:p w14:paraId="335C106C" w14:textId="77777777" w:rsidR="00997446" w:rsidRPr="00A04585" w:rsidRDefault="00997446" w:rsidP="00997446">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$2,297,627.08</w:t>
            </w:r>
          </w:p>
        </w:tc>
        <w:tc>
          <w:tcPr>
            <w:tcW w:w="2373" w:type="dxa"/>
            <w:tcBorders>
              <w:top w:val="single" w:sz="8" w:space="0" w:color="808080"/>
              <w:left w:val="nil"/>
              <w:bottom w:val="single" w:sz="8" w:space="0" w:color="808080"/>
              <w:right w:val="single" w:sz="8" w:space="0" w:color="808080"/>
            </w:tcBorders>
            <w:shd w:val="clear" w:color="000000" w:fill="F3EBF9"/>
            <w:vAlign w:val="center"/>
            <w:hideMark/>
          </w:tcPr>
          <w:p w14:paraId="6DEEDB78" w14:textId="77777777" w:rsidR="00997446" w:rsidRPr="00A04585" w:rsidRDefault="00997446" w:rsidP="00997446">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$3,077,326.77</w:t>
            </w:r>
          </w:p>
        </w:tc>
      </w:tr>
    </w:tbl>
    <w:p w14:paraId="2DD68CC9" w14:textId="0B16106B" w:rsidR="00E763A4" w:rsidRPr="00242547" w:rsidRDefault="00E763A4" w:rsidP="002E7CFF">
      <w:pPr>
        <w:pStyle w:val="Sinespaciado"/>
        <w:jc w:val="center"/>
        <w:rPr>
          <w:rFonts w:ascii="Trebuchet MS" w:hAnsi="Trebuchet MS"/>
          <w:color w:val="000000"/>
          <w:sz w:val="24"/>
          <w:szCs w:val="24"/>
          <w:lang w:val="es-ES_tradnl" w:eastAsia="es-MX"/>
        </w:rPr>
      </w:pPr>
    </w:p>
    <w:p w14:paraId="57816A9F" w14:textId="77777777" w:rsidR="00221DDA" w:rsidRPr="00A04585" w:rsidRDefault="00221DDA" w:rsidP="002E7CFF">
      <w:pPr>
        <w:pStyle w:val="Sinespaciado"/>
        <w:jc w:val="both"/>
        <w:rPr>
          <w:rFonts w:ascii="Trebuchet MS" w:hAnsi="Trebuchet MS"/>
          <w:color w:val="000000"/>
          <w:sz w:val="24"/>
          <w:szCs w:val="24"/>
          <w:lang w:val="es-ES_tradnl" w:eastAsia="es-MX"/>
        </w:rPr>
      </w:pPr>
    </w:p>
    <w:p w14:paraId="094D5F1F" w14:textId="78F5E226" w:rsidR="00E763A4" w:rsidRPr="00A04585" w:rsidRDefault="00502610"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B. Partidos estatales con derecho a recibir financiamiento local</w:t>
      </w:r>
      <w:r w:rsidR="003B214D" w:rsidRPr="00A04585">
        <w:rPr>
          <w:rFonts w:ascii="Trebuchet MS" w:hAnsi="Trebuchet MS"/>
          <w:b/>
          <w:bCs/>
          <w:color w:val="000000"/>
          <w:sz w:val="24"/>
          <w:szCs w:val="24"/>
          <w:lang w:val="es-ES_tradnl" w:eastAsia="es-MX"/>
        </w:rPr>
        <w:t xml:space="preserve"> para actividades específicas</w:t>
      </w:r>
      <w:r w:rsidRPr="00A04585">
        <w:rPr>
          <w:rFonts w:ascii="Trebuchet MS" w:hAnsi="Trebuchet MS"/>
          <w:b/>
          <w:bCs/>
          <w:color w:val="000000"/>
          <w:sz w:val="24"/>
          <w:szCs w:val="24"/>
          <w:lang w:val="es-ES_tradnl" w:eastAsia="es-MX"/>
        </w:rPr>
        <w:t>.</w:t>
      </w:r>
      <w:r w:rsidR="00E763A4" w:rsidRPr="00A04585">
        <w:rPr>
          <w:rFonts w:ascii="Trebuchet MS" w:hAnsi="Trebuchet MS"/>
          <w:color w:val="000000"/>
          <w:sz w:val="24"/>
          <w:szCs w:val="24"/>
          <w:lang w:val="es-ES_tradnl" w:eastAsia="es-MX"/>
        </w:rPr>
        <w:t xml:space="preserve"> Para realizar el cálculo correspondiente debe obtenerse el </w:t>
      </w:r>
      <w:r w:rsidR="007B0875" w:rsidRPr="00242547">
        <w:rPr>
          <w:rFonts w:ascii="Trebuchet MS" w:hAnsi="Trebuchet MS"/>
          <w:color w:val="000000"/>
          <w:sz w:val="24"/>
          <w:szCs w:val="24"/>
          <w:lang w:val="es-ES_tradnl" w:eastAsia="es-MX"/>
        </w:rPr>
        <w:t>tres por ciento</w:t>
      </w:r>
      <w:r w:rsidR="00E763A4" w:rsidRPr="00A04585">
        <w:rPr>
          <w:rFonts w:ascii="Trebuchet MS" w:hAnsi="Trebuchet MS"/>
          <w:color w:val="000000"/>
          <w:sz w:val="24"/>
          <w:szCs w:val="24"/>
          <w:lang w:val="es-ES_tradnl" w:eastAsia="es-MX"/>
        </w:rPr>
        <w:t xml:space="preserve"> de</w:t>
      </w:r>
      <w:r w:rsidR="007C37BE" w:rsidRPr="00A04585">
        <w:rPr>
          <w:rFonts w:ascii="Trebuchet MS" w:hAnsi="Trebuchet MS"/>
          <w:color w:val="000000"/>
          <w:sz w:val="24"/>
          <w:szCs w:val="24"/>
          <w:lang w:val="es-ES_tradnl" w:eastAsia="es-MX"/>
        </w:rPr>
        <w:t xml:space="preserve">l </w:t>
      </w:r>
      <w:r w:rsidR="00E763A4" w:rsidRPr="00A04585">
        <w:rPr>
          <w:rFonts w:ascii="Trebuchet MS" w:hAnsi="Trebuchet MS"/>
          <w:color w:val="000000"/>
          <w:sz w:val="24"/>
          <w:szCs w:val="24"/>
          <w:lang w:val="es-ES_tradnl" w:eastAsia="es-MX"/>
        </w:rPr>
        <w:t>monto total de financiamiento calculado para actividades ordina</w:t>
      </w:r>
      <w:r w:rsidR="00761FCA" w:rsidRPr="00A04585">
        <w:rPr>
          <w:rFonts w:ascii="Trebuchet MS" w:hAnsi="Trebuchet MS"/>
          <w:color w:val="000000"/>
          <w:sz w:val="24"/>
          <w:szCs w:val="24"/>
          <w:lang w:val="es-ES_tradnl" w:eastAsia="es-MX"/>
        </w:rPr>
        <w:t>rias de los partidos locales</w:t>
      </w:r>
      <w:r w:rsidR="00E763A4" w:rsidRPr="00A04585">
        <w:rPr>
          <w:rFonts w:ascii="Trebuchet MS" w:hAnsi="Trebuchet MS"/>
          <w:color w:val="000000"/>
          <w:sz w:val="24"/>
          <w:szCs w:val="24"/>
          <w:lang w:val="es-ES_tradnl" w:eastAsia="es-MX"/>
        </w:rPr>
        <w:t xml:space="preserve">, </w:t>
      </w:r>
      <w:r w:rsidR="00761FCA" w:rsidRPr="00A04585">
        <w:rPr>
          <w:rFonts w:ascii="Trebuchet MS" w:hAnsi="Trebuchet MS"/>
          <w:color w:val="000000"/>
          <w:sz w:val="24"/>
          <w:szCs w:val="24"/>
          <w:lang w:val="es-ES_tradnl" w:eastAsia="es-MX"/>
        </w:rPr>
        <w:t>en ese sentido,</w:t>
      </w:r>
      <w:r w:rsidR="00E763A4" w:rsidRPr="00A04585">
        <w:rPr>
          <w:rFonts w:ascii="Trebuchet MS" w:hAnsi="Trebuchet MS"/>
          <w:color w:val="000000"/>
          <w:sz w:val="24"/>
          <w:szCs w:val="24"/>
          <w:lang w:val="es-ES_tradnl" w:eastAsia="es-MX"/>
        </w:rPr>
        <w:t xml:space="preserve"> </w:t>
      </w:r>
      <w:r w:rsidR="00761FCA" w:rsidRPr="00A04585">
        <w:rPr>
          <w:rFonts w:ascii="Trebuchet MS" w:hAnsi="Trebuchet MS"/>
          <w:color w:val="000000"/>
          <w:sz w:val="24"/>
          <w:szCs w:val="24"/>
          <w:lang w:val="es-ES_tradnl" w:eastAsia="es-MX"/>
        </w:rPr>
        <w:t xml:space="preserve">el monto a </w:t>
      </w:r>
      <w:r w:rsidR="00E763A4" w:rsidRPr="00A04585">
        <w:rPr>
          <w:rFonts w:ascii="Trebuchet MS" w:hAnsi="Trebuchet MS"/>
          <w:color w:val="000000"/>
          <w:sz w:val="24"/>
          <w:szCs w:val="24"/>
          <w:lang w:val="es-ES_tradnl" w:eastAsia="es-MX"/>
        </w:rPr>
        <w:t>distribuirse por actividades específicas entre dichos institutos políticos equivale a $11´</w:t>
      </w:r>
      <w:r w:rsidR="00761FCA" w:rsidRPr="00A04585">
        <w:rPr>
          <w:rFonts w:ascii="Trebuchet MS" w:hAnsi="Trebuchet MS"/>
          <w:color w:val="000000"/>
          <w:sz w:val="24"/>
          <w:szCs w:val="24"/>
          <w:lang w:val="es-ES_tradnl" w:eastAsia="es-MX"/>
        </w:rPr>
        <w:t>825,445.31</w:t>
      </w:r>
      <w:r w:rsidR="00E763A4" w:rsidRPr="00A04585">
        <w:rPr>
          <w:rFonts w:ascii="Trebuchet MS" w:hAnsi="Trebuchet MS"/>
          <w:color w:val="000000"/>
          <w:sz w:val="24"/>
          <w:szCs w:val="24"/>
          <w:lang w:val="es-ES_tradnl" w:eastAsia="es-MX"/>
        </w:rPr>
        <w:t xml:space="preserve"> (</w:t>
      </w:r>
      <w:r w:rsidR="00761FCA" w:rsidRPr="00A04585">
        <w:rPr>
          <w:rFonts w:ascii="Trebuchet MS" w:hAnsi="Trebuchet MS"/>
          <w:color w:val="000000"/>
          <w:sz w:val="24"/>
          <w:szCs w:val="24"/>
          <w:lang w:val="es-ES_tradnl" w:eastAsia="es-MX"/>
        </w:rPr>
        <w:t>once millones ochocientos veinticinco mil cuatrocientos cuarenta y cinco 31/100 M.N.), conforme la tabla siguiente:</w:t>
      </w:r>
    </w:p>
    <w:p w14:paraId="7846D7D7" w14:textId="5D011F79" w:rsidR="00E763A4" w:rsidRPr="00242547" w:rsidRDefault="00E763A4" w:rsidP="002E7CFF">
      <w:pPr>
        <w:pStyle w:val="Sinespaciado"/>
        <w:jc w:val="both"/>
        <w:rPr>
          <w:rFonts w:ascii="Trebuchet MS" w:hAnsi="Trebuchet MS"/>
          <w:color w:val="000000"/>
          <w:sz w:val="24"/>
          <w:szCs w:val="24"/>
          <w:lang w:val="es-ES_tradnl" w:eastAsia="es-MX"/>
        </w:rPr>
      </w:pPr>
    </w:p>
    <w:tbl>
      <w:tblPr>
        <w:tblW w:w="8032" w:type="dxa"/>
        <w:jc w:val="center"/>
        <w:tblCellMar>
          <w:left w:w="70" w:type="dxa"/>
          <w:right w:w="70" w:type="dxa"/>
        </w:tblCellMar>
        <w:tblLook w:val="04A0" w:firstRow="1" w:lastRow="0" w:firstColumn="1" w:lastColumn="0" w:noHBand="0" w:noVBand="1"/>
      </w:tblPr>
      <w:tblGrid>
        <w:gridCol w:w="4347"/>
        <w:gridCol w:w="3685"/>
      </w:tblGrid>
      <w:tr w:rsidR="00761FCA" w:rsidRPr="00A04585" w14:paraId="064DEC40" w14:textId="77777777" w:rsidTr="00761FCA">
        <w:trPr>
          <w:trHeight w:val="1178"/>
          <w:jc w:val="center"/>
        </w:trPr>
        <w:tc>
          <w:tcPr>
            <w:tcW w:w="8032" w:type="dxa"/>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336A0BA8"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4.1. Determinación de la cantidad a distribuir por concepto de financiamiento público para actividades específicas para partidos políticos locales, 2023.</w:t>
            </w:r>
            <w:r w:rsidRPr="00A04585">
              <w:rPr>
                <w:rFonts w:ascii="Trebuchet MS" w:eastAsia="Times New Roman" w:hAnsi="Trebuchet MS" w:cs="Calibri Light"/>
                <w:b/>
                <w:bCs/>
                <w:color w:val="000000"/>
                <w:sz w:val="20"/>
                <w:szCs w:val="20"/>
                <w:lang w:eastAsia="es-MX"/>
              </w:rPr>
              <w:br/>
            </w:r>
            <w:r w:rsidRPr="00A04585">
              <w:rPr>
                <w:rFonts w:ascii="Trebuchet MS" w:eastAsia="Times New Roman" w:hAnsi="Trebuchet MS" w:cs="Calibri Light"/>
                <w:color w:val="000000"/>
                <w:sz w:val="20"/>
                <w:szCs w:val="20"/>
                <w:lang w:eastAsia="es-MX"/>
              </w:rPr>
              <w:t>Fórmula: Financiamiento público para actividades específicas es igual al 3% del monto total del financiamiento público para actividades ordinarias permanentes</w:t>
            </w:r>
          </w:p>
        </w:tc>
      </w:tr>
      <w:tr w:rsidR="00761FCA" w:rsidRPr="00A04585" w14:paraId="4D236BAF" w14:textId="77777777" w:rsidTr="00761FCA">
        <w:trPr>
          <w:trHeight w:val="731"/>
          <w:jc w:val="center"/>
        </w:trPr>
        <w:tc>
          <w:tcPr>
            <w:tcW w:w="4347"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766CF9E9" w14:textId="77777777" w:rsidR="00761FCA" w:rsidRPr="00A04585" w:rsidRDefault="00761FCA" w:rsidP="00761FCA">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Financiamiento público para actividades ordinarias</w:t>
            </w:r>
          </w:p>
        </w:tc>
        <w:tc>
          <w:tcPr>
            <w:tcW w:w="3684" w:type="dxa"/>
            <w:tcBorders>
              <w:top w:val="single" w:sz="4" w:space="0" w:color="808080"/>
              <w:left w:val="nil"/>
              <w:bottom w:val="single" w:sz="4" w:space="0" w:color="808080"/>
              <w:right w:val="single" w:sz="8" w:space="0" w:color="808080"/>
            </w:tcBorders>
            <w:shd w:val="clear" w:color="auto" w:fill="auto"/>
            <w:noWrap/>
            <w:vAlign w:val="center"/>
            <w:hideMark/>
          </w:tcPr>
          <w:p w14:paraId="4DBC555B"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$394,181,510.42</w:t>
            </w:r>
          </w:p>
        </w:tc>
      </w:tr>
      <w:tr w:rsidR="00761FCA" w:rsidRPr="00A04585" w14:paraId="04A56668" w14:textId="77777777" w:rsidTr="00761FCA">
        <w:trPr>
          <w:trHeight w:val="631"/>
          <w:jc w:val="center"/>
        </w:trPr>
        <w:tc>
          <w:tcPr>
            <w:tcW w:w="4347" w:type="dxa"/>
            <w:tcBorders>
              <w:top w:val="single" w:sz="4" w:space="0" w:color="808080"/>
              <w:left w:val="single" w:sz="8" w:space="0" w:color="808080"/>
              <w:bottom w:val="single" w:sz="4" w:space="0" w:color="808080"/>
              <w:right w:val="single" w:sz="4" w:space="0" w:color="808080"/>
            </w:tcBorders>
            <w:shd w:val="clear" w:color="000000" w:fill="F3EBF9"/>
            <w:vAlign w:val="center"/>
            <w:hideMark/>
          </w:tcPr>
          <w:p w14:paraId="62E6FA6E" w14:textId="77777777" w:rsidR="00761FCA" w:rsidRPr="00A04585" w:rsidRDefault="00761FCA" w:rsidP="00761FCA">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3% Financiamiento público para actividades específicas</w:t>
            </w:r>
          </w:p>
        </w:tc>
        <w:tc>
          <w:tcPr>
            <w:tcW w:w="3684" w:type="dxa"/>
            <w:tcBorders>
              <w:top w:val="single" w:sz="4" w:space="0" w:color="808080"/>
              <w:left w:val="nil"/>
              <w:bottom w:val="single" w:sz="4" w:space="0" w:color="808080"/>
              <w:right w:val="single" w:sz="8" w:space="0" w:color="808080"/>
            </w:tcBorders>
            <w:shd w:val="clear" w:color="000000" w:fill="F3EBF9"/>
            <w:noWrap/>
            <w:vAlign w:val="center"/>
            <w:hideMark/>
          </w:tcPr>
          <w:p w14:paraId="52223057"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$11,825,445.31</w:t>
            </w:r>
          </w:p>
        </w:tc>
      </w:tr>
    </w:tbl>
    <w:p w14:paraId="0F214219" w14:textId="6DEE9938" w:rsidR="00E763A4" w:rsidRPr="00242547" w:rsidRDefault="00E763A4" w:rsidP="002E7CFF">
      <w:pPr>
        <w:pStyle w:val="Sinespaciado"/>
        <w:jc w:val="center"/>
        <w:rPr>
          <w:rFonts w:ascii="Trebuchet MS" w:hAnsi="Trebuchet MS"/>
          <w:color w:val="000000"/>
          <w:sz w:val="24"/>
          <w:szCs w:val="24"/>
          <w:lang w:val="es-ES_tradnl" w:eastAsia="es-MX"/>
        </w:rPr>
      </w:pPr>
    </w:p>
    <w:p w14:paraId="52671B1A" w14:textId="77777777" w:rsidR="00E763A4" w:rsidRPr="00242547" w:rsidRDefault="00E763A4" w:rsidP="002E7CFF">
      <w:pPr>
        <w:pStyle w:val="Sinespaciado"/>
        <w:jc w:val="both"/>
        <w:rPr>
          <w:rFonts w:ascii="Trebuchet MS" w:hAnsi="Trebuchet MS"/>
          <w:color w:val="000000"/>
          <w:sz w:val="24"/>
          <w:szCs w:val="24"/>
          <w:lang w:val="es-ES_tradnl" w:eastAsia="es-MX"/>
        </w:rPr>
      </w:pPr>
    </w:p>
    <w:p w14:paraId="6CF4FBC6" w14:textId="2B6C289A" w:rsidR="00761FCA"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 esa última cantidad el </w:t>
      </w:r>
      <w:r w:rsidR="007B0875"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debe</w:t>
      </w:r>
      <w:r w:rsidR="00D560C3" w:rsidRPr="00A04585">
        <w:rPr>
          <w:rFonts w:ascii="Trebuchet MS" w:hAnsi="Trebuchet MS"/>
          <w:color w:val="000000"/>
          <w:sz w:val="24"/>
          <w:szCs w:val="24"/>
          <w:lang w:val="es-ES_tradnl" w:eastAsia="es-MX"/>
        </w:rPr>
        <w:t xml:space="preserve"> dividirse entre siete y</w:t>
      </w:r>
      <w:r w:rsidRPr="00A04585">
        <w:rPr>
          <w:rFonts w:ascii="Trebuchet MS" w:hAnsi="Trebuchet MS"/>
          <w:color w:val="000000"/>
          <w:sz w:val="24"/>
          <w:szCs w:val="24"/>
          <w:lang w:val="es-ES_tradnl" w:eastAsia="es-MX"/>
        </w:rPr>
        <w:t xml:space="preserve"> repartirse </w:t>
      </w:r>
      <w:r w:rsidR="00D560C3" w:rsidRPr="00A04585">
        <w:rPr>
          <w:rFonts w:ascii="Trebuchet MS" w:hAnsi="Trebuchet MS"/>
          <w:color w:val="000000"/>
          <w:sz w:val="24"/>
          <w:szCs w:val="24"/>
          <w:lang w:val="es-ES_tradnl" w:eastAsia="es-MX"/>
        </w:rPr>
        <w:t>una parte igual a cada uno de los partidos políticos estatales</w:t>
      </w:r>
      <w:r w:rsidRPr="00A04585">
        <w:rPr>
          <w:rFonts w:ascii="Trebuchet MS" w:hAnsi="Trebuchet MS"/>
          <w:color w:val="000000"/>
          <w:sz w:val="24"/>
          <w:szCs w:val="24"/>
          <w:lang w:val="es-ES_tradnl" w:eastAsia="es-MX"/>
        </w:rPr>
        <w:t xml:space="preserve"> con derecho a financiamiento l</w:t>
      </w:r>
      <w:r w:rsidR="00761FCA" w:rsidRPr="00A04585">
        <w:rPr>
          <w:rFonts w:ascii="Trebuchet MS" w:hAnsi="Trebuchet MS"/>
          <w:color w:val="000000"/>
          <w:sz w:val="24"/>
          <w:szCs w:val="24"/>
          <w:lang w:val="es-ES_tradnl" w:eastAsia="es-MX"/>
        </w:rPr>
        <w:t>ocal en el año dos mil veintitrés</w:t>
      </w:r>
      <w:r w:rsidRPr="00A04585">
        <w:rPr>
          <w:rFonts w:ascii="Trebuchet MS" w:hAnsi="Trebuchet MS"/>
          <w:color w:val="000000"/>
          <w:sz w:val="24"/>
          <w:szCs w:val="24"/>
          <w:lang w:val="es-ES_tradnl" w:eastAsia="es-MX"/>
        </w:rPr>
        <w:t>, es dec</w:t>
      </w:r>
      <w:r w:rsidR="00D560C3" w:rsidRPr="00A04585">
        <w:rPr>
          <w:rFonts w:ascii="Trebuchet MS" w:hAnsi="Trebuchet MS"/>
          <w:color w:val="000000"/>
          <w:sz w:val="24"/>
          <w:szCs w:val="24"/>
          <w:lang w:val="es-ES_tradnl" w:eastAsia="es-MX"/>
        </w:rPr>
        <w:t xml:space="preserve">ir, Hagamos y Futuro. </w:t>
      </w:r>
    </w:p>
    <w:p w14:paraId="7E1B9529" w14:textId="77777777" w:rsidR="00761FCA" w:rsidRPr="00A04585" w:rsidRDefault="00761FCA" w:rsidP="002E7CFF">
      <w:pPr>
        <w:pStyle w:val="Sinespaciado"/>
        <w:jc w:val="both"/>
        <w:rPr>
          <w:rFonts w:ascii="Trebuchet MS" w:hAnsi="Trebuchet MS"/>
          <w:color w:val="000000"/>
          <w:sz w:val="24"/>
          <w:szCs w:val="24"/>
          <w:lang w:val="es-ES_tradnl" w:eastAsia="es-MX"/>
        </w:rPr>
      </w:pPr>
    </w:p>
    <w:p w14:paraId="699D383F" w14:textId="3CC165C6"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El equivalente a dicho porcentaje es la cantidad de $3´</w:t>
      </w:r>
      <w:r w:rsidR="00761FCA" w:rsidRPr="00A04585">
        <w:rPr>
          <w:rFonts w:ascii="Trebuchet MS" w:hAnsi="Trebuchet MS"/>
          <w:color w:val="000000"/>
          <w:sz w:val="24"/>
          <w:szCs w:val="24"/>
          <w:lang w:val="es-ES_tradnl" w:eastAsia="es-MX"/>
        </w:rPr>
        <w:t>547,633.59</w:t>
      </w:r>
      <w:r w:rsidRPr="00A04585">
        <w:rPr>
          <w:rFonts w:ascii="Trebuchet MS" w:hAnsi="Trebuchet MS"/>
          <w:color w:val="000000"/>
          <w:sz w:val="24"/>
          <w:szCs w:val="24"/>
          <w:lang w:val="es-ES_tradnl" w:eastAsia="es-MX"/>
        </w:rPr>
        <w:t xml:space="preserve"> (tres millones </w:t>
      </w:r>
      <w:r w:rsidR="00761FCA" w:rsidRPr="00A04585">
        <w:rPr>
          <w:rFonts w:ascii="Trebuchet MS" w:hAnsi="Trebuchet MS"/>
          <w:color w:val="000000"/>
          <w:sz w:val="24"/>
          <w:szCs w:val="24"/>
          <w:lang w:val="es-ES_tradnl" w:eastAsia="es-MX"/>
        </w:rPr>
        <w:t>quinientos cuarenta y siete mil seiscientos treinta y tres pesos 59</w:t>
      </w:r>
      <w:r w:rsidRPr="00A04585">
        <w:rPr>
          <w:rFonts w:ascii="Trebuchet MS" w:hAnsi="Trebuchet MS"/>
          <w:color w:val="000000"/>
          <w:sz w:val="24"/>
          <w:szCs w:val="24"/>
          <w:lang w:val="es-ES_tradnl" w:eastAsia="es-MX"/>
        </w:rPr>
        <w:t xml:space="preserve">/100 M.N.). Por su parte, el restante </w:t>
      </w:r>
      <w:r w:rsidR="007B0875" w:rsidRPr="00242547">
        <w:rPr>
          <w:rFonts w:ascii="Trebuchet MS" w:hAnsi="Trebuchet MS"/>
          <w:color w:val="000000"/>
          <w:sz w:val="24"/>
          <w:szCs w:val="24"/>
          <w:lang w:val="es-ES_tradnl" w:eastAsia="es-MX"/>
        </w:rPr>
        <w:t>setenta por ciento</w:t>
      </w:r>
      <w:r w:rsidRPr="00A04585">
        <w:rPr>
          <w:rFonts w:ascii="Trebuchet MS" w:hAnsi="Trebuchet MS"/>
          <w:color w:val="000000"/>
          <w:sz w:val="24"/>
          <w:szCs w:val="24"/>
          <w:lang w:val="es-ES_tradnl" w:eastAsia="es-MX"/>
        </w:rPr>
        <w:t xml:space="preserve"> es igual </w:t>
      </w:r>
      <w:r w:rsidR="00961880" w:rsidRPr="00A04585">
        <w:rPr>
          <w:rFonts w:ascii="Trebuchet MS" w:hAnsi="Trebuchet MS"/>
          <w:color w:val="000000"/>
          <w:sz w:val="24"/>
          <w:szCs w:val="24"/>
          <w:lang w:val="es-ES_tradnl" w:eastAsia="es-MX"/>
        </w:rPr>
        <w:t>al monto de</w:t>
      </w:r>
      <w:r w:rsidRPr="00A04585">
        <w:rPr>
          <w:rFonts w:ascii="Trebuchet MS" w:hAnsi="Trebuchet MS"/>
          <w:color w:val="000000"/>
          <w:sz w:val="24"/>
          <w:szCs w:val="24"/>
          <w:lang w:val="es-ES_tradnl" w:eastAsia="es-MX"/>
        </w:rPr>
        <w:t xml:space="preserve"> $</w:t>
      </w:r>
      <w:r w:rsidR="00761FCA" w:rsidRPr="00A04585">
        <w:rPr>
          <w:rFonts w:ascii="Trebuchet MS" w:hAnsi="Trebuchet MS"/>
          <w:color w:val="000000"/>
          <w:sz w:val="24"/>
          <w:szCs w:val="24"/>
          <w:lang w:val="es-ES_tradnl" w:eastAsia="es-MX"/>
        </w:rPr>
        <w:t>8´277,811.72</w:t>
      </w:r>
      <w:r w:rsidRPr="00A04585">
        <w:rPr>
          <w:rFonts w:ascii="Trebuchet MS" w:hAnsi="Trebuchet MS"/>
          <w:color w:val="000000"/>
          <w:sz w:val="24"/>
          <w:szCs w:val="24"/>
          <w:lang w:val="es-ES_tradnl" w:eastAsia="es-MX"/>
        </w:rPr>
        <w:t xml:space="preserve"> (</w:t>
      </w:r>
      <w:r w:rsidR="00761FCA" w:rsidRPr="00A04585">
        <w:rPr>
          <w:rFonts w:ascii="Trebuchet MS" w:hAnsi="Trebuchet MS"/>
          <w:color w:val="000000"/>
          <w:sz w:val="24"/>
          <w:szCs w:val="24"/>
          <w:lang w:val="es-ES_tradnl" w:eastAsia="es-MX"/>
        </w:rPr>
        <w:t>ocho millones doscientos setenta y siete mil ochocientos once pesos 72</w:t>
      </w:r>
      <w:r w:rsidRPr="00A04585">
        <w:rPr>
          <w:rFonts w:ascii="Trebuchet MS" w:hAnsi="Trebuchet MS"/>
          <w:color w:val="000000"/>
          <w:sz w:val="24"/>
          <w:szCs w:val="24"/>
          <w:lang w:val="es-ES_tradnl" w:eastAsia="es-MX"/>
        </w:rPr>
        <w:t xml:space="preserve">/100 M.N.), tal como se </w:t>
      </w:r>
      <w:r w:rsidR="007C37BE" w:rsidRPr="00A04585">
        <w:rPr>
          <w:rFonts w:ascii="Trebuchet MS" w:hAnsi="Trebuchet MS"/>
          <w:color w:val="000000"/>
          <w:sz w:val="24"/>
          <w:szCs w:val="24"/>
          <w:lang w:val="es-ES_tradnl" w:eastAsia="es-MX"/>
        </w:rPr>
        <w:t>ilustra</w:t>
      </w:r>
      <w:r w:rsidRPr="00A04585">
        <w:rPr>
          <w:rFonts w:ascii="Trebuchet MS" w:hAnsi="Trebuchet MS"/>
          <w:color w:val="000000"/>
          <w:sz w:val="24"/>
          <w:szCs w:val="24"/>
          <w:lang w:val="es-ES_tradnl" w:eastAsia="es-MX"/>
        </w:rPr>
        <w:t xml:space="preserve"> a continuación:</w:t>
      </w:r>
    </w:p>
    <w:p w14:paraId="0D501BE8" w14:textId="77777777" w:rsidR="00381031" w:rsidRPr="00A04585" w:rsidRDefault="00381031" w:rsidP="002E7CFF">
      <w:pPr>
        <w:pStyle w:val="Sinespaciado"/>
        <w:jc w:val="both"/>
        <w:rPr>
          <w:rFonts w:ascii="Trebuchet MS" w:hAnsi="Trebuchet MS"/>
          <w:color w:val="000000"/>
          <w:sz w:val="24"/>
          <w:szCs w:val="24"/>
          <w:lang w:val="es-ES_tradnl" w:eastAsia="es-MX"/>
        </w:rPr>
      </w:pPr>
    </w:p>
    <w:p w14:paraId="4F83B468" w14:textId="07838BF4" w:rsidR="00E763A4" w:rsidRPr="00242547" w:rsidRDefault="00E763A4" w:rsidP="002E7CFF">
      <w:pPr>
        <w:pStyle w:val="Sinespaciado"/>
        <w:jc w:val="both"/>
        <w:rPr>
          <w:rFonts w:ascii="Trebuchet MS" w:hAnsi="Trebuchet MS"/>
          <w:color w:val="000000"/>
          <w:sz w:val="24"/>
          <w:szCs w:val="24"/>
          <w:lang w:val="es-ES_tradnl" w:eastAsia="es-MX"/>
        </w:rPr>
      </w:pPr>
    </w:p>
    <w:tbl>
      <w:tblPr>
        <w:tblW w:w="6170" w:type="dxa"/>
        <w:jc w:val="center"/>
        <w:tblCellMar>
          <w:left w:w="70" w:type="dxa"/>
          <w:right w:w="70" w:type="dxa"/>
        </w:tblCellMar>
        <w:tblLook w:val="04A0" w:firstRow="1" w:lastRow="0" w:firstColumn="1" w:lastColumn="0" w:noHBand="0" w:noVBand="1"/>
      </w:tblPr>
      <w:tblGrid>
        <w:gridCol w:w="3339"/>
        <w:gridCol w:w="2831"/>
      </w:tblGrid>
      <w:tr w:rsidR="00761FCA" w:rsidRPr="00A04585" w14:paraId="31A1ED49" w14:textId="77777777" w:rsidTr="00761FCA">
        <w:trPr>
          <w:trHeight w:val="514"/>
          <w:jc w:val="center"/>
        </w:trPr>
        <w:tc>
          <w:tcPr>
            <w:tcW w:w="6170" w:type="dxa"/>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02632C2A"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4.2 Criterio de distribución: 30% en forma igualitaria, 70% en forma proporcional </w:t>
            </w:r>
          </w:p>
        </w:tc>
      </w:tr>
      <w:tr w:rsidR="00761FCA" w:rsidRPr="00A04585" w14:paraId="469E3D2C" w14:textId="77777777" w:rsidTr="00761FCA">
        <w:trPr>
          <w:trHeight w:val="365"/>
          <w:jc w:val="center"/>
        </w:trPr>
        <w:tc>
          <w:tcPr>
            <w:tcW w:w="3339"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2C18D730"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distribuir</w:t>
            </w:r>
          </w:p>
        </w:tc>
        <w:tc>
          <w:tcPr>
            <w:tcW w:w="2830" w:type="dxa"/>
            <w:tcBorders>
              <w:top w:val="single" w:sz="4" w:space="0" w:color="808080"/>
              <w:left w:val="nil"/>
              <w:bottom w:val="single" w:sz="4" w:space="0" w:color="808080"/>
              <w:right w:val="single" w:sz="8" w:space="0" w:color="808080"/>
            </w:tcBorders>
            <w:shd w:val="clear" w:color="auto" w:fill="auto"/>
            <w:noWrap/>
            <w:vAlign w:val="center"/>
            <w:hideMark/>
          </w:tcPr>
          <w:p w14:paraId="50040E1D"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$11,825,445.31</w:t>
            </w:r>
          </w:p>
        </w:tc>
      </w:tr>
      <w:tr w:rsidR="00761FCA" w:rsidRPr="00A04585" w14:paraId="22BB9A38" w14:textId="77777777" w:rsidTr="00761FCA">
        <w:trPr>
          <w:trHeight w:val="365"/>
          <w:jc w:val="center"/>
        </w:trPr>
        <w:tc>
          <w:tcPr>
            <w:tcW w:w="3339"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3F9D9FD8"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forma igualitaria</w:t>
            </w:r>
          </w:p>
        </w:tc>
        <w:tc>
          <w:tcPr>
            <w:tcW w:w="2830" w:type="dxa"/>
            <w:tcBorders>
              <w:top w:val="single" w:sz="4" w:space="0" w:color="808080"/>
              <w:left w:val="nil"/>
              <w:bottom w:val="single" w:sz="4" w:space="0" w:color="808080"/>
              <w:right w:val="single" w:sz="8" w:space="0" w:color="808080"/>
            </w:tcBorders>
            <w:shd w:val="clear" w:color="auto" w:fill="auto"/>
            <w:noWrap/>
            <w:vAlign w:val="center"/>
            <w:hideMark/>
          </w:tcPr>
          <w:p w14:paraId="1D09F9A9"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$3,547,633.59</w:t>
            </w:r>
          </w:p>
        </w:tc>
      </w:tr>
      <w:tr w:rsidR="00761FCA" w:rsidRPr="00A04585" w14:paraId="4124C114" w14:textId="77777777" w:rsidTr="00761FCA">
        <w:trPr>
          <w:trHeight w:val="365"/>
          <w:jc w:val="center"/>
        </w:trPr>
        <w:tc>
          <w:tcPr>
            <w:tcW w:w="3339" w:type="dxa"/>
            <w:tcBorders>
              <w:top w:val="single" w:sz="4" w:space="0" w:color="808080"/>
              <w:left w:val="single" w:sz="8" w:space="0" w:color="808080"/>
              <w:bottom w:val="single" w:sz="8" w:space="0" w:color="808080"/>
              <w:right w:val="single" w:sz="4" w:space="0" w:color="808080"/>
            </w:tcBorders>
            <w:shd w:val="clear" w:color="auto" w:fill="auto"/>
            <w:vAlign w:val="center"/>
            <w:hideMark/>
          </w:tcPr>
          <w:p w14:paraId="1218174F"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forma proporcional</w:t>
            </w:r>
          </w:p>
        </w:tc>
        <w:tc>
          <w:tcPr>
            <w:tcW w:w="2830" w:type="dxa"/>
            <w:tcBorders>
              <w:top w:val="single" w:sz="4" w:space="0" w:color="808080"/>
              <w:left w:val="nil"/>
              <w:bottom w:val="single" w:sz="8" w:space="0" w:color="808080"/>
              <w:right w:val="single" w:sz="8" w:space="0" w:color="808080"/>
            </w:tcBorders>
            <w:shd w:val="clear" w:color="000000" w:fill="FFFFFF"/>
            <w:vAlign w:val="center"/>
            <w:hideMark/>
          </w:tcPr>
          <w:p w14:paraId="4142F7AF"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$8,277,811.72</w:t>
            </w:r>
          </w:p>
        </w:tc>
      </w:tr>
    </w:tbl>
    <w:p w14:paraId="5C9CC5BD" w14:textId="16B04228" w:rsidR="007D5249" w:rsidRPr="00242547" w:rsidRDefault="007D5249" w:rsidP="002E7CFF">
      <w:pPr>
        <w:pStyle w:val="Sinespaciado"/>
        <w:jc w:val="center"/>
        <w:rPr>
          <w:rFonts w:ascii="Trebuchet MS" w:hAnsi="Trebuchet MS"/>
          <w:color w:val="000000"/>
          <w:sz w:val="24"/>
          <w:szCs w:val="24"/>
          <w:lang w:val="es-ES_tradnl" w:eastAsia="es-MX"/>
        </w:rPr>
      </w:pPr>
    </w:p>
    <w:p w14:paraId="1C88A917" w14:textId="2D548212"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Así al dividirse la pri</w:t>
      </w:r>
      <w:r w:rsidR="00961880" w:rsidRPr="00A04585">
        <w:rPr>
          <w:rFonts w:ascii="Trebuchet MS" w:hAnsi="Trebuchet MS"/>
          <w:color w:val="000000"/>
          <w:sz w:val="24"/>
          <w:szCs w:val="24"/>
          <w:lang w:val="es-ES_tradnl" w:eastAsia="es-MX"/>
        </w:rPr>
        <w:t>mera cantidad referida entre siete</w:t>
      </w:r>
      <w:r w:rsidRPr="00A04585">
        <w:rPr>
          <w:rFonts w:ascii="Trebuchet MS" w:hAnsi="Trebuchet MS"/>
          <w:color w:val="000000"/>
          <w:sz w:val="24"/>
          <w:szCs w:val="24"/>
          <w:lang w:val="es-ES_tradnl" w:eastAsia="es-MX"/>
        </w:rPr>
        <w:t>,</w:t>
      </w:r>
      <w:r w:rsidR="00961880" w:rsidRPr="00A04585">
        <w:rPr>
          <w:rFonts w:ascii="Trebuchet MS" w:hAnsi="Trebuchet MS"/>
          <w:color w:val="000000"/>
          <w:sz w:val="24"/>
          <w:szCs w:val="24"/>
          <w:lang w:val="es-ES_tradnl" w:eastAsia="es-MX"/>
        </w:rPr>
        <w:t xml:space="preserve"> es decir, la correspondiente a la distribución igualitaria, </w:t>
      </w:r>
      <w:r w:rsidRPr="00A04585">
        <w:rPr>
          <w:rFonts w:ascii="Trebuchet MS" w:hAnsi="Trebuchet MS"/>
          <w:color w:val="000000"/>
          <w:sz w:val="24"/>
          <w:szCs w:val="24"/>
          <w:lang w:val="es-ES_tradnl" w:eastAsia="es-MX"/>
        </w:rPr>
        <w:t>da como resultado $</w:t>
      </w:r>
      <w:r w:rsidR="00761FCA" w:rsidRPr="00A04585">
        <w:rPr>
          <w:rFonts w:ascii="Trebuchet MS" w:hAnsi="Trebuchet MS"/>
          <w:color w:val="000000"/>
          <w:sz w:val="24"/>
          <w:szCs w:val="24"/>
          <w:lang w:val="es-ES_tradnl" w:eastAsia="es-MX"/>
        </w:rPr>
        <w:t>506,804.80</w:t>
      </w:r>
      <w:r w:rsidRPr="00A04585">
        <w:rPr>
          <w:rFonts w:ascii="Trebuchet MS" w:hAnsi="Trebuchet MS"/>
          <w:color w:val="000000"/>
          <w:sz w:val="24"/>
          <w:szCs w:val="24"/>
          <w:lang w:val="es-ES_tradnl" w:eastAsia="es-MX"/>
        </w:rPr>
        <w:t xml:space="preserve"> (</w:t>
      </w:r>
      <w:r w:rsidR="00761FCA" w:rsidRPr="00A04585">
        <w:rPr>
          <w:rFonts w:ascii="Trebuchet MS" w:hAnsi="Trebuchet MS"/>
          <w:color w:val="000000"/>
          <w:sz w:val="24"/>
          <w:szCs w:val="24"/>
          <w:lang w:val="es-ES_tradnl" w:eastAsia="es-MX"/>
        </w:rPr>
        <w:t>quinientos seis mil ochocientos cuatro pesos 80</w:t>
      </w:r>
      <w:r w:rsidRPr="00A04585">
        <w:rPr>
          <w:rFonts w:ascii="Trebuchet MS" w:hAnsi="Trebuchet MS"/>
          <w:color w:val="000000"/>
          <w:sz w:val="24"/>
          <w:szCs w:val="24"/>
          <w:lang w:val="es-ES_tradnl" w:eastAsia="es-MX"/>
        </w:rPr>
        <w:t>/100 M.N.) que deberán otorgarse a cada una de esas fuerzas políticas</w:t>
      </w:r>
      <w:r w:rsidR="00961880" w:rsidRPr="00A04585">
        <w:rPr>
          <w:rFonts w:ascii="Trebuchet MS" w:hAnsi="Trebuchet MS"/>
          <w:color w:val="000000"/>
          <w:sz w:val="24"/>
          <w:szCs w:val="24"/>
          <w:lang w:val="es-ES_tradnl" w:eastAsia="es-MX"/>
        </w:rPr>
        <w:t xml:space="preserve"> estatales</w:t>
      </w:r>
      <w:r w:rsidRPr="00A04585">
        <w:rPr>
          <w:rFonts w:ascii="Trebuchet MS" w:hAnsi="Trebuchet MS"/>
          <w:color w:val="000000"/>
          <w:sz w:val="24"/>
          <w:szCs w:val="24"/>
          <w:lang w:val="es-ES_tradnl" w:eastAsia="es-MX"/>
        </w:rPr>
        <w:t xml:space="preserve">, lo que se ilustra en la tabla inserta: </w:t>
      </w:r>
    </w:p>
    <w:p w14:paraId="41CB89A2" w14:textId="4ADD580D" w:rsidR="00E763A4" w:rsidRPr="00242547" w:rsidRDefault="00E763A4" w:rsidP="002E7CFF">
      <w:pPr>
        <w:pStyle w:val="Sinespaciado"/>
        <w:jc w:val="both"/>
        <w:rPr>
          <w:rFonts w:ascii="Trebuchet MS" w:hAnsi="Trebuchet MS"/>
          <w:color w:val="000000"/>
          <w:sz w:val="24"/>
          <w:szCs w:val="24"/>
          <w:lang w:val="es-ES_tradnl" w:eastAsia="es-MX"/>
        </w:rPr>
      </w:pPr>
    </w:p>
    <w:tbl>
      <w:tblPr>
        <w:tblW w:w="6265" w:type="dxa"/>
        <w:jc w:val="center"/>
        <w:tblCellMar>
          <w:left w:w="70" w:type="dxa"/>
          <w:right w:w="70" w:type="dxa"/>
        </w:tblCellMar>
        <w:tblLook w:val="04A0" w:firstRow="1" w:lastRow="0" w:firstColumn="1" w:lastColumn="0" w:noHBand="0" w:noVBand="1"/>
      </w:tblPr>
      <w:tblGrid>
        <w:gridCol w:w="3534"/>
        <w:gridCol w:w="2731"/>
      </w:tblGrid>
      <w:tr w:rsidR="00761FCA" w:rsidRPr="00A04585" w14:paraId="36EE3533" w14:textId="77777777" w:rsidTr="00761FCA">
        <w:trPr>
          <w:trHeight w:val="321"/>
          <w:jc w:val="center"/>
        </w:trPr>
        <w:tc>
          <w:tcPr>
            <w:tcW w:w="6265" w:type="dxa"/>
            <w:gridSpan w:val="2"/>
            <w:tcBorders>
              <w:top w:val="single" w:sz="8" w:space="0" w:color="808080"/>
              <w:left w:val="single" w:sz="8" w:space="0" w:color="808080"/>
              <w:bottom w:val="single" w:sz="4" w:space="0" w:color="808080"/>
              <w:right w:val="single" w:sz="8" w:space="0" w:color="808080"/>
            </w:tcBorders>
            <w:shd w:val="clear" w:color="000000" w:fill="F3EBF9"/>
            <w:vAlign w:val="center"/>
            <w:hideMark/>
          </w:tcPr>
          <w:p w14:paraId="2D9136C0"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4.3  Distribución de la parte igualitaria: 30% de la cantidad a distribuir</w:t>
            </w:r>
          </w:p>
        </w:tc>
      </w:tr>
      <w:tr w:rsidR="00761FCA" w:rsidRPr="00A04585" w14:paraId="6F0450E9" w14:textId="77777777" w:rsidTr="0024489A">
        <w:trPr>
          <w:trHeight w:val="321"/>
          <w:jc w:val="center"/>
        </w:trPr>
        <w:tc>
          <w:tcPr>
            <w:tcW w:w="3534"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6B7BAA02"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en la parte igualitaria</w:t>
            </w:r>
          </w:p>
        </w:tc>
        <w:tc>
          <w:tcPr>
            <w:tcW w:w="2731" w:type="dxa"/>
            <w:tcBorders>
              <w:top w:val="single" w:sz="4" w:space="0" w:color="808080"/>
              <w:left w:val="nil"/>
              <w:bottom w:val="single" w:sz="4" w:space="0" w:color="808080"/>
              <w:right w:val="single" w:sz="8" w:space="0" w:color="808080"/>
            </w:tcBorders>
            <w:shd w:val="clear" w:color="auto" w:fill="auto"/>
            <w:noWrap/>
            <w:vAlign w:val="center"/>
            <w:hideMark/>
          </w:tcPr>
          <w:p w14:paraId="02360FAF"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$3,547,633.59</w:t>
            </w:r>
          </w:p>
        </w:tc>
      </w:tr>
      <w:tr w:rsidR="00761FCA" w:rsidRPr="00A04585" w14:paraId="1C425311" w14:textId="77777777" w:rsidTr="0024489A">
        <w:trPr>
          <w:trHeight w:val="321"/>
          <w:jc w:val="center"/>
        </w:trPr>
        <w:tc>
          <w:tcPr>
            <w:tcW w:w="3534" w:type="dxa"/>
            <w:tcBorders>
              <w:top w:val="single" w:sz="4" w:space="0" w:color="808080"/>
              <w:left w:val="single" w:sz="8" w:space="0" w:color="808080"/>
              <w:bottom w:val="nil"/>
              <w:right w:val="single" w:sz="4" w:space="0" w:color="808080"/>
            </w:tcBorders>
            <w:shd w:val="clear" w:color="auto" w:fill="auto"/>
            <w:vAlign w:val="center"/>
            <w:hideMark/>
          </w:tcPr>
          <w:p w14:paraId="13A0FE86"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Partidos políticos con derecho a recibirlo</w:t>
            </w:r>
          </w:p>
        </w:tc>
        <w:tc>
          <w:tcPr>
            <w:tcW w:w="2731" w:type="dxa"/>
            <w:tcBorders>
              <w:top w:val="single" w:sz="4" w:space="0" w:color="808080"/>
              <w:left w:val="nil"/>
              <w:bottom w:val="nil"/>
              <w:right w:val="single" w:sz="8" w:space="0" w:color="808080"/>
            </w:tcBorders>
            <w:shd w:val="clear" w:color="auto" w:fill="auto"/>
            <w:noWrap/>
            <w:vAlign w:val="center"/>
            <w:hideMark/>
          </w:tcPr>
          <w:p w14:paraId="2251193F" w14:textId="77777777" w:rsidR="00761FCA" w:rsidRPr="00A04585" w:rsidRDefault="00761FCA" w:rsidP="00761FC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7 </w:t>
            </w:r>
          </w:p>
        </w:tc>
      </w:tr>
      <w:tr w:rsidR="00761FCA" w:rsidRPr="00A04585" w14:paraId="2F2F77F7" w14:textId="77777777" w:rsidTr="0024489A">
        <w:trPr>
          <w:trHeight w:val="321"/>
          <w:jc w:val="center"/>
        </w:trPr>
        <w:tc>
          <w:tcPr>
            <w:tcW w:w="3534" w:type="dxa"/>
            <w:tcBorders>
              <w:top w:val="single" w:sz="8" w:space="0" w:color="808080"/>
              <w:left w:val="single" w:sz="8" w:space="0" w:color="808080"/>
              <w:bottom w:val="single" w:sz="8" w:space="0" w:color="808080"/>
              <w:right w:val="nil"/>
            </w:tcBorders>
            <w:shd w:val="clear" w:color="000000" w:fill="F3EBF9"/>
            <w:vAlign w:val="center"/>
            <w:hideMark/>
          </w:tcPr>
          <w:p w14:paraId="37796A19" w14:textId="5B7FE954" w:rsidR="00761FCA" w:rsidRPr="00A04585" w:rsidRDefault="00761FCA" w:rsidP="00761FCA">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Cantidad a entregar por partido político</w:t>
            </w:r>
            <w:r w:rsidR="00AE1293" w:rsidRPr="00A04585">
              <w:rPr>
                <w:rFonts w:ascii="Trebuchet MS" w:eastAsia="Times New Roman" w:hAnsi="Trebuchet MS" w:cs="Calibri Light"/>
                <w:b/>
                <w:bCs/>
                <w:sz w:val="20"/>
                <w:szCs w:val="20"/>
                <w:lang w:eastAsia="es-MX"/>
              </w:rPr>
              <w:t xml:space="preserve"> (solo para partidos locales)</w:t>
            </w:r>
          </w:p>
        </w:tc>
        <w:tc>
          <w:tcPr>
            <w:tcW w:w="2731" w:type="dxa"/>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47E82064" w14:textId="77777777" w:rsidR="00761FCA" w:rsidRPr="00A04585" w:rsidRDefault="00761FCA" w:rsidP="00761FCA">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$506,804.80</w:t>
            </w:r>
          </w:p>
        </w:tc>
      </w:tr>
    </w:tbl>
    <w:p w14:paraId="2887BC2C" w14:textId="1E0ECAA7" w:rsidR="007D5249" w:rsidRPr="00242547" w:rsidRDefault="007D5249" w:rsidP="002E7CFF">
      <w:pPr>
        <w:pStyle w:val="Sinespaciado"/>
        <w:jc w:val="center"/>
        <w:rPr>
          <w:rFonts w:ascii="Trebuchet MS" w:hAnsi="Trebuchet MS"/>
          <w:color w:val="000000"/>
          <w:sz w:val="24"/>
          <w:szCs w:val="24"/>
          <w:lang w:val="es-ES_tradnl" w:eastAsia="es-MX"/>
        </w:rPr>
      </w:pPr>
    </w:p>
    <w:p w14:paraId="5B793D17" w14:textId="00436386" w:rsidR="00961880" w:rsidRPr="00A04585" w:rsidRDefault="00961880"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Con base en lo anterior se colige que</w:t>
      </w:r>
      <w:r w:rsidR="007C37BE" w:rsidRPr="00A04585">
        <w:rPr>
          <w:rFonts w:ascii="Trebuchet MS" w:hAnsi="Trebuchet MS"/>
          <w:color w:val="000000"/>
          <w:sz w:val="24"/>
          <w:szCs w:val="24"/>
          <w:lang w:val="es-ES_tradnl" w:eastAsia="es-MX"/>
        </w:rPr>
        <w:t>,</w:t>
      </w:r>
      <w:r w:rsidRPr="00A04585">
        <w:rPr>
          <w:rFonts w:ascii="Trebuchet MS" w:hAnsi="Trebuchet MS"/>
          <w:color w:val="000000"/>
          <w:sz w:val="24"/>
          <w:szCs w:val="24"/>
          <w:lang w:val="es-ES_tradnl" w:eastAsia="es-MX"/>
        </w:rPr>
        <w:t xml:space="preserve"> de la parte de distribución igualitaria correspondiente a la bolsa de actividades específicas de los partidos políticos estatales, sólo serán distribuidas dos séptimas partes que equivalen a $</w:t>
      </w:r>
      <w:r w:rsidR="00761FCA" w:rsidRPr="00A04585">
        <w:rPr>
          <w:rFonts w:ascii="Trebuchet MS" w:hAnsi="Trebuchet MS"/>
          <w:color w:val="000000"/>
          <w:sz w:val="24"/>
          <w:szCs w:val="24"/>
          <w:lang w:val="es-ES_tradnl" w:eastAsia="es-MX"/>
        </w:rPr>
        <w:t>1´013,609.60</w:t>
      </w:r>
      <w:r w:rsidRPr="00A04585">
        <w:rPr>
          <w:rFonts w:ascii="Trebuchet MS" w:hAnsi="Trebuchet MS"/>
          <w:color w:val="000000"/>
          <w:sz w:val="24"/>
          <w:szCs w:val="24"/>
          <w:lang w:val="es-ES_tradnl" w:eastAsia="es-MX"/>
        </w:rPr>
        <w:t xml:space="preserve"> (</w:t>
      </w:r>
      <w:r w:rsidR="00761FCA" w:rsidRPr="00A04585">
        <w:rPr>
          <w:rFonts w:ascii="Trebuchet MS" w:hAnsi="Trebuchet MS"/>
          <w:color w:val="000000"/>
          <w:sz w:val="24"/>
          <w:szCs w:val="24"/>
          <w:lang w:val="es-ES_tradnl" w:eastAsia="es-MX"/>
        </w:rPr>
        <w:t>un millón trece mil seiscientos nueve pesos 60</w:t>
      </w:r>
      <w:r w:rsidRPr="00A04585">
        <w:rPr>
          <w:rFonts w:ascii="Trebuchet MS" w:hAnsi="Trebuchet MS"/>
          <w:color w:val="000000"/>
          <w:sz w:val="24"/>
          <w:szCs w:val="24"/>
          <w:lang w:val="es-ES_tradnl" w:eastAsia="es-MX"/>
        </w:rPr>
        <w:t>/100 M.N.) y no se erogará el resto que es igual a la cantidad $</w:t>
      </w:r>
      <w:r w:rsidR="00761FCA" w:rsidRPr="00A04585">
        <w:rPr>
          <w:rFonts w:ascii="Trebuchet MS" w:hAnsi="Trebuchet MS"/>
          <w:color w:val="000000"/>
          <w:sz w:val="24"/>
          <w:szCs w:val="24"/>
          <w:lang w:val="es-ES_tradnl" w:eastAsia="es-MX"/>
        </w:rPr>
        <w:t>2´534,024.00</w:t>
      </w:r>
      <w:r w:rsidRPr="00A04585">
        <w:rPr>
          <w:rFonts w:ascii="Trebuchet MS" w:hAnsi="Trebuchet MS"/>
          <w:color w:val="000000"/>
          <w:sz w:val="24"/>
          <w:szCs w:val="24"/>
          <w:lang w:val="es-ES_tradnl" w:eastAsia="es-MX"/>
        </w:rPr>
        <w:t xml:space="preserve"> (dos millones </w:t>
      </w:r>
      <w:r w:rsidR="00761FCA" w:rsidRPr="00A04585">
        <w:rPr>
          <w:rFonts w:ascii="Trebuchet MS" w:hAnsi="Trebuchet MS"/>
          <w:color w:val="000000"/>
          <w:sz w:val="24"/>
          <w:szCs w:val="24"/>
          <w:lang w:val="es-ES_tradnl" w:eastAsia="es-MX"/>
        </w:rPr>
        <w:t>quinientos treinta y cuatro mil veinticuatro pesos 00</w:t>
      </w:r>
      <w:r w:rsidRPr="00A04585">
        <w:rPr>
          <w:rFonts w:ascii="Trebuchet MS" w:hAnsi="Trebuchet MS"/>
          <w:color w:val="000000"/>
          <w:sz w:val="24"/>
          <w:szCs w:val="24"/>
          <w:lang w:val="es-ES_tradnl" w:eastAsia="es-MX"/>
        </w:rPr>
        <w:t>/100 M.N.).</w:t>
      </w:r>
    </w:p>
    <w:p w14:paraId="5529835B" w14:textId="77777777" w:rsidR="00961880" w:rsidRPr="00242547" w:rsidRDefault="00961880" w:rsidP="002E7CFF">
      <w:pPr>
        <w:pStyle w:val="Sinespaciado"/>
        <w:jc w:val="both"/>
        <w:rPr>
          <w:rFonts w:ascii="Trebuchet MS" w:hAnsi="Trebuchet MS"/>
          <w:color w:val="000000"/>
          <w:sz w:val="24"/>
          <w:szCs w:val="24"/>
          <w:lang w:val="es-ES_tradnl" w:eastAsia="es-MX"/>
        </w:rPr>
      </w:pPr>
    </w:p>
    <w:p w14:paraId="58675684" w14:textId="4766EB2A"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Del importe </w:t>
      </w:r>
      <w:r w:rsidR="00EF3DDE" w:rsidRPr="00A04585">
        <w:rPr>
          <w:rFonts w:ascii="Trebuchet MS" w:hAnsi="Trebuchet MS"/>
          <w:color w:val="000000"/>
          <w:sz w:val="24"/>
          <w:szCs w:val="24"/>
          <w:lang w:val="es-ES_tradnl" w:eastAsia="es-MX"/>
        </w:rPr>
        <w:t xml:space="preserve">del monto a </w:t>
      </w:r>
      <w:r w:rsidRPr="00A04585">
        <w:rPr>
          <w:rFonts w:ascii="Trebuchet MS" w:hAnsi="Trebuchet MS"/>
          <w:color w:val="000000"/>
          <w:sz w:val="24"/>
          <w:szCs w:val="24"/>
          <w:lang w:val="es-ES_tradnl" w:eastAsia="es-MX"/>
        </w:rPr>
        <w:t>distribuirse</w:t>
      </w:r>
      <w:r w:rsidR="00961880" w:rsidRPr="00A04585">
        <w:rPr>
          <w:rFonts w:ascii="Trebuchet MS" w:hAnsi="Trebuchet MS"/>
          <w:color w:val="000000"/>
          <w:sz w:val="24"/>
          <w:szCs w:val="24"/>
          <w:lang w:val="es-ES_tradnl" w:eastAsia="es-MX"/>
        </w:rPr>
        <w:t xml:space="preserve"> proporcionalmente (es decir, el 70% del importe para actividades específicas)</w:t>
      </w:r>
      <w:r w:rsidRPr="00A04585">
        <w:rPr>
          <w:rFonts w:ascii="Trebuchet MS" w:hAnsi="Trebuchet MS"/>
          <w:color w:val="000000"/>
          <w:sz w:val="24"/>
          <w:szCs w:val="24"/>
          <w:lang w:val="es-ES_tradnl" w:eastAsia="es-MX"/>
        </w:rPr>
        <w:t xml:space="preserve">, como se adelantó, sólo </w:t>
      </w:r>
      <w:r w:rsidR="00970805" w:rsidRPr="00A04585">
        <w:rPr>
          <w:rFonts w:ascii="Trebuchet MS" w:hAnsi="Trebuchet MS"/>
          <w:color w:val="000000"/>
          <w:sz w:val="24"/>
          <w:szCs w:val="24"/>
          <w:lang w:val="es-ES_tradnl" w:eastAsia="es-MX"/>
        </w:rPr>
        <w:t xml:space="preserve">se repartirá </w:t>
      </w:r>
      <w:r w:rsidRPr="00A04585">
        <w:rPr>
          <w:rFonts w:ascii="Trebuchet MS" w:hAnsi="Trebuchet MS"/>
          <w:color w:val="000000"/>
          <w:sz w:val="24"/>
          <w:szCs w:val="24"/>
          <w:lang w:val="es-ES_tradnl" w:eastAsia="es-MX"/>
        </w:rPr>
        <w:t>lo correspondiente a la votación de obtenida por l</w:t>
      </w:r>
      <w:r w:rsidR="00970805" w:rsidRPr="00A04585">
        <w:rPr>
          <w:rFonts w:ascii="Trebuchet MS" w:hAnsi="Trebuchet MS"/>
          <w:color w:val="000000"/>
          <w:sz w:val="24"/>
          <w:szCs w:val="24"/>
          <w:lang w:val="es-ES_tradnl" w:eastAsia="es-MX"/>
        </w:rPr>
        <w:t xml:space="preserve">os partidos políticos </w:t>
      </w:r>
      <w:r w:rsidR="008D230A" w:rsidRPr="00A04585">
        <w:rPr>
          <w:rFonts w:ascii="Trebuchet MS" w:hAnsi="Trebuchet MS"/>
          <w:color w:val="000000"/>
          <w:sz w:val="24"/>
          <w:szCs w:val="24"/>
          <w:lang w:val="es-ES_tradnl" w:eastAsia="es-MX"/>
        </w:rPr>
        <w:t>estatales</w:t>
      </w:r>
      <w:r w:rsidRPr="00A04585">
        <w:rPr>
          <w:rFonts w:ascii="Trebuchet MS" w:hAnsi="Trebuchet MS"/>
          <w:color w:val="000000"/>
          <w:sz w:val="24"/>
          <w:szCs w:val="24"/>
          <w:lang w:val="es-ES_tradnl" w:eastAsia="es-MX"/>
        </w:rPr>
        <w:t xml:space="preserve"> en la elección de diputaciones locales pasada, tal como se muestra enseguida:</w:t>
      </w:r>
    </w:p>
    <w:p w14:paraId="554B452F" w14:textId="77777777" w:rsidR="00381031" w:rsidRPr="00A04585" w:rsidRDefault="00381031" w:rsidP="002E7CFF">
      <w:pPr>
        <w:pStyle w:val="Sinespaciado"/>
        <w:jc w:val="both"/>
        <w:rPr>
          <w:rFonts w:ascii="Trebuchet MS" w:hAnsi="Trebuchet MS"/>
          <w:color w:val="000000"/>
          <w:sz w:val="24"/>
          <w:szCs w:val="24"/>
          <w:lang w:val="es-ES_tradnl" w:eastAsia="es-MX"/>
        </w:rPr>
      </w:pPr>
    </w:p>
    <w:p w14:paraId="4260EDCD" w14:textId="6F0B7E90" w:rsidR="00014AF0" w:rsidRPr="00242547" w:rsidRDefault="00014AF0" w:rsidP="002E7CFF">
      <w:pPr>
        <w:pStyle w:val="Sinespaciado"/>
        <w:jc w:val="both"/>
        <w:rPr>
          <w:rFonts w:ascii="Trebuchet MS" w:hAnsi="Trebuchet MS"/>
          <w:color w:val="000000"/>
          <w:sz w:val="24"/>
          <w:szCs w:val="24"/>
          <w:lang w:val="es-ES_tradnl" w:eastAsia="es-MX"/>
        </w:rPr>
      </w:pPr>
    </w:p>
    <w:tbl>
      <w:tblPr>
        <w:tblW w:w="8632" w:type="dxa"/>
        <w:tblCellMar>
          <w:left w:w="70" w:type="dxa"/>
          <w:right w:w="70" w:type="dxa"/>
        </w:tblCellMar>
        <w:tblLook w:val="04A0" w:firstRow="1" w:lastRow="0" w:firstColumn="1" w:lastColumn="0" w:noHBand="0" w:noVBand="1"/>
      </w:tblPr>
      <w:tblGrid>
        <w:gridCol w:w="1737"/>
        <w:gridCol w:w="2013"/>
        <w:gridCol w:w="2243"/>
        <w:gridCol w:w="2639"/>
      </w:tblGrid>
      <w:tr w:rsidR="00EF3DDE" w:rsidRPr="00A04585" w14:paraId="6914D375" w14:textId="77777777" w:rsidTr="00EF3DDE">
        <w:trPr>
          <w:trHeight w:val="614"/>
        </w:trPr>
        <w:tc>
          <w:tcPr>
            <w:tcW w:w="8632" w:type="dxa"/>
            <w:gridSpan w:val="4"/>
            <w:tcBorders>
              <w:top w:val="single" w:sz="8" w:space="0" w:color="808080"/>
              <w:left w:val="single" w:sz="8" w:space="0" w:color="808080"/>
              <w:bottom w:val="single" w:sz="8" w:space="0" w:color="808080"/>
              <w:right w:val="single" w:sz="8" w:space="0" w:color="808080"/>
            </w:tcBorders>
            <w:shd w:val="clear" w:color="000000" w:fill="F3EBF9"/>
            <w:noWrap/>
            <w:vAlign w:val="center"/>
            <w:hideMark/>
          </w:tcPr>
          <w:p w14:paraId="4CB8D01D"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4.4 Distribución de la parte proporcional: 70% de la cantidad a distribuir</w:t>
            </w:r>
          </w:p>
        </w:tc>
      </w:tr>
      <w:tr w:rsidR="00EF3DDE" w:rsidRPr="00A04585" w14:paraId="408775B5" w14:textId="77777777" w:rsidTr="00EF3DDE">
        <w:trPr>
          <w:trHeight w:val="330"/>
        </w:trPr>
        <w:tc>
          <w:tcPr>
            <w:tcW w:w="3750" w:type="dxa"/>
            <w:gridSpan w:val="2"/>
            <w:tcBorders>
              <w:top w:val="nil"/>
              <w:left w:val="single" w:sz="8" w:space="0" w:color="808080"/>
              <w:bottom w:val="nil"/>
              <w:right w:val="single" w:sz="4" w:space="0" w:color="808080"/>
            </w:tcBorders>
            <w:shd w:val="clear" w:color="auto" w:fill="auto"/>
            <w:vAlign w:val="center"/>
            <w:hideMark/>
          </w:tcPr>
          <w:p w14:paraId="5F01110F"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cantidad a distribuir</w:t>
            </w:r>
          </w:p>
        </w:tc>
        <w:tc>
          <w:tcPr>
            <w:tcW w:w="4882" w:type="dxa"/>
            <w:gridSpan w:val="2"/>
            <w:tcBorders>
              <w:top w:val="nil"/>
              <w:left w:val="nil"/>
              <w:bottom w:val="single" w:sz="4" w:space="0" w:color="808080"/>
              <w:right w:val="single" w:sz="8" w:space="0" w:color="808080"/>
            </w:tcBorders>
            <w:shd w:val="clear" w:color="000000" w:fill="FFFFFF"/>
            <w:vAlign w:val="center"/>
            <w:hideMark/>
          </w:tcPr>
          <w:p w14:paraId="46F85952" w14:textId="7901CD2D"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w:t>
            </w:r>
            <w:r w:rsidR="00AE1293"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277,811.72</w:t>
            </w:r>
          </w:p>
        </w:tc>
      </w:tr>
      <w:tr w:rsidR="00EF3DDE" w:rsidRPr="00A04585" w14:paraId="672326D6" w14:textId="77777777" w:rsidTr="00EF3DDE">
        <w:trPr>
          <w:trHeight w:val="639"/>
        </w:trPr>
        <w:tc>
          <w:tcPr>
            <w:tcW w:w="3750" w:type="dxa"/>
            <w:gridSpan w:val="2"/>
            <w:tcBorders>
              <w:top w:val="single" w:sz="4" w:space="0" w:color="808080"/>
              <w:left w:val="single" w:sz="8" w:space="0" w:color="808080"/>
              <w:bottom w:val="single" w:sz="4" w:space="0" w:color="808080"/>
              <w:right w:val="single" w:sz="4" w:space="0" w:color="808080"/>
            </w:tcBorders>
            <w:shd w:val="clear" w:color="auto" w:fill="auto"/>
            <w:noWrap/>
            <w:vAlign w:val="center"/>
            <w:hideMark/>
          </w:tcPr>
          <w:p w14:paraId="27BB6F35" w14:textId="77777777" w:rsidR="00EF3DDE" w:rsidRPr="00A04585" w:rsidRDefault="00EF3DDE" w:rsidP="00EF3DDE">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Criterio de distribución</w:t>
            </w:r>
          </w:p>
        </w:tc>
        <w:tc>
          <w:tcPr>
            <w:tcW w:w="4882" w:type="dxa"/>
            <w:gridSpan w:val="2"/>
            <w:tcBorders>
              <w:top w:val="single" w:sz="4" w:space="0" w:color="808080"/>
              <w:left w:val="nil"/>
              <w:bottom w:val="single" w:sz="4" w:space="0" w:color="808080"/>
              <w:right w:val="single" w:sz="8" w:space="0" w:color="808080"/>
            </w:tcBorders>
            <w:shd w:val="clear" w:color="auto" w:fill="auto"/>
            <w:vAlign w:val="center"/>
            <w:hideMark/>
          </w:tcPr>
          <w:p w14:paraId="5CA5FE8C" w14:textId="77777777" w:rsidR="00EF3DDE" w:rsidRPr="00A04585" w:rsidRDefault="00EF3DDE" w:rsidP="00EF3DDE">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 xml:space="preserve">De acuerdo con el porcentaje de votos obtenidos en la elección de diputaciones por el principio de mayoría relativa inmediata anterior. </w:t>
            </w:r>
            <w:r w:rsidRPr="00A04585">
              <w:rPr>
                <w:rFonts w:ascii="Trebuchet MS" w:eastAsia="Times New Roman" w:hAnsi="Trebuchet MS" w:cs="Calibri Light"/>
                <w:color w:val="000000"/>
                <w:sz w:val="20"/>
                <w:szCs w:val="20"/>
                <w:lang w:eastAsia="es-MX"/>
              </w:rPr>
              <w:br/>
              <w:t>(Art. 13, base IV de  la CPEJ, 51 de la LGPP y 46 del CEEJ)</w:t>
            </w:r>
          </w:p>
        </w:tc>
      </w:tr>
      <w:tr w:rsidR="00EF3DDE" w:rsidRPr="00A04585" w14:paraId="428C59F2" w14:textId="77777777" w:rsidTr="00EF3DDE">
        <w:trPr>
          <w:trHeight w:val="330"/>
        </w:trPr>
        <w:tc>
          <w:tcPr>
            <w:tcW w:w="3750" w:type="dxa"/>
            <w:gridSpan w:val="2"/>
            <w:tcBorders>
              <w:top w:val="single" w:sz="4" w:space="0" w:color="808080"/>
              <w:left w:val="single" w:sz="8" w:space="0" w:color="808080"/>
              <w:bottom w:val="single" w:sz="4" w:space="0" w:color="808080"/>
              <w:right w:val="single" w:sz="4" w:space="0" w:color="808080"/>
            </w:tcBorders>
            <w:shd w:val="clear" w:color="auto" w:fill="auto"/>
            <w:vAlign w:val="center"/>
            <w:hideMark/>
          </w:tcPr>
          <w:p w14:paraId="4A95C1C0" w14:textId="77777777" w:rsidR="00EF3DDE" w:rsidRPr="00A04585" w:rsidRDefault="00EF3DDE" w:rsidP="00EF3DDE">
            <w:pPr>
              <w:jc w:val="center"/>
              <w:rPr>
                <w:rFonts w:ascii="Trebuchet MS" w:eastAsia="Times New Roman" w:hAnsi="Trebuchet MS" w:cs="Calibri Light"/>
                <w:color w:val="000000"/>
                <w:sz w:val="20"/>
                <w:szCs w:val="20"/>
                <w:lang w:eastAsia="es-MX"/>
              </w:rPr>
            </w:pPr>
            <w:r w:rsidRPr="00A04585">
              <w:rPr>
                <w:rFonts w:ascii="Trebuchet MS" w:eastAsia="Times New Roman" w:hAnsi="Trebuchet MS" w:cs="Calibri Light"/>
                <w:color w:val="000000"/>
                <w:sz w:val="20"/>
                <w:szCs w:val="20"/>
                <w:lang w:eastAsia="es-MX"/>
              </w:rPr>
              <w:t>Votación Obtenida por Partidos Políticos con Derecho a recibir financiamiento público</w:t>
            </w:r>
          </w:p>
        </w:tc>
        <w:tc>
          <w:tcPr>
            <w:tcW w:w="4882" w:type="dxa"/>
            <w:gridSpan w:val="2"/>
            <w:tcBorders>
              <w:top w:val="single" w:sz="4" w:space="0" w:color="808080"/>
              <w:left w:val="nil"/>
              <w:bottom w:val="single" w:sz="4" w:space="0" w:color="808080"/>
              <w:right w:val="single" w:sz="4" w:space="0" w:color="808080"/>
            </w:tcBorders>
            <w:shd w:val="clear" w:color="000000" w:fill="FFFFFF"/>
            <w:vAlign w:val="center"/>
            <w:hideMark/>
          </w:tcPr>
          <w:p w14:paraId="6E36ACB4" w14:textId="1F90A90E"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2</w:t>
            </w:r>
            <w:r w:rsidR="00AE1293" w:rsidRPr="00A04585">
              <w:rPr>
                <w:rFonts w:ascii="Trebuchet MS" w:eastAsia="Times New Roman" w:hAnsi="Trebuchet MS" w:cs="Calibri Light"/>
                <w:b/>
                <w:bCs/>
                <w:color w:val="000000"/>
                <w:sz w:val="20"/>
                <w:szCs w:val="20"/>
                <w:lang w:eastAsia="es-MX"/>
              </w:rPr>
              <w:t>'</w:t>
            </w:r>
            <w:r w:rsidRPr="00A04585">
              <w:rPr>
                <w:rFonts w:ascii="Trebuchet MS" w:eastAsia="Times New Roman" w:hAnsi="Trebuchet MS" w:cs="Calibri Light"/>
                <w:b/>
                <w:bCs/>
                <w:color w:val="000000"/>
                <w:sz w:val="20"/>
                <w:szCs w:val="20"/>
                <w:lang w:eastAsia="es-MX"/>
              </w:rPr>
              <w:t xml:space="preserve">679,747 </w:t>
            </w:r>
          </w:p>
        </w:tc>
      </w:tr>
      <w:tr w:rsidR="00EF3DDE" w:rsidRPr="00A04585" w14:paraId="56EBB0FC" w14:textId="77777777" w:rsidTr="00EF3DDE">
        <w:trPr>
          <w:trHeight w:val="330"/>
        </w:trPr>
        <w:tc>
          <w:tcPr>
            <w:tcW w:w="1737" w:type="dxa"/>
            <w:tcBorders>
              <w:top w:val="nil"/>
              <w:left w:val="single" w:sz="8" w:space="0" w:color="808080"/>
              <w:bottom w:val="single" w:sz="4" w:space="0" w:color="808080"/>
              <w:right w:val="single" w:sz="4" w:space="0" w:color="808080"/>
            </w:tcBorders>
            <w:shd w:val="clear" w:color="auto" w:fill="auto"/>
            <w:noWrap/>
            <w:vAlign w:val="center"/>
            <w:hideMark/>
          </w:tcPr>
          <w:p w14:paraId="1D6369C4"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2012" w:type="dxa"/>
            <w:tcBorders>
              <w:top w:val="nil"/>
              <w:left w:val="nil"/>
              <w:bottom w:val="single" w:sz="4" w:space="0" w:color="808080"/>
              <w:right w:val="single" w:sz="4" w:space="0" w:color="808080"/>
            </w:tcBorders>
            <w:shd w:val="clear" w:color="000000" w:fill="FFFFFF"/>
            <w:vAlign w:val="center"/>
            <w:hideMark/>
          </w:tcPr>
          <w:p w14:paraId="09DD374F"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Votación obtenida</w:t>
            </w:r>
          </w:p>
        </w:tc>
        <w:tc>
          <w:tcPr>
            <w:tcW w:w="2243" w:type="dxa"/>
            <w:tcBorders>
              <w:top w:val="single" w:sz="4" w:space="0" w:color="808080"/>
              <w:left w:val="nil"/>
              <w:bottom w:val="single" w:sz="4" w:space="0" w:color="808080"/>
              <w:right w:val="single" w:sz="4" w:space="0" w:color="808080"/>
            </w:tcBorders>
            <w:shd w:val="clear" w:color="000000" w:fill="FFFFFF"/>
            <w:vAlign w:val="center"/>
            <w:hideMark/>
          </w:tcPr>
          <w:p w14:paraId="069F8089"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de la votación obtenida</w:t>
            </w:r>
          </w:p>
        </w:tc>
        <w:tc>
          <w:tcPr>
            <w:tcW w:w="2639" w:type="dxa"/>
            <w:tcBorders>
              <w:top w:val="single" w:sz="4" w:space="0" w:color="808080"/>
              <w:left w:val="nil"/>
              <w:bottom w:val="single" w:sz="4" w:space="0" w:color="808080"/>
              <w:right w:val="single" w:sz="8" w:space="0" w:color="808080"/>
            </w:tcBorders>
            <w:shd w:val="clear" w:color="000000" w:fill="FFFFFF"/>
            <w:vAlign w:val="center"/>
            <w:hideMark/>
          </w:tcPr>
          <w:p w14:paraId="3012A90A"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Cantidad a entregar</w:t>
            </w:r>
          </w:p>
        </w:tc>
      </w:tr>
      <w:tr w:rsidR="00EF3DDE" w:rsidRPr="00A04585" w14:paraId="3CD31BDE" w14:textId="77777777" w:rsidTr="00EF3DDE">
        <w:trPr>
          <w:trHeight w:val="330"/>
        </w:trPr>
        <w:tc>
          <w:tcPr>
            <w:tcW w:w="1737" w:type="dxa"/>
            <w:tcBorders>
              <w:top w:val="nil"/>
              <w:left w:val="single" w:sz="8" w:space="0" w:color="808080"/>
              <w:bottom w:val="single" w:sz="4" w:space="0" w:color="808080"/>
              <w:right w:val="single" w:sz="4" w:space="0" w:color="808080"/>
            </w:tcBorders>
            <w:shd w:val="clear" w:color="auto" w:fill="auto"/>
            <w:noWrap/>
            <w:vAlign w:val="center"/>
            <w:hideMark/>
          </w:tcPr>
          <w:p w14:paraId="2AF190E9"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HAGAMOS</w:t>
            </w:r>
          </w:p>
        </w:tc>
        <w:tc>
          <w:tcPr>
            <w:tcW w:w="2012" w:type="dxa"/>
            <w:tcBorders>
              <w:top w:val="nil"/>
              <w:left w:val="nil"/>
              <w:bottom w:val="single" w:sz="4" w:space="0" w:color="808080"/>
              <w:right w:val="single" w:sz="4" w:space="0" w:color="808080"/>
            </w:tcBorders>
            <w:shd w:val="clear" w:color="000000" w:fill="FFFFFF"/>
            <w:vAlign w:val="center"/>
            <w:hideMark/>
          </w:tcPr>
          <w:p w14:paraId="1050FA90"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140,225 </w:t>
            </w:r>
          </w:p>
        </w:tc>
        <w:tc>
          <w:tcPr>
            <w:tcW w:w="2243" w:type="dxa"/>
            <w:tcBorders>
              <w:top w:val="single" w:sz="4" w:space="0" w:color="808080"/>
              <w:left w:val="nil"/>
              <w:bottom w:val="single" w:sz="4" w:space="0" w:color="808080"/>
              <w:right w:val="single" w:sz="4" w:space="0" w:color="808080"/>
            </w:tcBorders>
            <w:shd w:val="clear" w:color="000000" w:fill="FFFFFF"/>
            <w:vAlign w:val="center"/>
            <w:hideMark/>
          </w:tcPr>
          <w:p w14:paraId="0DA91778"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5.2328%</w:t>
            </w:r>
          </w:p>
        </w:tc>
        <w:tc>
          <w:tcPr>
            <w:tcW w:w="2639" w:type="dxa"/>
            <w:tcBorders>
              <w:top w:val="single" w:sz="4" w:space="0" w:color="808080"/>
              <w:left w:val="nil"/>
              <w:bottom w:val="single" w:sz="4" w:space="0" w:color="808080"/>
              <w:right w:val="single" w:sz="8" w:space="0" w:color="808080"/>
            </w:tcBorders>
            <w:shd w:val="clear" w:color="000000" w:fill="FFFFFF"/>
            <w:vAlign w:val="center"/>
            <w:hideMark/>
          </w:tcPr>
          <w:p w14:paraId="2AF61011"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$433,158.86</w:t>
            </w:r>
          </w:p>
        </w:tc>
      </w:tr>
      <w:tr w:rsidR="00EF3DDE" w:rsidRPr="00A04585" w14:paraId="4FDEB05C" w14:textId="77777777" w:rsidTr="00EF3DDE">
        <w:trPr>
          <w:trHeight w:val="330"/>
        </w:trPr>
        <w:tc>
          <w:tcPr>
            <w:tcW w:w="1737" w:type="dxa"/>
            <w:tcBorders>
              <w:top w:val="nil"/>
              <w:left w:val="single" w:sz="8" w:space="0" w:color="808080"/>
              <w:bottom w:val="single" w:sz="4" w:space="0" w:color="808080"/>
              <w:right w:val="single" w:sz="4" w:space="0" w:color="808080"/>
            </w:tcBorders>
            <w:shd w:val="clear" w:color="auto" w:fill="auto"/>
            <w:noWrap/>
            <w:vAlign w:val="center"/>
            <w:hideMark/>
          </w:tcPr>
          <w:p w14:paraId="09E0D643"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FUTURO</w:t>
            </w:r>
          </w:p>
        </w:tc>
        <w:tc>
          <w:tcPr>
            <w:tcW w:w="2012" w:type="dxa"/>
            <w:tcBorders>
              <w:top w:val="nil"/>
              <w:left w:val="nil"/>
              <w:bottom w:val="single" w:sz="4" w:space="0" w:color="808080"/>
              <w:right w:val="single" w:sz="4" w:space="0" w:color="808080"/>
            </w:tcBorders>
            <w:shd w:val="clear" w:color="000000" w:fill="FFFFFF"/>
            <w:vAlign w:val="center"/>
            <w:hideMark/>
          </w:tcPr>
          <w:p w14:paraId="11888E2D"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122,163 </w:t>
            </w:r>
          </w:p>
        </w:tc>
        <w:tc>
          <w:tcPr>
            <w:tcW w:w="2243" w:type="dxa"/>
            <w:tcBorders>
              <w:top w:val="single" w:sz="4" w:space="0" w:color="808080"/>
              <w:left w:val="nil"/>
              <w:bottom w:val="single" w:sz="4" w:space="0" w:color="808080"/>
              <w:right w:val="single" w:sz="4" w:space="0" w:color="808080"/>
            </w:tcBorders>
            <w:shd w:val="clear" w:color="000000" w:fill="FFFFFF"/>
            <w:vAlign w:val="center"/>
            <w:hideMark/>
          </w:tcPr>
          <w:p w14:paraId="3EC312EA"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4.5588%</w:t>
            </w:r>
          </w:p>
        </w:tc>
        <w:tc>
          <w:tcPr>
            <w:tcW w:w="2639" w:type="dxa"/>
            <w:tcBorders>
              <w:top w:val="single" w:sz="4" w:space="0" w:color="808080"/>
              <w:left w:val="nil"/>
              <w:bottom w:val="single" w:sz="4" w:space="0" w:color="808080"/>
              <w:right w:val="single" w:sz="8" w:space="0" w:color="808080"/>
            </w:tcBorders>
            <w:shd w:val="clear" w:color="000000" w:fill="FFFFFF"/>
            <w:vAlign w:val="center"/>
            <w:hideMark/>
          </w:tcPr>
          <w:p w14:paraId="5CB9682F"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$377,364.85</w:t>
            </w:r>
          </w:p>
        </w:tc>
      </w:tr>
      <w:tr w:rsidR="00EF3DDE" w:rsidRPr="00A04585" w14:paraId="48E9E769" w14:textId="77777777" w:rsidTr="00EF3DDE">
        <w:trPr>
          <w:trHeight w:val="330"/>
        </w:trPr>
        <w:tc>
          <w:tcPr>
            <w:tcW w:w="1737" w:type="dxa"/>
            <w:tcBorders>
              <w:top w:val="nil"/>
              <w:left w:val="single" w:sz="8" w:space="0" w:color="808080"/>
              <w:bottom w:val="single" w:sz="8" w:space="0" w:color="808080"/>
              <w:right w:val="single" w:sz="4" w:space="0" w:color="808080"/>
            </w:tcBorders>
            <w:shd w:val="clear" w:color="auto" w:fill="auto"/>
            <w:noWrap/>
            <w:vAlign w:val="center"/>
            <w:hideMark/>
          </w:tcPr>
          <w:p w14:paraId="2D2098BB"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w:t>
            </w:r>
          </w:p>
        </w:tc>
        <w:tc>
          <w:tcPr>
            <w:tcW w:w="2012" w:type="dxa"/>
            <w:tcBorders>
              <w:top w:val="nil"/>
              <w:left w:val="nil"/>
              <w:bottom w:val="single" w:sz="8" w:space="0" w:color="808080"/>
              <w:right w:val="single" w:sz="4" w:space="0" w:color="808080"/>
            </w:tcBorders>
            <w:shd w:val="clear" w:color="000000" w:fill="FFFFFF"/>
            <w:vAlign w:val="center"/>
            <w:hideMark/>
          </w:tcPr>
          <w:p w14:paraId="56901992"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262,388 </w:t>
            </w:r>
          </w:p>
        </w:tc>
        <w:tc>
          <w:tcPr>
            <w:tcW w:w="2243" w:type="dxa"/>
            <w:tcBorders>
              <w:top w:val="single" w:sz="4" w:space="0" w:color="808080"/>
              <w:left w:val="nil"/>
              <w:bottom w:val="single" w:sz="8" w:space="0" w:color="808080"/>
              <w:right w:val="single" w:sz="4" w:space="0" w:color="808080"/>
            </w:tcBorders>
            <w:shd w:val="clear" w:color="000000" w:fill="FFFFFF"/>
            <w:vAlign w:val="center"/>
            <w:hideMark/>
          </w:tcPr>
          <w:p w14:paraId="7131D57F" w14:textId="3FE8E8E7" w:rsidR="00EF3DDE" w:rsidRPr="00A04585" w:rsidRDefault="00BB37BD" w:rsidP="00EF3DDE">
            <w:pPr>
              <w:jc w:val="center"/>
              <w:rPr>
                <w:rFonts w:ascii="Trebuchet MS" w:eastAsia="Times New Roman" w:hAnsi="Trebuchet MS" w:cs="Calibri Light"/>
                <w:b/>
                <w:bCs/>
                <w:color w:val="000000"/>
                <w:sz w:val="20"/>
                <w:szCs w:val="20"/>
                <w:lang w:eastAsia="es-MX"/>
              </w:rPr>
            </w:pPr>
            <w:r w:rsidRPr="00242547">
              <w:rPr>
                <w:rFonts w:ascii="Trebuchet MS" w:eastAsia="Times New Roman" w:hAnsi="Trebuchet MS" w:cs="Calibri Light"/>
                <w:b/>
                <w:bCs/>
                <w:color w:val="000000"/>
                <w:sz w:val="20"/>
                <w:szCs w:val="20"/>
                <w:lang w:eastAsia="es-MX"/>
              </w:rPr>
              <w:t>9.791</w:t>
            </w:r>
            <w:r w:rsidR="00AC7DB6">
              <w:rPr>
                <w:rFonts w:ascii="Trebuchet MS" w:eastAsia="Times New Roman" w:hAnsi="Trebuchet MS" w:cs="Calibri Light"/>
                <w:b/>
                <w:bCs/>
                <w:color w:val="000000"/>
                <w:sz w:val="20"/>
                <w:szCs w:val="20"/>
                <w:lang w:eastAsia="es-MX"/>
              </w:rPr>
              <w:t>6</w:t>
            </w:r>
            <w:r w:rsidR="00EF3DDE" w:rsidRPr="00242547">
              <w:rPr>
                <w:rFonts w:ascii="Trebuchet MS" w:eastAsia="Times New Roman" w:hAnsi="Trebuchet MS" w:cs="Calibri Light"/>
                <w:b/>
                <w:bCs/>
                <w:color w:val="000000"/>
                <w:sz w:val="20"/>
                <w:szCs w:val="20"/>
                <w:lang w:eastAsia="es-MX"/>
              </w:rPr>
              <w:t>%</w:t>
            </w:r>
          </w:p>
        </w:tc>
        <w:tc>
          <w:tcPr>
            <w:tcW w:w="2639" w:type="dxa"/>
            <w:tcBorders>
              <w:top w:val="single" w:sz="4" w:space="0" w:color="808080"/>
              <w:left w:val="nil"/>
              <w:bottom w:val="single" w:sz="8" w:space="0" w:color="808080"/>
              <w:right w:val="single" w:sz="8" w:space="0" w:color="808080"/>
            </w:tcBorders>
            <w:shd w:val="clear" w:color="000000" w:fill="FFFFFF"/>
            <w:vAlign w:val="center"/>
            <w:hideMark/>
          </w:tcPr>
          <w:p w14:paraId="1FD852B7"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$810,523.70</w:t>
            </w:r>
          </w:p>
        </w:tc>
      </w:tr>
    </w:tbl>
    <w:p w14:paraId="27033EA5" w14:textId="52587543" w:rsidR="005E2C4B" w:rsidRPr="00242547" w:rsidRDefault="005E2C4B" w:rsidP="002E7CFF">
      <w:pPr>
        <w:pStyle w:val="Sinespaciado"/>
        <w:jc w:val="center"/>
        <w:rPr>
          <w:rFonts w:ascii="Trebuchet MS" w:hAnsi="Trebuchet MS"/>
          <w:color w:val="000000"/>
          <w:sz w:val="24"/>
          <w:szCs w:val="24"/>
          <w:lang w:val="es-ES_tradnl" w:eastAsia="es-MX"/>
        </w:rPr>
      </w:pPr>
    </w:p>
    <w:p w14:paraId="1551D3C2" w14:textId="77777777" w:rsidR="00F040EE" w:rsidRPr="00242547" w:rsidRDefault="00F040EE" w:rsidP="002E7CFF">
      <w:pPr>
        <w:pStyle w:val="Sinespaciado"/>
        <w:jc w:val="center"/>
        <w:rPr>
          <w:rFonts w:ascii="Trebuchet MS" w:hAnsi="Trebuchet MS"/>
          <w:color w:val="000000"/>
          <w:sz w:val="24"/>
          <w:szCs w:val="24"/>
          <w:lang w:val="es-ES_tradnl" w:eastAsia="es-MX"/>
        </w:rPr>
      </w:pPr>
    </w:p>
    <w:p w14:paraId="7F356994" w14:textId="77777777" w:rsidR="00F040EE" w:rsidRPr="00242547" w:rsidRDefault="00F040EE" w:rsidP="002E7CFF">
      <w:pPr>
        <w:pStyle w:val="Sinespaciado"/>
        <w:jc w:val="center"/>
        <w:rPr>
          <w:rFonts w:ascii="Trebuchet MS" w:hAnsi="Trebuchet MS"/>
          <w:color w:val="000000"/>
          <w:sz w:val="24"/>
          <w:szCs w:val="24"/>
          <w:lang w:val="es-ES_tradnl" w:eastAsia="es-MX"/>
        </w:rPr>
      </w:pPr>
    </w:p>
    <w:p w14:paraId="65FF7D1B" w14:textId="42F94B7C"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El referido ejercicio demuestra que no fue asignada la suma del porcentaje de los partidos nacionales con</w:t>
      </w:r>
      <w:r w:rsidR="00EF3DDE" w:rsidRPr="00A04585">
        <w:rPr>
          <w:rFonts w:ascii="Trebuchet MS" w:hAnsi="Trebuchet MS"/>
          <w:color w:val="000000"/>
          <w:sz w:val="24"/>
          <w:szCs w:val="24"/>
          <w:lang w:val="es-ES_tradnl" w:eastAsia="es-MX"/>
        </w:rPr>
        <w:t xml:space="preserve"> derecho a financiamiento local,</w:t>
      </w:r>
      <w:r w:rsidRPr="00A04585">
        <w:rPr>
          <w:rFonts w:ascii="Trebuchet MS" w:hAnsi="Trebuchet MS"/>
          <w:color w:val="000000"/>
          <w:sz w:val="24"/>
          <w:szCs w:val="24"/>
          <w:lang w:val="es-ES_tradnl" w:eastAsia="es-MX"/>
        </w:rPr>
        <w:t xml:space="preserve"> porque no entran en la repartición del financiamiento destinado a los locales, lo cual es necesario para guardar la proporción entre votación obtenida</w:t>
      </w:r>
      <w:r w:rsidR="00970805" w:rsidRPr="00A04585">
        <w:rPr>
          <w:rFonts w:ascii="Trebuchet MS" w:hAnsi="Trebuchet MS"/>
          <w:color w:val="000000"/>
          <w:sz w:val="24"/>
          <w:szCs w:val="24"/>
          <w:lang w:val="es-ES_tradnl" w:eastAsia="es-MX"/>
        </w:rPr>
        <w:t xml:space="preserve"> y el monto de recursos a otorgar</w:t>
      </w:r>
      <w:r w:rsidRPr="00A04585">
        <w:rPr>
          <w:rFonts w:ascii="Trebuchet MS" w:hAnsi="Trebuchet MS"/>
          <w:color w:val="000000"/>
          <w:sz w:val="24"/>
          <w:szCs w:val="24"/>
          <w:lang w:val="es-ES_tradnl" w:eastAsia="es-MX"/>
        </w:rPr>
        <w:t>.</w:t>
      </w:r>
    </w:p>
    <w:p w14:paraId="156F6F9E" w14:textId="77777777" w:rsidR="00E763A4" w:rsidRPr="00242547" w:rsidRDefault="00E763A4" w:rsidP="002E7CFF">
      <w:pPr>
        <w:pStyle w:val="Sinespaciado"/>
        <w:jc w:val="both"/>
        <w:rPr>
          <w:rFonts w:ascii="Trebuchet MS" w:hAnsi="Trebuchet MS"/>
          <w:color w:val="000000"/>
          <w:sz w:val="24"/>
          <w:szCs w:val="24"/>
          <w:lang w:val="es-ES_tradnl" w:eastAsia="es-MX"/>
        </w:rPr>
      </w:pPr>
    </w:p>
    <w:p w14:paraId="6F19CF12" w14:textId="33AB16F9"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Ello se </w:t>
      </w:r>
      <w:r w:rsidR="000122A5" w:rsidRPr="00A04585">
        <w:rPr>
          <w:rFonts w:ascii="Trebuchet MS" w:hAnsi="Trebuchet MS"/>
          <w:color w:val="000000"/>
          <w:sz w:val="24"/>
          <w:szCs w:val="24"/>
          <w:lang w:val="es-ES_tradnl" w:eastAsia="es-MX"/>
        </w:rPr>
        <w:t>denota</w:t>
      </w:r>
      <w:r w:rsidRPr="00A04585">
        <w:rPr>
          <w:rFonts w:ascii="Trebuchet MS" w:hAnsi="Trebuchet MS"/>
          <w:color w:val="000000"/>
          <w:sz w:val="24"/>
          <w:szCs w:val="24"/>
          <w:lang w:val="es-ES_tradnl" w:eastAsia="es-MX"/>
        </w:rPr>
        <w:t xml:space="preserve"> porque de los recursos que deben distribuirse conforme a la votación obtenida, quedaría sin asignar la cantidad de $7´</w:t>
      </w:r>
      <w:r w:rsidR="00EF3DDE" w:rsidRPr="00A04585">
        <w:rPr>
          <w:rFonts w:ascii="Trebuchet MS" w:hAnsi="Trebuchet MS"/>
          <w:color w:val="000000"/>
          <w:sz w:val="24"/>
          <w:szCs w:val="24"/>
          <w:lang w:val="es-ES_tradnl" w:eastAsia="es-MX"/>
        </w:rPr>
        <w:t>467,288.02</w:t>
      </w:r>
      <w:r w:rsidRPr="00A04585">
        <w:rPr>
          <w:rFonts w:ascii="Trebuchet MS" w:hAnsi="Trebuchet MS"/>
          <w:color w:val="000000"/>
          <w:sz w:val="24"/>
          <w:szCs w:val="24"/>
          <w:lang w:val="es-ES_tradnl" w:eastAsia="es-MX"/>
        </w:rPr>
        <w:t xml:space="preserve"> (siete millones </w:t>
      </w:r>
      <w:r w:rsidR="00EF3DDE" w:rsidRPr="00A04585">
        <w:rPr>
          <w:rFonts w:ascii="Trebuchet MS" w:hAnsi="Trebuchet MS"/>
          <w:color w:val="000000"/>
          <w:sz w:val="24"/>
          <w:szCs w:val="24"/>
          <w:lang w:val="es-ES_tradnl" w:eastAsia="es-MX"/>
        </w:rPr>
        <w:t>cuatrocientos sesenta y siete mil doscientos ochenta y ocho pesos</w:t>
      </w:r>
      <w:r w:rsidRPr="00A04585">
        <w:rPr>
          <w:rFonts w:ascii="Trebuchet MS" w:hAnsi="Trebuchet MS"/>
          <w:color w:val="000000"/>
          <w:sz w:val="24"/>
          <w:szCs w:val="24"/>
          <w:lang w:val="es-ES_tradnl" w:eastAsia="es-MX"/>
        </w:rPr>
        <w:t xml:space="preserve"> </w:t>
      </w:r>
      <w:r w:rsidR="00EF3DDE" w:rsidRPr="00A04585">
        <w:rPr>
          <w:rFonts w:ascii="Trebuchet MS" w:hAnsi="Trebuchet MS"/>
          <w:color w:val="000000"/>
          <w:sz w:val="24"/>
          <w:szCs w:val="24"/>
          <w:lang w:val="es-ES_tradnl" w:eastAsia="es-MX"/>
        </w:rPr>
        <w:t>02</w:t>
      </w:r>
      <w:r w:rsidRPr="00A04585">
        <w:rPr>
          <w:rFonts w:ascii="Trebuchet MS" w:hAnsi="Trebuchet MS"/>
          <w:color w:val="000000"/>
          <w:sz w:val="24"/>
          <w:szCs w:val="24"/>
          <w:lang w:val="es-ES_tradnl" w:eastAsia="es-MX"/>
        </w:rPr>
        <w:t xml:space="preserve">/100 M.N.) que equivale en números redondos al </w:t>
      </w:r>
      <w:r w:rsidR="007B0875" w:rsidRPr="00242547">
        <w:rPr>
          <w:rFonts w:ascii="Trebuchet MS" w:hAnsi="Trebuchet MS"/>
          <w:color w:val="000000"/>
          <w:sz w:val="24"/>
          <w:szCs w:val="24"/>
          <w:lang w:val="es-ES_tradnl" w:eastAsia="es-MX"/>
        </w:rPr>
        <w:t>noventa por ciento</w:t>
      </w:r>
      <w:r w:rsidRPr="00A04585">
        <w:rPr>
          <w:rFonts w:ascii="Trebuchet MS" w:hAnsi="Trebuchet MS"/>
          <w:color w:val="000000"/>
          <w:sz w:val="24"/>
          <w:szCs w:val="24"/>
          <w:lang w:val="es-ES_tradnl" w:eastAsia="es-MX"/>
        </w:rPr>
        <w:t xml:space="preserve"> del total </w:t>
      </w:r>
      <w:r w:rsidR="00EF3DDE" w:rsidRPr="00A04585">
        <w:rPr>
          <w:rFonts w:ascii="Trebuchet MS" w:hAnsi="Trebuchet MS"/>
          <w:color w:val="000000"/>
          <w:sz w:val="24"/>
          <w:szCs w:val="24"/>
          <w:lang w:val="es-ES_tradnl" w:eastAsia="es-MX"/>
        </w:rPr>
        <w:t>del monto</w:t>
      </w:r>
      <w:r w:rsidRPr="00A04585">
        <w:rPr>
          <w:rFonts w:ascii="Trebuchet MS" w:hAnsi="Trebuchet MS"/>
          <w:color w:val="000000"/>
          <w:sz w:val="24"/>
          <w:szCs w:val="24"/>
          <w:lang w:val="es-ES_tradnl" w:eastAsia="es-MX"/>
        </w:rPr>
        <w:t xml:space="preserve"> ($</w:t>
      </w:r>
      <w:r w:rsidR="00EF3DDE" w:rsidRPr="00A04585">
        <w:rPr>
          <w:rFonts w:ascii="Trebuchet MS" w:hAnsi="Trebuchet MS"/>
          <w:color w:val="000000"/>
          <w:sz w:val="24"/>
          <w:szCs w:val="24"/>
          <w:lang w:val="es-ES_tradnl" w:eastAsia="es-MX"/>
        </w:rPr>
        <w:t>8,277,811.72 ocho millones doscientos setenta y siete mil ochocientos once pesos 72</w:t>
      </w:r>
      <w:r w:rsidRPr="00A04585">
        <w:rPr>
          <w:rFonts w:ascii="Trebuchet MS" w:hAnsi="Trebuchet MS"/>
          <w:color w:val="000000"/>
          <w:sz w:val="24"/>
          <w:szCs w:val="24"/>
          <w:lang w:val="es-ES_tradnl" w:eastAsia="es-MX"/>
        </w:rPr>
        <w:t xml:space="preserve">/100 M.N.) y a su vez es un porcentaje igual al de la suma de la votación de los partidos nacionales a los que no se les asignaron recursos de esa parte de la bolsa. </w:t>
      </w:r>
    </w:p>
    <w:p w14:paraId="4C29DB1A" w14:textId="77777777" w:rsidR="00E763A4" w:rsidRPr="00242547" w:rsidRDefault="00E763A4" w:rsidP="002E7CFF">
      <w:pPr>
        <w:pStyle w:val="Sinespaciado"/>
        <w:jc w:val="both"/>
        <w:rPr>
          <w:rFonts w:ascii="Trebuchet MS" w:hAnsi="Trebuchet MS"/>
          <w:color w:val="000000"/>
          <w:sz w:val="24"/>
          <w:szCs w:val="24"/>
          <w:lang w:val="es-ES_tradnl" w:eastAsia="es-MX"/>
        </w:rPr>
      </w:pPr>
    </w:p>
    <w:p w14:paraId="6C071568" w14:textId="310C3602" w:rsidR="00E763A4" w:rsidRPr="00A04585" w:rsidRDefault="00E763A4"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A continuación, se presenta </w:t>
      </w:r>
      <w:r w:rsidR="00C52D01" w:rsidRPr="00A04585">
        <w:rPr>
          <w:rFonts w:ascii="Trebuchet MS" w:hAnsi="Trebuchet MS"/>
          <w:color w:val="000000"/>
          <w:sz w:val="24"/>
          <w:szCs w:val="24"/>
          <w:lang w:val="es-ES_tradnl" w:eastAsia="es-MX"/>
        </w:rPr>
        <w:t>la</w:t>
      </w:r>
      <w:r w:rsidRPr="00A04585">
        <w:rPr>
          <w:rFonts w:ascii="Trebuchet MS" w:hAnsi="Trebuchet MS"/>
          <w:color w:val="000000"/>
          <w:sz w:val="24"/>
          <w:szCs w:val="24"/>
          <w:lang w:val="es-ES_tradnl" w:eastAsia="es-MX"/>
        </w:rPr>
        <w:t xml:space="preserve"> sumatoria del financiamiento que por actividades específicas corresponde a cada uno de los mencionados partidos </w:t>
      </w:r>
      <w:r w:rsidR="00770F3E" w:rsidRPr="00A04585">
        <w:rPr>
          <w:rFonts w:ascii="Trebuchet MS" w:hAnsi="Trebuchet MS"/>
          <w:color w:val="000000"/>
          <w:sz w:val="24"/>
          <w:szCs w:val="24"/>
          <w:lang w:val="es-ES_tradnl" w:eastAsia="es-MX"/>
        </w:rPr>
        <w:t>locales</w:t>
      </w:r>
      <w:r w:rsidRPr="00A04585">
        <w:rPr>
          <w:rFonts w:ascii="Trebuchet MS" w:hAnsi="Trebuchet MS"/>
          <w:color w:val="000000"/>
          <w:sz w:val="24"/>
          <w:szCs w:val="24"/>
          <w:lang w:val="es-ES_tradnl" w:eastAsia="es-MX"/>
        </w:rPr>
        <w:t xml:space="preserve">, integrada por la parte correspondiente del </w:t>
      </w:r>
      <w:r w:rsidR="007B0875" w:rsidRPr="00242547">
        <w:rPr>
          <w:rFonts w:ascii="Trebuchet MS" w:hAnsi="Trebuchet MS"/>
          <w:color w:val="000000"/>
          <w:sz w:val="24"/>
          <w:szCs w:val="24"/>
          <w:lang w:val="es-ES_tradnl" w:eastAsia="es-MX"/>
        </w:rPr>
        <w:t>treinta por ciento</w:t>
      </w:r>
      <w:r w:rsidRPr="00A04585">
        <w:rPr>
          <w:rFonts w:ascii="Trebuchet MS" w:hAnsi="Trebuchet MS"/>
          <w:color w:val="000000"/>
          <w:sz w:val="24"/>
          <w:szCs w:val="24"/>
          <w:lang w:val="es-ES_tradnl" w:eastAsia="es-MX"/>
        </w:rPr>
        <w:t xml:space="preserve"> igualitario y el </w:t>
      </w:r>
      <w:r w:rsidR="007B0875" w:rsidRPr="00242547">
        <w:rPr>
          <w:rFonts w:ascii="Trebuchet MS" w:hAnsi="Trebuchet MS"/>
          <w:color w:val="000000"/>
          <w:sz w:val="24"/>
          <w:szCs w:val="24"/>
          <w:lang w:val="es-ES_tradnl" w:eastAsia="es-MX"/>
        </w:rPr>
        <w:t>setenta por ciento</w:t>
      </w:r>
      <w:r w:rsidRPr="00A04585">
        <w:rPr>
          <w:rFonts w:ascii="Trebuchet MS" w:hAnsi="Trebuchet MS"/>
          <w:color w:val="000000"/>
          <w:sz w:val="24"/>
          <w:szCs w:val="24"/>
          <w:lang w:val="es-ES_tradnl" w:eastAsia="es-MX"/>
        </w:rPr>
        <w:t xml:space="preserve"> atinente a la votación válida que cada uno obtuvo.</w:t>
      </w:r>
    </w:p>
    <w:p w14:paraId="7F34F56F" w14:textId="77777777" w:rsidR="004C692A" w:rsidRPr="00242547" w:rsidRDefault="004C692A" w:rsidP="002E7CFF">
      <w:pPr>
        <w:pStyle w:val="Sinespaciado"/>
        <w:jc w:val="both"/>
        <w:rPr>
          <w:rFonts w:ascii="Trebuchet MS" w:hAnsi="Trebuchet MS"/>
          <w:color w:val="000000"/>
          <w:sz w:val="24"/>
          <w:szCs w:val="24"/>
          <w:lang w:val="es-ES_tradnl" w:eastAsia="es-MX"/>
        </w:rPr>
      </w:pPr>
    </w:p>
    <w:p w14:paraId="36DAEB6A" w14:textId="77777777" w:rsidR="00EF3DDE" w:rsidRPr="00242547" w:rsidRDefault="00FF70A9" w:rsidP="002E7CFF">
      <w:pPr>
        <w:pStyle w:val="Sinespaciado"/>
        <w:jc w:val="center"/>
        <w:rPr>
          <w:rFonts w:ascii="Trebuchet MS" w:hAnsi="Trebuchet MS"/>
          <w:color w:val="000000"/>
          <w:sz w:val="24"/>
          <w:szCs w:val="24"/>
          <w:lang w:val="es-ES_tradnl" w:eastAsia="es-MX"/>
        </w:rPr>
      </w:pPr>
      <w:r w:rsidRPr="00242547">
        <w:rPr>
          <w:noProof/>
          <w:lang w:eastAsia="es-MX"/>
        </w:rPr>
        <w:t xml:space="preserve"> </w:t>
      </w:r>
    </w:p>
    <w:tbl>
      <w:tblPr>
        <w:tblW w:w="8604" w:type="dxa"/>
        <w:tblCellMar>
          <w:left w:w="70" w:type="dxa"/>
          <w:right w:w="70" w:type="dxa"/>
        </w:tblCellMar>
        <w:tblLook w:val="04A0" w:firstRow="1" w:lastRow="0" w:firstColumn="1" w:lastColumn="0" w:noHBand="0" w:noVBand="1"/>
      </w:tblPr>
      <w:tblGrid>
        <w:gridCol w:w="1157"/>
        <w:gridCol w:w="1990"/>
        <w:gridCol w:w="2986"/>
        <w:gridCol w:w="2471"/>
      </w:tblGrid>
      <w:tr w:rsidR="00EF3DDE" w:rsidRPr="00A04585" w14:paraId="3E163F8A" w14:textId="77777777" w:rsidTr="00EF3DDE">
        <w:trPr>
          <w:trHeight w:val="540"/>
        </w:trPr>
        <w:tc>
          <w:tcPr>
            <w:tcW w:w="8604" w:type="dxa"/>
            <w:gridSpan w:val="4"/>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7861668"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4.5 Cantidades a entregar por concepto de financiamiento público para actividades específicas a partidos políticos locales, 2023. </w:t>
            </w:r>
          </w:p>
        </w:tc>
      </w:tr>
      <w:tr w:rsidR="00EF3DDE" w:rsidRPr="00A04585" w14:paraId="20944DAD" w14:textId="77777777" w:rsidTr="00EF3DDE">
        <w:trPr>
          <w:trHeight w:val="432"/>
        </w:trPr>
        <w:tc>
          <w:tcPr>
            <w:tcW w:w="1157" w:type="dxa"/>
            <w:tcBorders>
              <w:top w:val="nil"/>
              <w:left w:val="single" w:sz="8" w:space="0" w:color="808080"/>
              <w:bottom w:val="single" w:sz="4" w:space="0" w:color="808080"/>
              <w:right w:val="single" w:sz="4" w:space="0" w:color="808080"/>
            </w:tcBorders>
            <w:shd w:val="clear" w:color="auto" w:fill="auto"/>
            <w:noWrap/>
            <w:vAlign w:val="center"/>
            <w:hideMark/>
          </w:tcPr>
          <w:p w14:paraId="76906DF7"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1990" w:type="dxa"/>
            <w:tcBorders>
              <w:top w:val="nil"/>
              <w:left w:val="nil"/>
              <w:bottom w:val="single" w:sz="4" w:space="0" w:color="808080"/>
              <w:right w:val="single" w:sz="4" w:space="0" w:color="808080"/>
            </w:tcBorders>
            <w:shd w:val="clear" w:color="000000" w:fill="FFFFFF"/>
            <w:vAlign w:val="center"/>
            <w:hideMark/>
          </w:tcPr>
          <w:p w14:paraId="1DD79EF5"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30%  de la parte igualitaria</w:t>
            </w:r>
          </w:p>
        </w:tc>
        <w:tc>
          <w:tcPr>
            <w:tcW w:w="2986" w:type="dxa"/>
            <w:tcBorders>
              <w:top w:val="nil"/>
              <w:left w:val="nil"/>
              <w:bottom w:val="single" w:sz="4" w:space="0" w:color="808080"/>
              <w:right w:val="single" w:sz="4" w:space="0" w:color="808080"/>
            </w:tcBorders>
            <w:shd w:val="clear" w:color="000000" w:fill="FFFFFF"/>
            <w:vAlign w:val="center"/>
            <w:hideMark/>
          </w:tcPr>
          <w:p w14:paraId="73F9EB27"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70% de la parte proporcional</w:t>
            </w:r>
          </w:p>
        </w:tc>
        <w:tc>
          <w:tcPr>
            <w:tcW w:w="2471" w:type="dxa"/>
            <w:tcBorders>
              <w:top w:val="nil"/>
              <w:left w:val="nil"/>
              <w:bottom w:val="single" w:sz="4" w:space="0" w:color="808080"/>
              <w:right w:val="single" w:sz="8" w:space="0" w:color="808080"/>
            </w:tcBorders>
            <w:shd w:val="clear" w:color="000000" w:fill="FFFFFF"/>
            <w:vAlign w:val="center"/>
            <w:hideMark/>
          </w:tcPr>
          <w:p w14:paraId="55BF2250"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TOTAL </w:t>
            </w:r>
          </w:p>
        </w:tc>
      </w:tr>
      <w:tr w:rsidR="00EF3DDE" w:rsidRPr="00A04585" w14:paraId="4623A4D3" w14:textId="77777777" w:rsidTr="00EF3DDE">
        <w:trPr>
          <w:trHeight w:val="432"/>
        </w:trPr>
        <w:tc>
          <w:tcPr>
            <w:tcW w:w="1157" w:type="dxa"/>
            <w:tcBorders>
              <w:top w:val="nil"/>
              <w:left w:val="single" w:sz="8" w:space="0" w:color="808080"/>
              <w:bottom w:val="single" w:sz="4" w:space="0" w:color="808080"/>
              <w:right w:val="single" w:sz="4" w:space="0" w:color="808080"/>
            </w:tcBorders>
            <w:shd w:val="clear" w:color="auto" w:fill="auto"/>
            <w:noWrap/>
            <w:vAlign w:val="center"/>
            <w:hideMark/>
          </w:tcPr>
          <w:p w14:paraId="7474ADED"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HAGAMOS</w:t>
            </w:r>
          </w:p>
        </w:tc>
        <w:tc>
          <w:tcPr>
            <w:tcW w:w="1990" w:type="dxa"/>
            <w:tcBorders>
              <w:top w:val="nil"/>
              <w:left w:val="nil"/>
              <w:bottom w:val="single" w:sz="4" w:space="0" w:color="808080"/>
              <w:right w:val="single" w:sz="4" w:space="0" w:color="808080"/>
            </w:tcBorders>
            <w:shd w:val="clear" w:color="000000" w:fill="FFFFFF"/>
            <w:vAlign w:val="center"/>
            <w:hideMark/>
          </w:tcPr>
          <w:p w14:paraId="3B415343"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506,804.80 </w:t>
            </w:r>
          </w:p>
        </w:tc>
        <w:tc>
          <w:tcPr>
            <w:tcW w:w="2986" w:type="dxa"/>
            <w:tcBorders>
              <w:top w:val="single" w:sz="4" w:space="0" w:color="808080"/>
              <w:left w:val="nil"/>
              <w:bottom w:val="single" w:sz="4" w:space="0" w:color="808080"/>
              <w:right w:val="single" w:sz="4" w:space="0" w:color="808080"/>
            </w:tcBorders>
            <w:shd w:val="clear" w:color="000000" w:fill="FFFFFF"/>
            <w:vAlign w:val="center"/>
            <w:hideMark/>
          </w:tcPr>
          <w:p w14:paraId="5423F60C"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$433,158.86</w:t>
            </w:r>
          </w:p>
        </w:tc>
        <w:tc>
          <w:tcPr>
            <w:tcW w:w="2471" w:type="dxa"/>
            <w:tcBorders>
              <w:top w:val="single" w:sz="4" w:space="0" w:color="808080"/>
              <w:left w:val="nil"/>
              <w:bottom w:val="single" w:sz="4" w:space="0" w:color="808080"/>
              <w:right w:val="single" w:sz="8" w:space="0" w:color="808080"/>
            </w:tcBorders>
            <w:shd w:val="clear" w:color="000000" w:fill="FFFFFF"/>
            <w:vAlign w:val="center"/>
            <w:hideMark/>
          </w:tcPr>
          <w:p w14:paraId="02A319DB"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$939,963.66</w:t>
            </w:r>
          </w:p>
        </w:tc>
      </w:tr>
      <w:tr w:rsidR="00EF3DDE" w:rsidRPr="00A04585" w14:paraId="1A97FC1E" w14:textId="77777777" w:rsidTr="00EF3DDE">
        <w:trPr>
          <w:trHeight w:val="432"/>
        </w:trPr>
        <w:tc>
          <w:tcPr>
            <w:tcW w:w="1157" w:type="dxa"/>
            <w:tcBorders>
              <w:top w:val="nil"/>
              <w:left w:val="single" w:sz="8" w:space="0" w:color="808080"/>
              <w:bottom w:val="single" w:sz="4" w:space="0" w:color="808080"/>
              <w:right w:val="single" w:sz="4" w:space="0" w:color="808080"/>
            </w:tcBorders>
            <w:shd w:val="clear" w:color="auto" w:fill="auto"/>
            <w:noWrap/>
            <w:vAlign w:val="center"/>
            <w:hideMark/>
          </w:tcPr>
          <w:p w14:paraId="60770A52"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FUTURO</w:t>
            </w:r>
          </w:p>
        </w:tc>
        <w:tc>
          <w:tcPr>
            <w:tcW w:w="1990" w:type="dxa"/>
            <w:tcBorders>
              <w:top w:val="nil"/>
              <w:left w:val="nil"/>
              <w:bottom w:val="single" w:sz="4" w:space="0" w:color="808080"/>
              <w:right w:val="single" w:sz="4" w:space="0" w:color="808080"/>
            </w:tcBorders>
            <w:shd w:val="clear" w:color="000000" w:fill="FFFFFF"/>
            <w:vAlign w:val="center"/>
            <w:hideMark/>
          </w:tcPr>
          <w:p w14:paraId="51D3CA33"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506,804.80 </w:t>
            </w:r>
          </w:p>
        </w:tc>
        <w:tc>
          <w:tcPr>
            <w:tcW w:w="2986" w:type="dxa"/>
            <w:tcBorders>
              <w:top w:val="single" w:sz="4" w:space="0" w:color="808080"/>
              <w:left w:val="nil"/>
              <w:bottom w:val="single" w:sz="4" w:space="0" w:color="808080"/>
              <w:right w:val="single" w:sz="4" w:space="0" w:color="808080"/>
            </w:tcBorders>
            <w:shd w:val="clear" w:color="000000" w:fill="FFFFFF"/>
            <w:vAlign w:val="center"/>
            <w:hideMark/>
          </w:tcPr>
          <w:p w14:paraId="4500DB45"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$377,364.85</w:t>
            </w:r>
          </w:p>
        </w:tc>
        <w:tc>
          <w:tcPr>
            <w:tcW w:w="2471" w:type="dxa"/>
            <w:tcBorders>
              <w:top w:val="single" w:sz="4" w:space="0" w:color="808080"/>
              <w:left w:val="nil"/>
              <w:bottom w:val="single" w:sz="4" w:space="0" w:color="808080"/>
              <w:right w:val="single" w:sz="8" w:space="0" w:color="808080"/>
            </w:tcBorders>
            <w:shd w:val="clear" w:color="000000" w:fill="FFFFFF"/>
            <w:vAlign w:val="center"/>
            <w:hideMark/>
          </w:tcPr>
          <w:p w14:paraId="4CE8D09D" w14:textId="77777777" w:rsidR="00EF3DDE" w:rsidRPr="00A04585" w:rsidRDefault="00EF3DDE" w:rsidP="00EF3DDE">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$884,169.64</w:t>
            </w:r>
          </w:p>
        </w:tc>
      </w:tr>
      <w:tr w:rsidR="00EF3DDE" w:rsidRPr="00A04585" w14:paraId="1515A859" w14:textId="77777777" w:rsidTr="00EF3DDE">
        <w:trPr>
          <w:trHeight w:val="432"/>
        </w:trPr>
        <w:tc>
          <w:tcPr>
            <w:tcW w:w="1157" w:type="dxa"/>
            <w:tcBorders>
              <w:top w:val="single" w:sz="8" w:space="0" w:color="808080"/>
              <w:left w:val="single" w:sz="8" w:space="0" w:color="808080"/>
              <w:bottom w:val="single" w:sz="8" w:space="0" w:color="808080"/>
              <w:right w:val="nil"/>
            </w:tcBorders>
            <w:shd w:val="clear" w:color="000000" w:fill="F3EBF9"/>
            <w:noWrap/>
            <w:vAlign w:val="center"/>
            <w:hideMark/>
          </w:tcPr>
          <w:p w14:paraId="53AFBFA6" w14:textId="77777777" w:rsidR="00EF3DDE" w:rsidRPr="00A04585" w:rsidRDefault="00EF3DDE" w:rsidP="00EF3DDE">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TOTAL</w:t>
            </w:r>
          </w:p>
        </w:tc>
        <w:tc>
          <w:tcPr>
            <w:tcW w:w="1990" w:type="dxa"/>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1858185A" w14:textId="77777777" w:rsidR="00EF3DDE" w:rsidRPr="00A04585" w:rsidRDefault="00EF3DDE" w:rsidP="00EF3DDE">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 xml:space="preserve">1,013,609.60 </w:t>
            </w:r>
          </w:p>
        </w:tc>
        <w:tc>
          <w:tcPr>
            <w:tcW w:w="2986" w:type="dxa"/>
            <w:tcBorders>
              <w:top w:val="single" w:sz="8" w:space="0" w:color="808080"/>
              <w:left w:val="nil"/>
              <w:bottom w:val="single" w:sz="8" w:space="0" w:color="808080"/>
              <w:right w:val="single" w:sz="8" w:space="0" w:color="808080"/>
            </w:tcBorders>
            <w:shd w:val="clear" w:color="000000" w:fill="F3EBF9"/>
            <w:vAlign w:val="center"/>
            <w:hideMark/>
          </w:tcPr>
          <w:p w14:paraId="06AAEE65" w14:textId="77777777" w:rsidR="00EF3DDE" w:rsidRPr="00A04585" w:rsidRDefault="00EF3DDE" w:rsidP="00EF3DDE">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$810,523.70</w:t>
            </w:r>
          </w:p>
        </w:tc>
        <w:tc>
          <w:tcPr>
            <w:tcW w:w="2471" w:type="dxa"/>
            <w:tcBorders>
              <w:top w:val="single" w:sz="8" w:space="0" w:color="808080"/>
              <w:left w:val="nil"/>
              <w:bottom w:val="single" w:sz="8" w:space="0" w:color="808080"/>
              <w:right w:val="single" w:sz="8" w:space="0" w:color="808080"/>
            </w:tcBorders>
            <w:shd w:val="clear" w:color="000000" w:fill="F3EBF9"/>
            <w:vAlign w:val="center"/>
            <w:hideMark/>
          </w:tcPr>
          <w:p w14:paraId="668846EC" w14:textId="77777777" w:rsidR="00EF3DDE" w:rsidRPr="00A04585" w:rsidRDefault="00EF3DDE" w:rsidP="00EF3DDE">
            <w:pPr>
              <w:jc w:val="center"/>
              <w:rPr>
                <w:rFonts w:ascii="Trebuchet MS" w:eastAsia="Times New Roman" w:hAnsi="Trebuchet MS" w:cs="Calibri Light"/>
                <w:b/>
                <w:bCs/>
                <w:sz w:val="20"/>
                <w:szCs w:val="20"/>
                <w:lang w:eastAsia="es-MX"/>
              </w:rPr>
            </w:pPr>
            <w:r w:rsidRPr="00A04585">
              <w:rPr>
                <w:rFonts w:ascii="Trebuchet MS" w:eastAsia="Times New Roman" w:hAnsi="Trebuchet MS" w:cs="Calibri Light"/>
                <w:b/>
                <w:bCs/>
                <w:sz w:val="20"/>
                <w:szCs w:val="20"/>
                <w:lang w:eastAsia="es-MX"/>
              </w:rPr>
              <w:t>$1,824,133.30</w:t>
            </w:r>
          </w:p>
        </w:tc>
      </w:tr>
    </w:tbl>
    <w:p w14:paraId="56F93841" w14:textId="04A130D4" w:rsidR="000904FF" w:rsidRPr="00242547" w:rsidRDefault="000904FF" w:rsidP="002E7CFF">
      <w:pPr>
        <w:pStyle w:val="Sinespaciado"/>
        <w:jc w:val="center"/>
        <w:rPr>
          <w:rFonts w:ascii="Trebuchet MS" w:hAnsi="Trebuchet MS"/>
          <w:color w:val="000000"/>
          <w:sz w:val="24"/>
          <w:szCs w:val="24"/>
          <w:lang w:val="es-ES_tradnl" w:eastAsia="es-MX"/>
        </w:rPr>
      </w:pPr>
    </w:p>
    <w:p w14:paraId="328479FE" w14:textId="77777777" w:rsidR="005E2C4B" w:rsidRPr="00242547" w:rsidRDefault="005E2C4B" w:rsidP="002E7CFF">
      <w:pPr>
        <w:pStyle w:val="Sinespaciado"/>
        <w:jc w:val="both"/>
        <w:rPr>
          <w:rFonts w:ascii="Trebuchet MS" w:hAnsi="Trebuchet MS"/>
          <w:b/>
          <w:bCs/>
          <w:color w:val="000000"/>
          <w:sz w:val="24"/>
          <w:szCs w:val="24"/>
          <w:lang w:val="es-ES_tradnl" w:eastAsia="es-MX"/>
        </w:rPr>
      </w:pPr>
    </w:p>
    <w:p w14:paraId="6FEB13D1" w14:textId="620673CB" w:rsidR="000904FF" w:rsidRPr="00A04585" w:rsidRDefault="006578E6"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 xml:space="preserve">VII. RESUMEN FINANCIERO Y MONTO MINISTRACIONES MENSUALES. </w:t>
      </w:r>
      <w:r w:rsidR="005E2C4B" w:rsidRPr="00A04585">
        <w:rPr>
          <w:rFonts w:ascii="Trebuchet MS" w:hAnsi="Trebuchet MS"/>
          <w:color w:val="000000"/>
          <w:sz w:val="24"/>
          <w:szCs w:val="24"/>
          <w:lang w:val="es-ES_tradnl" w:eastAsia="es-MX"/>
        </w:rPr>
        <w:t>Con base en lo expuesto en los considerandos anteriores a continuación se presenta el monto total de financiamiento que deben recibir tanto los partidos políticos nacionales con acreditación, así como aquellos institutos políticos estatales con registro en Jalisco, para el sostenimiento de actividades ordinarias permanentes y actividades específicas.</w:t>
      </w:r>
    </w:p>
    <w:p w14:paraId="2C952FA7" w14:textId="77777777" w:rsidR="009913C3" w:rsidRPr="00A04585" w:rsidRDefault="009913C3" w:rsidP="002E7CFF">
      <w:pPr>
        <w:pStyle w:val="Sinespaciado"/>
        <w:jc w:val="both"/>
        <w:rPr>
          <w:rFonts w:ascii="Trebuchet MS" w:hAnsi="Trebuchet MS"/>
          <w:color w:val="000000"/>
          <w:sz w:val="24"/>
          <w:szCs w:val="24"/>
          <w:lang w:val="es-ES_tradnl" w:eastAsia="es-MX"/>
        </w:rPr>
      </w:pPr>
    </w:p>
    <w:p w14:paraId="70325F8E" w14:textId="6A23A57D" w:rsidR="00007EAE" w:rsidRPr="00A04585" w:rsidRDefault="005E2C4B" w:rsidP="00381031">
      <w:pPr>
        <w:pStyle w:val="Sinespaciado"/>
        <w:numPr>
          <w:ilvl w:val="0"/>
          <w:numId w:val="11"/>
        </w:numPr>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 xml:space="preserve">Monto total de financiamiento que debe otorgarse a los partidos políticos nacionales para el ejercicio </w:t>
      </w:r>
      <w:r w:rsidR="00EB6F0A" w:rsidRPr="00A04585">
        <w:rPr>
          <w:rFonts w:ascii="Trebuchet MS" w:hAnsi="Trebuchet MS"/>
          <w:b/>
          <w:bCs/>
          <w:color w:val="000000"/>
          <w:sz w:val="24"/>
          <w:szCs w:val="24"/>
          <w:lang w:val="es-ES_tradnl" w:eastAsia="es-MX"/>
        </w:rPr>
        <w:t>dos mil veintitrés</w:t>
      </w:r>
      <w:r w:rsidRPr="00A04585">
        <w:rPr>
          <w:rFonts w:ascii="Trebuchet MS" w:hAnsi="Trebuchet MS"/>
          <w:b/>
          <w:bCs/>
          <w:color w:val="000000"/>
          <w:sz w:val="24"/>
          <w:szCs w:val="24"/>
          <w:lang w:val="es-ES_tradnl" w:eastAsia="es-MX"/>
        </w:rPr>
        <w:t>.</w:t>
      </w:r>
      <w:r w:rsidRPr="00A04585">
        <w:rPr>
          <w:rFonts w:ascii="Trebuchet MS" w:hAnsi="Trebuchet MS"/>
          <w:color w:val="000000"/>
          <w:sz w:val="24"/>
          <w:szCs w:val="24"/>
          <w:lang w:val="es-ES_tradnl" w:eastAsia="es-MX"/>
        </w:rPr>
        <w:t xml:space="preserve"> A cont</w:t>
      </w:r>
      <w:r w:rsidR="00FB798D" w:rsidRPr="00A04585">
        <w:rPr>
          <w:rFonts w:ascii="Trebuchet MS" w:hAnsi="Trebuchet MS"/>
          <w:color w:val="000000"/>
          <w:sz w:val="24"/>
          <w:szCs w:val="24"/>
          <w:lang w:val="es-ES_tradnl" w:eastAsia="es-MX"/>
        </w:rPr>
        <w:t xml:space="preserve">inuación, se inserta un cuadro </w:t>
      </w:r>
      <w:r w:rsidR="00685284" w:rsidRPr="00A04585">
        <w:rPr>
          <w:rFonts w:ascii="Trebuchet MS" w:hAnsi="Trebuchet MS"/>
          <w:color w:val="000000"/>
          <w:sz w:val="24"/>
          <w:szCs w:val="24"/>
          <w:lang w:val="es-ES_tradnl" w:eastAsia="es-MX"/>
        </w:rPr>
        <w:t xml:space="preserve">en que se determina, con base en lo expresado en los considerandos precedentes, el monto que cada partido político nacional debe recibir de financiamiento local, para actividades permanentes y específicas, así como el importe correspondiente a la suma de ambas cantidades en el año, además de la cantidad </w:t>
      </w:r>
      <w:r w:rsidR="008D230A" w:rsidRPr="00A04585">
        <w:rPr>
          <w:rFonts w:ascii="Trebuchet MS" w:hAnsi="Trebuchet MS"/>
          <w:color w:val="000000"/>
          <w:sz w:val="24"/>
          <w:szCs w:val="24"/>
          <w:lang w:val="es-ES_tradnl" w:eastAsia="es-MX"/>
        </w:rPr>
        <w:t>a que tienen derecho</w:t>
      </w:r>
      <w:r w:rsidR="00685284" w:rsidRPr="00A04585">
        <w:rPr>
          <w:rFonts w:ascii="Trebuchet MS" w:hAnsi="Trebuchet MS"/>
          <w:color w:val="000000"/>
          <w:sz w:val="24"/>
          <w:szCs w:val="24"/>
          <w:lang w:val="es-ES_tradnl" w:eastAsia="es-MX"/>
        </w:rPr>
        <w:t xml:space="preserve"> en cada una de las ministraciones mensuales, desagregada por tipo de financiamiento, así como la sumatoria total de cada periodo mensual.</w:t>
      </w:r>
    </w:p>
    <w:p w14:paraId="43A9F4DD" w14:textId="77777777" w:rsidR="00381031" w:rsidRPr="00A04585" w:rsidRDefault="00381031" w:rsidP="00F040EE">
      <w:pPr>
        <w:pStyle w:val="Sinespaciado"/>
        <w:ind w:left="720"/>
        <w:jc w:val="both"/>
        <w:rPr>
          <w:rFonts w:ascii="Trebuchet MS" w:hAnsi="Trebuchet MS"/>
          <w:color w:val="000000"/>
          <w:sz w:val="24"/>
          <w:szCs w:val="24"/>
          <w:lang w:val="es-ES_tradnl" w:eastAsia="es-MX"/>
        </w:rPr>
      </w:pPr>
    </w:p>
    <w:p w14:paraId="1D262D0F" w14:textId="77777777" w:rsidR="00EB6F0A" w:rsidRPr="00A04585" w:rsidRDefault="00EB6F0A" w:rsidP="002E7CFF">
      <w:pPr>
        <w:pStyle w:val="Sinespaciado"/>
        <w:jc w:val="both"/>
        <w:rPr>
          <w:rFonts w:ascii="Trebuchet MS" w:hAnsi="Trebuchet MS"/>
          <w:color w:val="000000"/>
          <w:sz w:val="24"/>
          <w:szCs w:val="24"/>
          <w:lang w:val="es-ES_tradnl" w:eastAsia="es-MX"/>
        </w:rPr>
      </w:pPr>
    </w:p>
    <w:tbl>
      <w:tblPr>
        <w:tblW w:w="9523" w:type="dxa"/>
        <w:tblCellMar>
          <w:left w:w="70" w:type="dxa"/>
          <w:right w:w="70" w:type="dxa"/>
        </w:tblCellMar>
        <w:tblLook w:val="04A0" w:firstRow="1" w:lastRow="0" w:firstColumn="1" w:lastColumn="0" w:noHBand="0" w:noVBand="1"/>
      </w:tblPr>
      <w:tblGrid>
        <w:gridCol w:w="847"/>
        <w:gridCol w:w="1604"/>
        <w:gridCol w:w="1393"/>
        <w:gridCol w:w="1604"/>
        <w:gridCol w:w="1393"/>
        <w:gridCol w:w="1222"/>
        <w:gridCol w:w="1460"/>
      </w:tblGrid>
      <w:tr w:rsidR="00834C0A" w:rsidRPr="00A04585" w14:paraId="28B72076" w14:textId="77777777" w:rsidTr="00834C0A">
        <w:trPr>
          <w:trHeight w:val="612"/>
        </w:trPr>
        <w:tc>
          <w:tcPr>
            <w:tcW w:w="9523" w:type="dxa"/>
            <w:gridSpan w:val="7"/>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95B256A"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20"/>
                <w:szCs w:val="16"/>
                <w:lang w:eastAsia="es-MX"/>
              </w:rPr>
              <w:t>5. Distribución del financiamiento público a partidos políticos nacionales acreditados en Jalisco, para el ejercicio 2023.</w:t>
            </w:r>
          </w:p>
        </w:tc>
      </w:tr>
      <w:tr w:rsidR="00834C0A" w:rsidRPr="00A04585" w14:paraId="43DAAB5F" w14:textId="77777777" w:rsidTr="00834C0A">
        <w:trPr>
          <w:trHeight w:val="586"/>
        </w:trPr>
        <w:tc>
          <w:tcPr>
            <w:tcW w:w="847" w:type="dxa"/>
            <w:vMerge w:val="restart"/>
            <w:tcBorders>
              <w:top w:val="nil"/>
              <w:left w:val="single" w:sz="8" w:space="0" w:color="808080"/>
              <w:bottom w:val="single" w:sz="8" w:space="0" w:color="808080"/>
              <w:right w:val="nil"/>
            </w:tcBorders>
            <w:shd w:val="clear" w:color="000000" w:fill="F2F2F2"/>
            <w:noWrap/>
            <w:vAlign w:val="center"/>
            <w:hideMark/>
          </w:tcPr>
          <w:p w14:paraId="14651740" w14:textId="77777777" w:rsidR="00EB6F0A" w:rsidRPr="00A04585" w:rsidRDefault="00EB6F0A" w:rsidP="00EB6F0A">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Partido Político</w:t>
            </w:r>
          </w:p>
        </w:tc>
        <w:tc>
          <w:tcPr>
            <w:tcW w:w="2996" w:type="dxa"/>
            <w:gridSpan w:val="2"/>
            <w:tcBorders>
              <w:top w:val="nil"/>
              <w:left w:val="single" w:sz="8" w:space="0" w:color="808080"/>
              <w:bottom w:val="single" w:sz="8" w:space="0" w:color="808080"/>
              <w:right w:val="single" w:sz="8" w:space="0" w:color="808080"/>
            </w:tcBorders>
            <w:shd w:val="clear" w:color="000000" w:fill="F2F2F2"/>
            <w:vAlign w:val="center"/>
            <w:hideMark/>
          </w:tcPr>
          <w:p w14:paraId="0539B790" w14:textId="77777777" w:rsidR="00EB6F0A" w:rsidRPr="00A04585" w:rsidRDefault="00EB6F0A" w:rsidP="00EB6F0A">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Actividades</w:t>
            </w:r>
          </w:p>
        </w:tc>
        <w:tc>
          <w:tcPr>
            <w:tcW w:w="1603" w:type="dxa"/>
            <w:vMerge w:val="restart"/>
            <w:tcBorders>
              <w:top w:val="single" w:sz="8" w:space="0" w:color="808080"/>
              <w:left w:val="nil"/>
              <w:bottom w:val="single" w:sz="8" w:space="0" w:color="808080"/>
              <w:right w:val="single" w:sz="8" w:space="0" w:color="808080"/>
            </w:tcBorders>
            <w:shd w:val="clear" w:color="000000" w:fill="F2F2F2"/>
            <w:vAlign w:val="center"/>
            <w:hideMark/>
          </w:tcPr>
          <w:p w14:paraId="1243C377" w14:textId="77777777" w:rsidR="00EB6F0A" w:rsidRPr="00A04585" w:rsidRDefault="00EB6F0A" w:rsidP="00EB6F0A">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 xml:space="preserve">TOTAL ANUAL </w:t>
            </w:r>
          </w:p>
        </w:tc>
        <w:tc>
          <w:tcPr>
            <w:tcW w:w="2614" w:type="dxa"/>
            <w:gridSpan w:val="2"/>
            <w:tcBorders>
              <w:top w:val="nil"/>
              <w:left w:val="nil"/>
              <w:bottom w:val="single" w:sz="8" w:space="0" w:color="808080"/>
              <w:right w:val="single" w:sz="8" w:space="0" w:color="808080"/>
            </w:tcBorders>
            <w:shd w:val="clear" w:color="000000" w:fill="F2F2F2"/>
            <w:vAlign w:val="center"/>
            <w:hideMark/>
          </w:tcPr>
          <w:p w14:paraId="4CAE6FE4" w14:textId="77777777" w:rsidR="00EB6F0A" w:rsidRPr="00A04585" w:rsidRDefault="00EB6F0A" w:rsidP="00EB6F0A">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Ministraciones Mensuales</w:t>
            </w:r>
          </w:p>
        </w:tc>
        <w:tc>
          <w:tcPr>
            <w:tcW w:w="1461" w:type="dxa"/>
            <w:vMerge w:val="restart"/>
            <w:tcBorders>
              <w:top w:val="nil"/>
              <w:left w:val="nil"/>
              <w:bottom w:val="single" w:sz="8" w:space="0" w:color="808080"/>
              <w:right w:val="single" w:sz="8" w:space="0" w:color="808080"/>
            </w:tcBorders>
            <w:shd w:val="clear" w:color="000000" w:fill="F2F2F2"/>
            <w:vAlign w:val="center"/>
            <w:hideMark/>
          </w:tcPr>
          <w:p w14:paraId="5B07587D" w14:textId="77777777" w:rsidR="00EB6F0A" w:rsidRPr="00A04585" w:rsidRDefault="00EB6F0A" w:rsidP="00EB6F0A">
            <w:pPr>
              <w:jc w:val="center"/>
              <w:rPr>
                <w:rFonts w:ascii="Trebuchet MS" w:eastAsia="Times New Roman" w:hAnsi="Trebuchet MS" w:cs="Calibri"/>
                <w:b/>
                <w:bCs/>
                <w:color w:val="000000"/>
                <w:sz w:val="20"/>
                <w:szCs w:val="20"/>
                <w:lang w:eastAsia="es-MX"/>
              </w:rPr>
            </w:pPr>
            <w:r w:rsidRPr="00A04585">
              <w:rPr>
                <w:rFonts w:ascii="Trebuchet MS" w:eastAsia="Times New Roman" w:hAnsi="Trebuchet MS" w:cs="Calibri"/>
                <w:b/>
                <w:bCs/>
                <w:color w:val="000000"/>
                <w:sz w:val="20"/>
                <w:szCs w:val="20"/>
                <w:lang w:eastAsia="es-MX"/>
              </w:rPr>
              <w:t xml:space="preserve">TOTAL MINISTRACIÓN MENSUAL </w:t>
            </w:r>
          </w:p>
        </w:tc>
      </w:tr>
      <w:tr w:rsidR="00834C0A" w:rsidRPr="00A04585" w14:paraId="3E04F29E" w14:textId="77777777" w:rsidTr="00834C0A">
        <w:trPr>
          <w:trHeight w:val="773"/>
        </w:trPr>
        <w:tc>
          <w:tcPr>
            <w:tcW w:w="847" w:type="dxa"/>
            <w:vMerge/>
            <w:tcBorders>
              <w:top w:val="nil"/>
              <w:left w:val="single" w:sz="8" w:space="0" w:color="808080"/>
              <w:bottom w:val="single" w:sz="8" w:space="0" w:color="808080"/>
              <w:right w:val="nil"/>
            </w:tcBorders>
            <w:vAlign w:val="center"/>
            <w:hideMark/>
          </w:tcPr>
          <w:p w14:paraId="36ED2DEF" w14:textId="77777777" w:rsidR="00EB6F0A" w:rsidRPr="00A04585" w:rsidRDefault="00EB6F0A" w:rsidP="00EB6F0A">
            <w:pPr>
              <w:rPr>
                <w:rFonts w:ascii="Trebuchet MS" w:eastAsia="Times New Roman" w:hAnsi="Trebuchet MS" w:cs="Calibri"/>
                <w:b/>
                <w:bCs/>
                <w:color w:val="000000"/>
                <w:sz w:val="18"/>
                <w:szCs w:val="16"/>
                <w:lang w:eastAsia="es-MX"/>
              </w:rPr>
            </w:pPr>
          </w:p>
        </w:tc>
        <w:tc>
          <w:tcPr>
            <w:tcW w:w="1603" w:type="dxa"/>
            <w:tcBorders>
              <w:top w:val="nil"/>
              <w:left w:val="single" w:sz="8" w:space="0" w:color="808080"/>
              <w:bottom w:val="single" w:sz="8" w:space="0" w:color="808080"/>
              <w:right w:val="single" w:sz="8" w:space="0" w:color="808080"/>
            </w:tcBorders>
            <w:shd w:val="clear" w:color="000000" w:fill="F2F2F2"/>
            <w:vAlign w:val="center"/>
            <w:hideMark/>
          </w:tcPr>
          <w:p w14:paraId="4407FC2C"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Total de FP Actividades Ordinarias</w:t>
            </w:r>
          </w:p>
        </w:tc>
        <w:tc>
          <w:tcPr>
            <w:tcW w:w="1393" w:type="dxa"/>
            <w:tcBorders>
              <w:top w:val="single" w:sz="8" w:space="0" w:color="808080"/>
              <w:left w:val="nil"/>
              <w:bottom w:val="single" w:sz="8" w:space="0" w:color="808080"/>
              <w:right w:val="single" w:sz="8" w:space="0" w:color="808080"/>
            </w:tcBorders>
            <w:shd w:val="clear" w:color="000000" w:fill="F2F2F2"/>
            <w:vAlign w:val="center"/>
            <w:hideMark/>
          </w:tcPr>
          <w:p w14:paraId="0161EF5E"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Total de FP Actividades Específicas</w:t>
            </w:r>
          </w:p>
        </w:tc>
        <w:tc>
          <w:tcPr>
            <w:tcW w:w="1603" w:type="dxa"/>
            <w:vMerge/>
            <w:tcBorders>
              <w:top w:val="single" w:sz="8" w:space="0" w:color="808080"/>
              <w:left w:val="nil"/>
              <w:bottom w:val="single" w:sz="8" w:space="0" w:color="808080"/>
              <w:right w:val="single" w:sz="8" w:space="0" w:color="808080"/>
            </w:tcBorders>
            <w:vAlign w:val="center"/>
            <w:hideMark/>
          </w:tcPr>
          <w:p w14:paraId="25289249" w14:textId="77777777" w:rsidR="00EB6F0A" w:rsidRPr="00A04585" w:rsidRDefault="00EB6F0A" w:rsidP="00EB6F0A">
            <w:pPr>
              <w:rPr>
                <w:rFonts w:ascii="Trebuchet MS" w:eastAsia="Times New Roman" w:hAnsi="Trebuchet MS" w:cs="Calibri"/>
                <w:b/>
                <w:bCs/>
                <w:color w:val="000000"/>
                <w:sz w:val="18"/>
                <w:szCs w:val="16"/>
                <w:lang w:eastAsia="es-MX"/>
              </w:rPr>
            </w:pPr>
          </w:p>
        </w:tc>
        <w:tc>
          <w:tcPr>
            <w:tcW w:w="1392" w:type="dxa"/>
            <w:tcBorders>
              <w:top w:val="nil"/>
              <w:left w:val="nil"/>
              <w:bottom w:val="single" w:sz="8" w:space="0" w:color="808080"/>
              <w:right w:val="single" w:sz="8" w:space="0" w:color="808080"/>
            </w:tcBorders>
            <w:shd w:val="clear" w:color="000000" w:fill="F2F2F2"/>
            <w:vAlign w:val="center"/>
            <w:hideMark/>
          </w:tcPr>
          <w:p w14:paraId="2080C9A6"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Total de FP Actividades Ordinarias</w:t>
            </w:r>
          </w:p>
        </w:tc>
        <w:tc>
          <w:tcPr>
            <w:tcW w:w="1222" w:type="dxa"/>
            <w:tcBorders>
              <w:top w:val="single" w:sz="8" w:space="0" w:color="808080"/>
              <w:left w:val="nil"/>
              <w:bottom w:val="single" w:sz="8" w:space="0" w:color="808080"/>
              <w:right w:val="single" w:sz="8" w:space="0" w:color="808080"/>
            </w:tcBorders>
            <w:shd w:val="clear" w:color="000000" w:fill="F2F2F2"/>
            <w:vAlign w:val="center"/>
            <w:hideMark/>
          </w:tcPr>
          <w:p w14:paraId="07C49D18"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Total de FP Actividades Específicas</w:t>
            </w:r>
          </w:p>
        </w:tc>
        <w:tc>
          <w:tcPr>
            <w:tcW w:w="1461" w:type="dxa"/>
            <w:vMerge/>
            <w:tcBorders>
              <w:top w:val="nil"/>
              <w:left w:val="nil"/>
              <w:bottom w:val="single" w:sz="8" w:space="0" w:color="808080"/>
              <w:right w:val="single" w:sz="8" w:space="0" w:color="808080"/>
            </w:tcBorders>
            <w:vAlign w:val="center"/>
            <w:hideMark/>
          </w:tcPr>
          <w:p w14:paraId="1CCB4AE5" w14:textId="77777777" w:rsidR="00EB6F0A" w:rsidRPr="00A04585" w:rsidRDefault="00EB6F0A" w:rsidP="00EB6F0A">
            <w:pPr>
              <w:rPr>
                <w:rFonts w:ascii="Trebuchet MS" w:eastAsia="Times New Roman" w:hAnsi="Trebuchet MS" w:cs="Calibri"/>
                <w:b/>
                <w:bCs/>
                <w:color w:val="000000"/>
                <w:sz w:val="18"/>
                <w:szCs w:val="16"/>
                <w:lang w:eastAsia="es-MX"/>
              </w:rPr>
            </w:pPr>
          </w:p>
        </w:tc>
      </w:tr>
      <w:tr w:rsidR="00834C0A" w:rsidRPr="00A04585" w14:paraId="6889EAB7" w14:textId="77777777" w:rsidTr="00834C0A">
        <w:trPr>
          <w:trHeight w:val="706"/>
        </w:trPr>
        <w:tc>
          <w:tcPr>
            <w:tcW w:w="847" w:type="dxa"/>
            <w:tcBorders>
              <w:top w:val="nil"/>
              <w:left w:val="single" w:sz="8" w:space="0" w:color="808080"/>
              <w:bottom w:val="single" w:sz="4" w:space="0" w:color="808080"/>
              <w:right w:val="single" w:sz="4" w:space="0" w:color="808080"/>
            </w:tcBorders>
            <w:shd w:val="clear" w:color="auto" w:fill="auto"/>
            <w:noWrap/>
            <w:vAlign w:val="center"/>
            <w:hideMark/>
          </w:tcPr>
          <w:p w14:paraId="5EDC7B2A" w14:textId="2DD8FED0"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noProof/>
                <w:color w:val="000000"/>
                <w:sz w:val="18"/>
                <w:szCs w:val="16"/>
                <w:lang w:eastAsia="es-MX"/>
              </w:rPr>
              <w:drawing>
                <wp:inline distT="0" distB="0" distL="0" distR="0" wp14:anchorId="2025BDA3" wp14:editId="67ADD082">
                  <wp:extent cx="404037" cy="4040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PAN-150x15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123" cy="408123"/>
                          </a:xfrm>
                          <a:prstGeom prst="rect">
                            <a:avLst/>
                          </a:prstGeom>
                        </pic:spPr>
                      </pic:pic>
                    </a:graphicData>
                  </a:graphic>
                </wp:inline>
              </w:drawing>
            </w:r>
          </w:p>
        </w:tc>
        <w:tc>
          <w:tcPr>
            <w:tcW w:w="1603" w:type="dxa"/>
            <w:tcBorders>
              <w:top w:val="nil"/>
              <w:left w:val="nil"/>
              <w:bottom w:val="single" w:sz="4" w:space="0" w:color="808080"/>
              <w:right w:val="single" w:sz="4" w:space="0" w:color="808080"/>
            </w:tcBorders>
            <w:shd w:val="clear" w:color="000000" w:fill="FFFFFF"/>
            <w:vAlign w:val="center"/>
            <w:hideMark/>
          </w:tcPr>
          <w:p w14:paraId="4B6DE1A9"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$16,964,213.93</w:t>
            </w:r>
          </w:p>
        </w:tc>
        <w:tc>
          <w:tcPr>
            <w:tcW w:w="1393" w:type="dxa"/>
            <w:tcBorders>
              <w:top w:val="nil"/>
              <w:left w:val="nil"/>
              <w:bottom w:val="single" w:sz="4" w:space="0" w:color="808080"/>
              <w:right w:val="single" w:sz="4" w:space="0" w:color="808080"/>
            </w:tcBorders>
            <w:shd w:val="clear" w:color="000000" w:fill="FFFFFF"/>
            <w:vAlign w:val="center"/>
            <w:hideMark/>
          </w:tcPr>
          <w:p w14:paraId="5176DD58"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$508,926.42</w:t>
            </w:r>
          </w:p>
        </w:tc>
        <w:tc>
          <w:tcPr>
            <w:tcW w:w="1603" w:type="dxa"/>
            <w:tcBorders>
              <w:top w:val="nil"/>
              <w:left w:val="nil"/>
              <w:bottom w:val="single" w:sz="4" w:space="0" w:color="808080"/>
              <w:right w:val="single" w:sz="4" w:space="0" w:color="808080"/>
            </w:tcBorders>
            <w:shd w:val="clear" w:color="000000" w:fill="FFFFFF"/>
            <w:vAlign w:val="center"/>
            <w:hideMark/>
          </w:tcPr>
          <w:p w14:paraId="581667B6"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$17,473,140.34</w:t>
            </w:r>
          </w:p>
        </w:tc>
        <w:tc>
          <w:tcPr>
            <w:tcW w:w="1392" w:type="dxa"/>
            <w:tcBorders>
              <w:top w:val="nil"/>
              <w:left w:val="nil"/>
              <w:bottom w:val="single" w:sz="4" w:space="0" w:color="808080"/>
              <w:right w:val="single" w:sz="4" w:space="0" w:color="808080"/>
            </w:tcBorders>
            <w:shd w:val="clear" w:color="000000" w:fill="FFFFFF"/>
            <w:vAlign w:val="center"/>
            <w:hideMark/>
          </w:tcPr>
          <w:p w14:paraId="6E959CC9"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$1,413,684.49</w:t>
            </w:r>
          </w:p>
        </w:tc>
        <w:tc>
          <w:tcPr>
            <w:tcW w:w="1222" w:type="dxa"/>
            <w:tcBorders>
              <w:top w:val="nil"/>
              <w:left w:val="nil"/>
              <w:bottom w:val="single" w:sz="4" w:space="0" w:color="808080"/>
              <w:right w:val="single" w:sz="4" w:space="0" w:color="808080"/>
            </w:tcBorders>
            <w:shd w:val="clear" w:color="000000" w:fill="FFFFFF"/>
            <w:vAlign w:val="center"/>
            <w:hideMark/>
          </w:tcPr>
          <w:p w14:paraId="7CACCBE5"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$42,410.53</w:t>
            </w:r>
          </w:p>
        </w:tc>
        <w:tc>
          <w:tcPr>
            <w:tcW w:w="1461" w:type="dxa"/>
            <w:tcBorders>
              <w:top w:val="nil"/>
              <w:left w:val="nil"/>
              <w:bottom w:val="single" w:sz="4" w:space="0" w:color="808080"/>
              <w:right w:val="single" w:sz="8" w:space="0" w:color="808080"/>
            </w:tcBorders>
            <w:shd w:val="clear" w:color="000000" w:fill="FFFFFF"/>
            <w:vAlign w:val="center"/>
            <w:hideMark/>
          </w:tcPr>
          <w:p w14:paraId="0C16FA38"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$1,456,095.03</w:t>
            </w:r>
          </w:p>
        </w:tc>
      </w:tr>
      <w:tr w:rsidR="00834C0A" w:rsidRPr="00A04585" w14:paraId="666CC711" w14:textId="77777777" w:rsidTr="00834C0A">
        <w:trPr>
          <w:trHeight w:val="706"/>
        </w:trPr>
        <w:tc>
          <w:tcPr>
            <w:tcW w:w="847" w:type="dxa"/>
            <w:tcBorders>
              <w:top w:val="nil"/>
              <w:left w:val="single" w:sz="8" w:space="0" w:color="808080"/>
              <w:bottom w:val="single" w:sz="4" w:space="0" w:color="808080"/>
              <w:right w:val="single" w:sz="4" w:space="0" w:color="808080"/>
            </w:tcBorders>
            <w:shd w:val="clear" w:color="auto" w:fill="auto"/>
            <w:noWrap/>
            <w:vAlign w:val="center"/>
            <w:hideMark/>
          </w:tcPr>
          <w:p w14:paraId="0DFE6D6A" w14:textId="41257A55" w:rsidR="00EB6F0A" w:rsidRPr="00A04585" w:rsidRDefault="00834C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noProof/>
                <w:color w:val="000000"/>
                <w:sz w:val="18"/>
                <w:szCs w:val="16"/>
                <w:lang w:eastAsia="es-MX"/>
              </w:rPr>
              <w:drawing>
                <wp:inline distT="0" distB="0" distL="0" distR="0" wp14:anchorId="55D2EA24" wp14:editId="3416E105">
                  <wp:extent cx="361507" cy="361507"/>
                  <wp:effectExtent l="0" t="0" r="63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PRI-1-150x15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606" cy="366606"/>
                          </a:xfrm>
                          <a:prstGeom prst="rect">
                            <a:avLst/>
                          </a:prstGeom>
                        </pic:spPr>
                      </pic:pic>
                    </a:graphicData>
                  </a:graphic>
                </wp:inline>
              </w:drawing>
            </w:r>
          </w:p>
        </w:tc>
        <w:tc>
          <w:tcPr>
            <w:tcW w:w="1603" w:type="dxa"/>
            <w:tcBorders>
              <w:top w:val="nil"/>
              <w:left w:val="nil"/>
              <w:bottom w:val="single" w:sz="4" w:space="0" w:color="808080"/>
              <w:right w:val="single" w:sz="4" w:space="0" w:color="808080"/>
            </w:tcBorders>
            <w:shd w:val="clear" w:color="000000" w:fill="FFFFFF"/>
            <w:vAlign w:val="center"/>
            <w:hideMark/>
          </w:tcPr>
          <w:p w14:paraId="74B82371"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$16,829,817.47</w:t>
            </w:r>
          </w:p>
        </w:tc>
        <w:tc>
          <w:tcPr>
            <w:tcW w:w="1393" w:type="dxa"/>
            <w:tcBorders>
              <w:top w:val="nil"/>
              <w:left w:val="nil"/>
              <w:bottom w:val="single" w:sz="4" w:space="0" w:color="808080"/>
              <w:right w:val="single" w:sz="4" w:space="0" w:color="808080"/>
            </w:tcBorders>
            <w:shd w:val="clear" w:color="000000" w:fill="FFFFFF"/>
            <w:vAlign w:val="center"/>
            <w:hideMark/>
          </w:tcPr>
          <w:p w14:paraId="57349F22"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$504,894.52</w:t>
            </w:r>
          </w:p>
        </w:tc>
        <w:tc>
          <w:tcPr>
            <w:tcW w:w="1603" w:type="dxa"/>
            <w:tcBorders>
              <w:top w:val="nil"/>
              <w:left w:val="nil"/>
              <w:bottom w:val="single" w:sz="4" w:space="0" w:color="808080"/>
              <w:right w:val="single" w:sz="4" w:space="0" w:color="808080"/>
            </w:tcBorders>
            <w:shd w:val="clear" w:color="000000" w:fill="FFFFFF"/>
            <w:vAlign w:val="center"/>
            <w:hideMark/>
          </w:tcPr>
          <w:p w14:paraId="18C9C993"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$17,334,712.00</w:t>
            </w:r>
          </w:p>
        </w:tc>
        <w:tc>
          <w:tcPr>
            <w:tcW w:w="1392" w:type="dxa"/>
            <w:tcBorders>
              <w:top w:val="nil"/>
              <w:left w:val="nil"/>
              <w:bottom w:val="single" w:sz="4" w:space="0" w:color="808080"/>
              <w:right w:val="single" w:sz="4" w:space="0" w:color="808080"/>
            </w:tcBorders>
            <w:shd w:val="clear" w:color="000000" w:fill="FFFFFF"/>
            <w:vAlign w:val="center"/>
            <w:hideMark/>
          </w:tcPr>
          <w:p w14:paraId="1046C74D"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$1,402,484.79</w:t>
            </w:r>
          </w:p>
        </w:tc>
        <w:tc>
          <w:tcPr>
            <w:tcW w:w="1222" w:type="dxa"/>
            <w:tcBorders>
              <w:top w:val="nil"/>
              <w:left w:val="nil"/>
              <w:bottom w:val="single" w:sz="4" w:space="0" w:color="808080"/>
              <w:right w:val="single" w:sz="4" w:space="0" w:color="808080"/>
            </w:tcBorders>
            <w:shd w:val="clear" w:color="000000" w:fill="FFFFFF"/>
            <w:vAlign w:val="center"/>
            <w:hideMark/>
          </w:tcPr>
          <w:p w14:paraId="06587F9C"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$42,074.54</w:t>
            </w:r>
          </w:p>
        </w:tc>
        <w:tc>
          <w:tcPr>
            <w:tcW w:w="1461" w:type="dxa"/>
            <w:tcBorders>
              <w:top w:val="nil"/>
              <w:left w:val="nil"/>
              <w:bottom w:val="single" w:sz="4" w:space="0" w:color="808080"/>
              <w:right w:val="single" w:sz="8" w:space="0" w:color="808080"/>
            </w:tcBorders>
            <w:shd w:val="clear" w:color="000000" w:fill="FFFFFF"/>
            <w:vAlign w:val="center"/>
            <w:hideMark/>
          </w:tcPr>
          <w:p w14:paraId="0C2444B7"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$1,444,559.33</w:t>
            </w:r>
          </w:p>
        </w:tc>
      </w:tr>
      <w:tr w:rsidR="00834C0A" w:rsidRPr="00A04585" w14:paraId="771C7E8D" w14:textId="77777777" w:rsidTr="00834C0A">
        <w:trPr>
          <w:trHeight w:val="706"/>
        </w:trPr>
        <w:tc>
          <w:tcPr>
            <w:tcW w:w="847" w:type="dxa"/>
            <w:tcBorders>
              <w:top w:val="nil"/>
              <w:left w:val="single" w:sz="8" w:space="0" w:color="808080"/>
              <w:bottom w:val="single" w:sz="4" w:space="0" w:color="808080"/>
              <w:right w:val="single" w:sz="4" w:space="0" w:color="808080"/>
            </w:tcBorders>
            <w:shd w:val="clear" w:color="auto" w:fill="auto"/>
            <w:noWrap/>
            <w:vAlign w:val="center"/>
            <w:hideMark/>
          </w:tcPr>
          <w:p w14:paraId="761DC5EB" w14:textId="3677981C" w:rsidR="00EB6F0A" w:rsidRPr="00A04585" w:rsidRDefault="00834C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noProof/>
                <w:color w:val="000000"/>
                <w:sz w:val="18"/>
                <w:szCs w:val="16"/>
                <w:lang w:eastAsia="es-MX"/>
              </w:rPr>
              <w:drawing>
                <wp:inline distT="0" distB="0" distL="0" distR="0" wp14:anchorId="251327FD" wp14:editId="3EC90F91">
                  <wp:extent cx="393228" cy="393228"/>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4-VERDE-150x15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190" cy="400190"/>
                          </a:xfrm>
                          <a:prstGeom prst="rect">
                            <a:avLst/>
                          </a:prstGeom>
                        </pic:spPr>
                      </pic:pic>
                    </a:graphicData>
                  </a:graphic>
                </wp:inline>
              </w:drawing>
            </w:r>
          </w:p>
        </w:tc>
        <w:tc>
          <w:tcPr>
            <w:tcW w:w="1603" w:type="dxa"/>
            <w:tcBorders>
              <w:top w:val="nil"/>
              <w:left w:val="nil"/>
              <w:bottom w:val="single" w:sz="4" w:space="0" w:color="808080"/>
              <w:right w:val="single" w:sz="4" w:space="0" w:color="808080"/>
            </w:tcBorders>
            <w:shd w:val="clear" w:color="000000" w:fill="FFFFFF"/>
            <w:vAlign w:val="center"/>
            <w:hideMark/>
          </w:tcPr>
          <w:p w14:paraId="6F3EB40A"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$8,206,964.02</w:t>
            </w:r>
          </w:p>
        </w:tc>
        <w:tc>
          <w:tcPr>
            <w:tcW w:w="1393" w:type="dxa"/>
            <w:tcBorders>
              <w:top w:val="nil"/>
              <w:left w:val="nil"/>
              <w:bottom w:val="single" w:sz="4" w:space="0" w:color="808080"/>
              <w:right w:val="single" w:sz="4" w:space="0" w:color="808080"/>
            </w:tcBorders>
            <w:shd w:val="clear" w:color="000000" w:fill="FFFFFF"/>
            <w:vAlign w:val="center"/>
            <w:hideMark/>
          </w:tcPr>
          <w:p w14:paraId="538DE495"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$246,208.92</w:t>
            </w:r>
          </w:p>
        </w:tc>
        <w:tc>
          <w:tcPr>
            <w:tcW w:w="1603" w:type="dxa"/>
            <w:tcBorders>
              <w:top w:val="nil"/>
              <w:left w:val="nil"/>
              <w:bottom w:val="single" w:sz="4" w:space="0" w:color="808080"/>
              <w:right w:val="single" w:sz="4" w:space="0" w:color="808080"/>
            </w:tcBorders>
            <w:shd w:val="clear" w:color="000000" w:fill="FFFFFF"/>
            <w:vAlign w:val="center"/>
            <w:hideMark/>
          </w:tcPr>
          <w:p w14:paraId="05871933"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$8,453,172.94</w:t>
            </w:r>
          </w:p>
        </w:tc>
        <w:tc>
          <w:tcPr>
            <w:tcW w:w="1392" w:type="dxa"/>
            <w:tcBorders>
              <w:top w:val="nil"/>
              <w:left w:val="nil"/>
              <w:bottom w:val="single" w:sz="4" w:space="0" w:color="808080"/>
              <w:right w:val="single" w:sz="4" w:space="0" w:color="808080"/>
            </w:tcBorders>
            <w:shd w:val="clear" w:color="000000" w:fill="FFFFFF"/>
            <w:vAlign w:val="center"/>
            <w:hideMark/>
          </w:tcPr>
          <w:p w14:paraId="2ADE70AD"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$683,913.67</w:t>
            </w:r>
          </w:p>
        </w:tc>
        <w:tc>
          <w:tcPr>
            <w:tcW w:w="1222" w:type="dxa"/>
            <w:tcBorders>
              <w:top w:val="nil"/>
              <w:left w:val="nil"/>
              <w:bottom w:val="single" w:sz="4" w:space="0" w:color="808080"/>
              <w:right w:val="single" w:sz="4" w:space="0" w:color="808080"/>
            </w:tcBorders>
            <w:shd w:val="clear" w:color="000000" w:fill="FFFFFF"/>
            <w:vAlign w:val="center"/>
            <w:hideMark/>
          </w:tcPr>
          <w:p w14:paraId="32956AB3"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$20,517.41</w:t>
            </w:r>
          </w:p>
        </w:tc>
        <w:tc>
          <w:tcPr>
            <w:tcW w:w="1461" w:type="dxa"/>
            <w:tcBorders>
              <w:top w:val="nil"/>
              <w:left w:val="nil"/>
              <w:bottom w:val="single" w:sz="4" w:space="0" w:color="808080"/>
              <w:right w:val="single" w:sz="8" w:space="0" w:color="808080"/>
            </w:tcBorders>
            <w:shd w:val="clear" w:color="000000" w:fill="FFFFFF"/>
            <w:vAlign w:val="center"/>
            <w:hideMark/>
          </w:tcPr>
          <w:p w14:paraId="292B244E"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$704,431.08</w:t>
            </w:r>
          </w:p>
        </w:tc>
      </w:tr>
      <w:tr w:rsidR="00834C0A" w:rsidRPr="00A04585" w14:paraId="4402680B" w14:textId="77777777" w:rsidTr="00834C0A">
        <w:trPr>
          <w:trHeight w:val="706"/>
        </w:trPr>
        <w:tc>
          <w:tcPr>
            <w:tcW w:w="847" w:type="dxa"/>
            <w:tcBorders>
              <w:top w:val="nil"/>
              <w:left w:val="single" w:sz="8" w:space="0" w:color="808080"/>
              <w:bottom w:val="single" w:sz="4" w:space="0" w:color="808080"/>
              <w:right w:val="single" w:sz="4" w:space="0" w:color="808080"/>
            </w:tcBorders>
            <w:shd w:val="clear" w:color="auto" w:fill="auto"/>
            <w:noWrap/>
            <w:vAlign w:val="center"/>
            <w:hideMark/>
          </w:tcPr>
          <w:p w14:paraId="1B2FEC99" w14:textId="6A6A02F6" w:rsidR="00EB6F0A" w:rsidRPr="00A04585" w:rsidRDefault="00834C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noProof/>
                <w:color w:val="000000"/>
                <w:sz w:val="18"/>
                <w:szCs w:val="16"/>
                <w:lang w:eastAsia="es-MX"/>
              </w:rPr>
              <w:drawing>
                <wp:inline distT="0" distB="0" distL="0" distR="0" wp14:anchorId="00007961" wp14:editId="3A646A55">
                  <wp:extent cx="340242" cy="340242"/>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6-MC-150x15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729" cy="346729"/>
                          </a:xfrm>
                          <a:prstGeom prst="rect">
                            <a:avLst/>
                          </a:prstGeom>
                        </pic:spPr>
                      </pic:pic>
                    </a:graphicData>
                  </a:graphic>
                </wp:inline>
              </w:drawing>
            </w:r>
          </w:p>
        </w:tc>
        <w:tc>
          <w:tcPr>
            <w:tcW w:w="1603" w:type="dxa"/>
            <w:tcBorders>
              <w:top w:val="nil"/>
              <w:left w:val="nil"/>
              <w:bottom w:val="single" w:sz="4" w:space="0" w:color="808080"/>
              <w:right w:val="single" w:sz="4" w:space="0" w:color="808080"/>
            </w:tcBorders>
            <w:shd w:val="clear" w:color="000000" w:fill="FFFFFF"/>
            <w:vAlign w:val="center"/>
            <w:hideMark/>
          </w:tcPr>
          <w:p w14:paraId="18946959"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$35,774,267.65</w:t>
            </w:r>
          </w:p>
        </w:tc>
        <w:tc>
          <w:tcPr>
            <w:tcW w:w="1393" w:type="dxa"/>
            <w:tcBorders>
              <w:top w:val="nil"/>
              <w:left w:val="nil"/>
              <w:bottom w:val="single" w:sz="4" w:space="0" w:color="808080"/>
              <w:right w:val="single" w:sz="4" w:space="0" w:color="808080"/>
            </w:tcBorders>
            <w:shd w:val="clear" w:color="000000" w:fill="FFFFFF"/>
            <w:vAlign w:val="center"/>
            <w:hideMark/>
          </w:tcPr>
          <w:p w14:paraId="109A44EA"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$1,073,228.03</w:t>
            </w:r>
          </w:p>
        </w:tc>
        <w:tc>
          <w:tcPr>
            <w:tcW w:w="1603" w:type="dxa"/>
            <w:tcBorders>
              <w:top w:val="nil"/>
              <w:left w:val="nil"/>
              <w:bottom w:val="single" w:sz="4" w:space="0" w:color="808080"/>
              <w:right w:val="single" w:sz="4" w:space="0" w:color="808080"/>
            </w:tcBorders>
            <w:shd w:val="clear" w:color="000000" w:fill="FFFFFF"/>
            <w:vAlign w:val="center"/>
            <w:hideMark/>
          </w:tcPr>
          <w:p w14:paraId="095286B9"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$36,847,495.67</w:t>
            </w:r>
          </w:p>
        </w:tc>
        <w:tc>
          <w:tcPr>
            <w:tcW w:w="1392" w:type="dxa"/>
            <w:tcBorders>
              <w:top w:val="nil"/>
              <w:left w:val="nil"/>
              <w:bottom w:val="single" w:sz="4" w:space="0" w:color="808080"/>
              <w:right w:val="single" w:sz="4" w:space="0" w:color="808080"/>
            </w:tcBorders>
            <w:shd w:val="clear" w:color="000000" w:fill="FFFFFF"/>
            <w:vAlign w:val="center"/>
            <w:hideMark/>
          </w:tcPr>
          <w:p w14:paraId="3E072626"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$2,981,188.97</w:t>
            </w:r>
          </w:p>
        </w:tc>
        <w:tc>
          <w:tcPr>
            <w:tcW w:w="1222" w:type="dxa"/>
            <w:tcBorders>
              <w:top w:val="nil"/>
              <w:left w:val="nil"/>
              <w:bottom w:val="single" w:sz="4" w:space="0" w:color="808080"/>
              <w:right w:val="single" w:sz="4" w:space="0" w:color="808080"/>
            </w:tcBorders>
            <w:shd w:val="clear" w:color="000000" w:fill="FFFFFF"/>
            <w:vAlign w:val="center"/>
            <w:hideMark/>
          </w:tcPr>
          <w:p w14:paraId="334F4976"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$89,435.67</w:t>
            </w:r>
          </w:p>
        </w:tc>
        <w:tc>
          <w:tcPr>
            <w:tcW w:w="1461" w:type="dxa"/>
            <w:tcBorders>
              <w:top w:val="nil"/>
              <w:left w:val="nil"/>
              <w:bottom w:val="single" w:sz="4" w:space="0" w:color="808080"/>
              <w:right w:val="single" w:sz="8" w:space="0" w:color="808080"/>
            </w:tcBorders>
            <w:shd w:val="clear" w:color="000000" w:fill="FFFFFF"/>
            <w:vAlign w:val="center"/>
            <w:hideMark/>
          </w:tcPr>
          <w:p w14:paraId="03C1FC8D"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$3,070,624.64</w:t>
            </w:r>
          </w:p>
        </w:tc>
      </w:tr>
      <w:tr w:rsidR="00834C0A" w:rsidRPr="00A04585" w14:paraId="53EE750E" w14:textId="77777777" w:rsidTr="00834C0A">
        <w:trPr>
          <w:trHeight w:val="706"/>
        </w:trPr>
        <w:tc>
          <w:tcPr>
            <w:tcW w:w="847" w:type="dxa"/>
            <w:tcBorders>
              <w:top w:val="nil"/>
              <w:left w:val="single" w:sz="8" w:space="0" w:color="808080"/>
              <w:bottom w:val="single" w:sz="4" w:space="0" w:color="808080"/>
              <w:right w:val="single" w:sz="4" w:space="0" w:color="808080"/>
            </w:tcBorders>
            <w:shd w:val="clear" w:color="auto" w:fill="auto"/>
            <w:noWrap/>
            <w:vAlign w:val="center"/>
            <w:hideMark/>
          </w:tcPr>
          <w:p w14:paraId="2B5E3807" w14:textId="20A6F739" w:rsidR="00EB6F0A" w:rsidRPr="00A04585" w:rsidRDefault="00834C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noProof/>
                <w:color w:val="000000"/>
                <w:sz w:val="18"/>
                <w:szCs w:val="16"/>
                <w:lang w:eastAsia="es-MX"/>
              </w:rPr>
              <w:drawing>
                <wp:inline distT="0" distB="0" distL="0" distR="0" wp14:anchorId="4067028D" wp14:editId="1FA82D2E">
                  <wp:extent cx="382772" cy="3827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7-MORENA-150x15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7819" cy="387819"/>
                          </a:xfrm>
                          <a:prstGeom prst="rect">
                            <a:avLst/>
                          </a:prstGeom>
                        </pic:spPr>
                      </pic:pic>
                    </a:graphicData>
                  </a:graphic>
                </wp:inline>
              </w:drawing>
            </w:r>
          </w:p>
        </w:tc>
        <w:tc>
          <w:tcPr>
            <w:tcW w:w="1603" w:type="dxa"/>
            <w:tcBorders>
              <w:top w:val="nil"/>
              <w:left w:val="nil"/>
              <w:bottom w:val="single" w:sz="4" w:space="0" w:color="808080"/>
              <w:right w:val="single" w:sz="4" w:space="0" w:color="808080"/>
            </w:tcBorders>
            <w:shd w:val="clear" w:color="000000" w:fill="FFFFFF"/>
            <w:vAlign w:val="center"/>
            <w:hideMark/>
          </w:tcPr>
          <w:p w14:paraId="589829B3"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$24,802,296.03</w:t>
            </w:r>
          </w:p>
        </w:tc>
        <w:tc>
          <w:tcPr>
            <w:tcW w:w="1393" w:type="dxa"/>
            <w:tcBorders>
              <w:top w:val="nil"/>
              <w:left w:val="nil"/>
              <w:bottom w:val="single" w:sz="4" w:space="0" w:color="808080"/>
              <w:right w:val="single" w:sz="4" w:space="0" w:color="808080"/>
            </w:tcBorders>
            <w:shd w:val="clear" w:color="000000" w:fill="FFFFFF"/>
            <w:vAlign w:val="center"/>
            <w:hideMark/>
          </w:tcPr>
          <w:p w14:paraId="6084AAF7"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$744,068.88</w:t>
            </w:r>
          </w:p>
        </w:tc>
        <w:tc>
          <w:tcPr>
            <w:tcW w:w="1603" w:type="dxa"/>
            <w:tcBorders>
              <w:top w:val="nil"/>
              <w:left w:val="nil"/>
              <w:bottom w:val="single" w:sz="4" w:space="0" w:color="808080"/>
              <w:right w:val="single" w:sz="4" w:space="0" w:color="808080"/>
            </w:tcBorders>
            <w:shd w:val="clear" w:color="000000" w:fill="FFFFFF"/>
            <w:vAlign w:val="center"/>
            <w:hideMark/>
          </w:tcPr>
          <w:p w14:paraId="5C9FB7FF"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$25,546,364.91</w:t>
            </w:r>
          </w:p>
        </w:tc>
        <w:tc>
          <w:tcPr>
            <w:tcW w:w="1392" w:type="dxa"/>
            <w:tcBorders>
              <w:top w:val="nil"/>
              <w:left w:val="nil"/>
              <w:bottom w:val="single" w:sz="4" w:space="0" w:color="808080"/>
              <w:right w:val="single" w:sz="4" w:space="0" w:color="808080"/>
            </w:tcBorders>
            <w:shd w:val="clear" w:color="000000" w:fill="FFFFFF"/>
            <w:vAlign w:val="center"/>
            <w:hideMark/>
          </w:tcPr>
          <w:p w14:paraId="76628B8C"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$2,066,858.00</w:t>
            </w:r>
          </w:p>
        </w:tc>
        <w:tc>
          <w:tcPr>
            <w:tcW w:w="1222" w:type="dxa"/>
            <w:tcBorders>
              <w:top w:val="nil"/>
              <w:left w:val="nil"/>
              <w:bottom w:val="single" w:sz="4" w:space="0" w:color="808080"/>
              <w:right w:val="single" w:sz="4" w:space="0" w:color="808080"/>
            </w:tcBorders>
            <w:shd w:val="clear" w:color="000000" w:fill="FFFFFF"/>
            <w:vAlign w:val="center"/>
            <w:hideMark/>
          </w:tcPr>
          <w:p w14:paraId="3D9078DD"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$62,005.74</w:t>
            </w:r>
          </w:p>
        </w:tc>
        <w:tc>
          <w:tcPr>
            <w:tcW w:w="1461" w:type="dxa"/>
            <w:tcBorders>
              <w:top w:val="nil"/>
              <w:left w:val="nil"/>
              <w:bottom w:val="single" w:sz="4" w:space="0" w:color="808080"/>
              <w:right w:val="single" w:sz="8" w:space="0" w:color="808080"/>
            </w:tcBorders>
            <w:shd w:val="clear" w:color="000000" w:fill="FFFFFF"/>
            <w:vAlign w:val="center"/>
            <w:hideMark/>
          </w:tcPr>
          <w:p w14:paraId="6A798BA0" w14:textId="77777777" w:rsidR="00EB6F0A" w:rsidRPr="00A04585" w:rsidRDefault="00EB6F0A" w:rsidP="00EB6F0A">
            <w:pPr>
              <w:jc w:val="center"/>
              <w:rPr>
                <w:rFonts w:ascii="Trebuchet MS" w:eastAsia="Times New Roman" w:hAnsi="Trebuchet MS" w:cs="Calibri"/>
                <w:b/>
                <w:bCs/>
                <w:color w:val="000000"/>
                <w:sz w:val="18"/>
                <w:szCs w:val="16"/>
                <w:lang w:eastAsia="es-MX"/>
              </w:rPr>
            </w:pPr>
            <w:r w:rsidRPr="00A04585">
              <w:rPr>
                <w:rFonts w:ascii="Trebuchet MS" w:eastAsia="Times New Roman" w:hAnsi="Trebuchet MS" w:cs="Calibri"/>
                <w:b/>
                <w:bCs/>
                <w:color w:val="000000"/>
                <w:sz w:val="18"/>
                <w:szCs w:val="16"/>
                <w:lang w:eastAsia="es-MX"/>
              </w:rPr>
              <w:t>$2,128,863.74</w:t>
            </w:r>
          </w:p>
        </w:tc>
      </w:tr>
      <w:tr w:rsidR="00834C0A" w:rsidRPr="00A04585" w14:paraId="6181682E" w14:textId="77777777" w:rsidTr="00834C0A">
        <w:trPr>
          <w:trHeight w:val="706"/>
        </w:trPr>
        <w:tc>
          <w:tcPr>
            <w:tcW w:w="847" w:type="dxa"/>
            <w:tcBorders>
              <w:top w:val="single" w:sz="8" w:space="0" w:color="808080"/>
              <w:left w:val="single" w:sz="8" w:space="0" w:color="808080"/>
              <w:bottom w:val="single" w:sz="8" w:space="0" w:color="808080"/>
              <w:right w:val="nil"/>
            </w:tcBorders>
            <w:shd w:val="clear" w:color="000000" w:fill="F3EBF9"/>
            <w:noWrap/>
            <w:vAlign w:val="center"/>
            <w:hideMark/>
          </w:tcPr>
          <w:p w14:paraId="7E0D848E" w14:textId="77777777" w:rsidR="00EB6F0A" w:rsidRPr="00A04585" w:rsidRDefault="00EB6F0A" w:rsidP="00EB6F0A">
            <w:pPr>
              <w:jc w:val="center"/>
              <w:rPr>
                <w:rFonts w:ascii="Trebuchet MS" w:eastAsia="Times New Roman" w:hAnsi="Trebuchet MS" w:cs="Calibri"/>
                <w:b/>
                <w:bCs/>
                <w:sz w:val="18"/>
                <w:szCs w:val="16"/>
                <w:lang w:eastAsia="es-MX"/>
              </w:rPr>
            </w:pPr>
            <w:r w:rsidRPr="00A04585">
              <w:rPr>
                <w:rFonts w:ascii="Trebuchet MS" w:eastAsia="Times New Roman" w:hAnsi="Trebuchet MS" w:cs="Calibri"/>
                <w:b/>
                <w:bCs/>
                <w:sz w:val="18"/>
                <w:szCs w:val="16"/>
                <w:lang w:eastAsia="es-MX"/>
              </w:rPr>
              <w:t>TOTAL</w:t>
            </w:r>
          </w:p>
        </w:tc>
        <w:tc>
          <w:tcPr>
            <w:tcW w:w="1603" w:type="dxa"/>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67A3400F" w14:textId="77777777" w:rsidR="00EB6F0A" w:rsidRPr="00A04585" w:rsidRDefault="00EB6F0A" w:rsidP="00EB6F0A">
            <w:pPr>
              <w:jc w:val="center"/>
              <w:rPr>
                <w:rFonts w:ascii="Trebuchet MS" w:eastAsia="Times New Roman" w:hAnsi="Trebuchet MS" w:cs="Calibri"/>
                <w:b/>
                <w:bCs/>
                <w:sz w:val="18"/>
                <w:szCs w:val="16"/>
                <w:lang w:eastAsia="es-MX"/>
              </w:rPr>
            </w:pPr>
            <w:r w:rsidRPr="00A04585">
              <w:rPr>
                <w:rFonts w:ascii="Trebuchet MS" w:eastAsia="Times New Roman" w:hAnsi="Trebuchet MS" w:cs="Calibri"/>
                <w:b/>
                <w:bCs/>
                <w:sz w:val="18"/>
                <w:szCs w:val="16"/>
                <w:lang w:eastAsia="es-MX"/>
              </w:rPr>
              <w:t>$102,577,559.09</w:t>
            </w:r>
          </w:p>
        </w:tc>
        <w:tc>
          <w:tcPr>
            <w:tcW w:w="1393" w:type="dxa"/>
            <w:tcBorders>
              <w:top w:val="single" w:sz="8" w:space="0" w:color="808080"/>
              <w:left w:val="nil"/>
              <w:bottom w:val="single" w:sz="8" w:space="0" w:color="808080"/>
              <w:right w:val="single" w:sz="8" w:space="0" w:color="808080"/>
            </w:tcBorders>
            <w:shd w:val="clear" w:color="000000" w:fill="F3EBF9"/>
            <w:vAlign w:val="center"/>
            <w:hideMark/>
          </w:tcPr>
          <w:p w14:paraId="7CDD5EAE" w14:textId="77777777" w:rsidR="00EB6F0A" w:rsidRPr="00A04585" w:rsidRDefault="00EB6F0A" w:rsidP="00EB6F0A">
            <w:pPr>
              <w:jc w:val="center"/>
              <w:rPr>
                <w:rFonts w:ascii="Trebuchet MS" w:eastAsia="Times New Roman" w:hAnsi="Trebuchet MS" w:cs="Calibri"/>
                <w:b/>
                <w:bCs/>
                <w:sz w:val="18"/>
                <w:szCs w:val="16"/>
                <w:lang w:eastAsia="es-MX"/>
              </w:rPr>
            </w:pPr>
            <w:r w:rsidRPr="00A04585">
              <w:rPr>
                <w:rFonts w:ascii="Trebuchet MS" w:eastAsia="Times New Roman" w:hAnsi="Trebuchet MS" w:cs="Calibri"/>
                <w:b/>
                <w:bCs/>
                <w:sz w:val="18"/>
                <w:szCs w:val="16"/>
                <w:lang w:eastAsia="es-MX"/>
              </w:rPr>
              <w:t>$3,077,326.77</w:t>
            </w:r>
          </w:p>
        </w:tc>
        <w:tc>
          <w:tcPr>
            <w:tcW w:w="1603" w:type="dxa"/>
            <w:tcBorders>
              <w:top w:val="single" w:sz="8" w:space="0" w:color="808080"/>
              <w:left w:val="nil"/>
              <w:bottom w:val="single" w:sz="8" w:space="0" w:color="808080"/>
              <w:right w:val="single" w:sz="8" w:space="0" w:color="808080"/>
            </w:tcBorders>
            <w:shd w:val="clear" w:color="000000" w:fill="F3EBF9"/>
            <w:vAlign w:val="center"/>
            <w:hideMark/>
          </w:tcPr>
          <w:p w14:paraId="5386343E" w14:textId="77777777" w:rsidR="00EB6F0A" w:rsidRPr="00A04585" w:rsidRDefault="00EB6F0A" w:rsidP="00EB6F0A">
            <w:pPr>
              <w:jc w:val="center"/>
              <w:rPr>
                <w:rFonts w:ascii="Trebuchet MS" w:eastAsia="Times New Roman" w:hAnsi="Trebuchet MS" w:cs="Calibri"/>
                <w:b/>
                <w:bCs/>
                <w:sz w:val="18"/>
                <w:szCs w:val="16"/>
                <w:lang w:eastAsia="es-MX"/>
              </w:rPr>
            </w:pPr>
            <w:r w:rsidRPr="00A04585">
              <w:rPr>
                <w:rFonts w:ascii="Trebuchet MS" w:eastAsia="Times New Roman" w:hAnsi="Trebuchet MS" w:cs="Calibri"/>
                <w:b/>
                <w:bCs/>
                <w:sz w:val="18"/>
                <w:szCs w:val="16"/>
                <w:lang w:eastAsia="es-MX"/>
              </w:rPr>
              <w:t>$105,654,885.87</w:t>
            </w:r>
          </w:p>
        </w:tc>
        <w:tc>
          <w:tcPr>
            <w:tcW w:w="1392" w:type="dxa"/>
            <w:tcBorders>
              <w:top w:val="single" w:sz="8" w:space="0" w:color="808080"/>
              <w:left w:val="nil"/>
              <w:bottom w:val="single" w:sz="8" w:space="0" w:color="808080"/>
              <w:right w:val="single" w:sz="8" w:space="0" w:color="808080"/>
            </w:tcBorders>
            <w:shd w:val="clear" w:color="000000" w:fill="F3EBF9"/>
            <w:vAlign w:val="center"/>
            <w:hideMark/>
          </w:tcPr>
          <w:p w14:paraId="5E8F1240" w14:textId="77777777" w:rsidR="00EB6F0A" w:rsidRPr="00A04585" w:rsidRDefault="00EB6F0A" w:rsidP="00EB6F0A">
            <w:pPr>
              <w:jc w:val="center"/>
              <w:rPr>
                <w:rFonts w:ascii="Trebuchet MS" w:eastAsia="Times New Roman" w:hAnsi="Trebuchet MS" w:cs="Calibri"/>
                <w:b/>
                <w:bCs/>
                <w:sz w:val="18"/>
                <w:szCs w:val="16"/>
                <w:lang w:eastAsia="es-MX"/>
              </w:rPr>
            </w:pPr>
            <w:r w:rsidRPr="00A04585">
              <w:rPr>
                <w:rFonts w:ascii="Trebuchet MS" w:eastAsia="Times New Roman" w:hAnsi="Trebuchet MS" w:cs="Calibri"/>
                <w:b/>
                <w:bCs/>
                <w:sz w:val="18"/>
                <w:szCs w:val="16"/>
                <w:lang w:eastAsia="es-MX"/>
              </w:rPr>
              <w:t>$8,548,129.92</w:t>
            </w:r>
          </w:p>
        </w:tc>
        <w:tc>
          <w:tcPr>
            <w:tcW w:w="1222" w:type="dxa"/>
            <w:tcBorders>
              <w:top w:val="single" w:sz="8" w:space="0" w:color="808080"/>
              <w:left w:val="nil"/>
              <w:bottom w:val="single" w:sz="8" w:space="0" w:color="808080"/>
              <w:right w:val="single" w:sz="8" w:space="0" w:color="808080"/>
            </w:tcBorders>
            <w:shd w:val="clear" w:color="000000" w:fill="F3EBF9"/>
            <w:vAlign w:val="center"/>
            <w:hideMark/>
          </w:tcPr>
          <w:p w14:paraId="31BC1863" w14:textId="77777777" w:rsidR="00EB6F0A" w:rsidRPr="00A04585" w:rsidRDefault="00EB6F0A" w:rsidP="00EB6F0A">
            <w:pPr>
              <w:jc w:val="center"/>
              <w:rPr>
                <w:rFonts w:ascii="Trebuchet MS" w:eastAsia="Times New Roman" w:hAnsi="Trebuchet MS" w:cs="Calibri"/>
                <w:b/>
                <w:bCs/>
                <w:sz w:val="18"/>
                <w:szCs w:val="16"/>
                <w:lang w:eastAsia="es-MX"/>
              </w:rPr>
            </w:pPr>
            <w:r w:rsidRPr="00A04585">
              <w:rPr>
                <w:rFonts w:ascii="Trebuchet MS" w:eastAsia="Times New Roman" w:hAnsi="Trebuchet MS" w:cs="Calibri"/>
                <w:b/>
                <w:bCs/>
                <w:sz w:val="18"/>
                <w:szCs w:val="16"/>
                <w:lang w:eastAsia="es-MX"/>
              </w:rPr>
              <w:t>$256,443.90</w:t>
            </w:r>
          </w:p>
        </w:tc>
        <w:tc>
          <w:tcPr>
            <w:tcW w:w="1461" w:type="dxa"/>
            <w:tcBorders>
              <w:top w:val="single" w:sz="8" w:space="0" w:color="808080"/>
              <w:left w:val="nil"/>
              <w:bottom w:val="single" w:sz="8" w:space="0" w:color="808080"/>
              <w:right w:val="single" w:sz="8" w:space="0" w:color="808080"/>
            </w:tcBorders>
            <w:shd w:val="clear" w:color="000000" w:fill="F3EBF9"/>
            <w:vAlign w:val="center"/>
            <w:hideMark/>
          </w:tcPr>
          <w:p w14:paraId="18006077" w14:textId="77777777" w:rsidR="00EB6F0A" w:rsidRPr="00A04585" w:rsidRDefault="00EB6F0A" w:rsidP="00EB6F0A">
            <w:pPr>
              <w:jc w:val="center"/>
              <w:rPr>
                <w:rFonts w:ascii="Trebuchet MS" w:eastAsia="Times New Roman" w:hAnsi="Trebuchet MS" w:cs="Calibri"/>
                <w:b/>
                <w:bCs/>
                <w:sz w:val="18"/>
                <w:szCs w:val="16"/>
                <w:lang w:eastAsia="es-MX"/>
              </w:rPr>
            </w:pPr>
            <w:r w:rsidRPr="00A04585">
              <w:rPr>
                <w:rFonts w:ascii="Trebuchet MS" w:eastAsia="Times New Roman" w:hAnsi="Trebuchet MS" w:cs="Calibri"/>
                <w:b/>
                <w:bCs/>
                <w:sz w:val="18"/>
                <w:szCs w:val="16"/>
                <w:lang w:eastAsia="es-MX"/>
              </w:rPr>
              <w:t>$8,804,573.82</w:t>
            </w:r>
          </w:p>
        </w:tc>
      </w:tr>
    </w:tbl>
    <w:p w14:paraId="3A9794FD" w14:textId="77777777" w:rsidR="00EB6F0A" w:rsidRPr="00A04585" w:rsidRDefault="00EB6F0A" w:rsidP="002E7CFF">
      <w:pPr>
        <w:pStyle w:val="Sinespaciado"/>
        <w:jc w:val="both"/>
        <w:rPr>
          <w:rFonts w:ascii="Trebuchet MS" w:hAnsi="Trebuchet MS"/>
          <w:b/>
          <w:bCs/>
          <w:color w:val="000000"/>
          <w:sz w:val="24"/>
          <w:szCs w:val="24"/>
          <w:lang w:val="es-ES_tradnl" w:eastAsia="es-MX"/>
        </w:rPr>
      </w:pPr>
    </w:p>
    <w:p w14:paraId="5E8DCC61" w14:textId="77777777" w:rsidR="00834C0A" w:rsidRPr="00242547" w:rsidRDefault="00834C0A" w:rsidP="002E7CFF">
      <w:pPr>
        <w:pStyle w:val="Sinespaciado"/>
        <w:jc w:val="both"/>
        <w:rPr>
          <w:rFonts w:ascii="Trebuchet MS" w:hAnsi="Trebuchet MS"/>
          <w:b/>
          <w:bCs/>
          <w:color w:val="000000"/>
          <w:sz w:val="24"/>
          <w:szCs w:val="24"/>
          <w:lang w:val="es-ES_tradnl" w:eastAsia="es-MX"/>
        </w:rPr>
      </w:pPr>
    </w:p>
    <w:p w14:paraId="6A62928B" w14:textId="4FDFF469" w:rsidR="005E2C4B" w:rsidRPr="00A04585" w:rsidRDefault="006578E6"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 xml:space="preserve">B. </w:t>
      </w:r>
      <w:r w:rsidR="00FB798D" w:rsidRPr="00A04585">
        <w:rPr>
          <w:rFonts w:ascii="Trebuchet MS" w:hAnsi="Trebuchet MS"/>
          <w:b/>
          <w:bCs/>
          <w:color w:val="000000"/>
          <w:sz w:val="24"/>
          <w:szCs w:val="24"/>
          <w:lang w:val="es-ES_tradnl" w:eastAsia="es-MX"/>
        </w:rPr>
        <w:t>Monto t</w:t>
      </w:r>
      <w:r w:rsidR="005E2C4B" w:rsidRPr="00A04585">
        <w:rPr>
          <w:rFonts w:ascii="Trebuchet MS" w:hAnsi="Trebuchet MS"/>
          <w:b/>
          <w:bCs/>
          <w:color w:val="000000"/>
          <w:sz w:val="24"/>
          <w:szCs w:val="24"/>
          <w:lang w:val="es-ES_tradnl" w:eastAsia="es-MX"/>
        </w:rPr>
        <w:t xml:space="preserve">otal de financiamiento que debe otorgarse a los partidos políticos locales para el año </w:t>
      </w:r>
      <w:r w:rsidR="00834C0A" w:rsidRPr="00A04585">
        <w:rPr>
          <w:rFonts w:ascii="Trebuchet MS" w:hAnsi="Trebuchet MS"/>
          <w:b/>
          <w:bCs/>
          <w:color w:val="000000"/>
          <w:sz w:val="24"/>
          <w:szCs w:val="24"/>
          <w:lang w:val="es-ES_tradnl" w:eastAsia="es-MX"/>
        </w:rPr>
        <w:t>dos mil veintitrés</w:t>
      </w:r>
      <w:r w:rsidR="005E2C4B" w:rsidRPr="00A04585">
        <w:rPr>
          <w:rFonts w:ascii="Trebuchet MS" w:hAnsi="Trebuchet MS"/>
          <w:b/>
          <w:bCs/>
          <w:color w:val="000000"/>
          <w:sz w:val="24"/>
          <w:szCs w:val="24"/>
          <w:lang w:val="es-ES_tradnl" w:eastAsia="es-MX"/>
        </w:rPr>
        <w:t>.</w:t>
      </w:r>
      <w:r w:rsidR="005E2C4B" w:rsidRPr="00A04585">
        <w:rPr>
          <w:rFonts w:ascii="Trebuchet MS" w:hAnsi="Trebuchet MS"/>
          <w:color w:val="000000"/>
          <w:sz w:val="24"/>
          <w:szCs w:val="24"/>
          <w:lang w:val="es-ES_tradnl" w:eastAsia="es-MX"/>
        </w:rPr>
        <w:t xml:space="preserve"> </w:t>
      </w:r>
      <w:r w:rsidR="00007EAE" w:rsidRPr="00A04585">
        <w:rPr>
          <w:rFonts w:ascii="Trebuchet MS" w:hAnsi="Trebuchet MS"/>
          <w:color w:val="000000"/>
          <w:sz w:val="24"/>
          <w:szCs w:val="24"/>
          <w:lang w:val="es-ES_tradnl" w:eastAsia="es-MX"/>
        </w:rPr>
        <w:t>Enseguida se muestra un recuadro en que se determina, con base en lo expresado en los considerandos precedentes, el monto que cada partido político estatal debe recibir de financiamiento local, para actividades permanentes y específicas, así como el import</w:t>
      </w:r>
      <w:r w:rsidR="00685284" w:rsidRPr="00A04585">
        <w:rPr>
          <w:rFonts w:ascii="Trebuchet MS" w:hAnsi="Trebuchet MS"/>
          <w:color w:val="000000"/>
          <w:sz w:val="24"/>
          <w:szCs w:val="24"/>
          <w:lang w:val="es-ES_tradnl" w:eastAsia="es-MX"/>
        </w:rPr>
        <w:t>e</w:t>
      </w:r>
      <w:r w:rsidR="00007EAE" w:rsidRPr="00A04585">
        <w:rPr>
          <w:rFonts w:ascii="Trebuchet MS" w:hAnsi="Trebuchet MS"/>
          <w:color w:val="000000"/>
          <w:sz w:val="24"/>
          <w:szCs w:val="24"/>
          <w:lang w:val="es-ES_tradnl" w:eastAsia="es-MX"/>
        </w:rPr>
        <w:t xml:space="preserve"> correspondiente a la suma de ambas cantidades en el año, además</w:t>
      </w:r>
      <w:r w:rsidR="00685284" w:rsidRPr="00A04585">
        <w:rPr>
          <w:rFonts w:ascii="Trebuchet MS" w:hAnsi="Trebuchet MS"/>
          <w:color w:val="000000"/>
          <w:sz w:val="24"/>
          <w:szCs w:val="24"/>
          <w:lang w:val="es-ES_tradnl" w:eastAsia="es-MX"/>
        </w:rPr>
        <w:t xml:space="preserve"> de la cantidad que debe otorgarse en </w:t>
      </w:r>
      <w:r w:rsidR="00007EAE" w:rsidRPr="00A04585">
        <w:rPr>
          <w:rFonts w:ascii="Trebuchet MS" w:hAnsi="Trebuchet MS"/>
          <w:color w:val="000000"/>
          <w:sz w:val="24"/>
          <w:szCs w:val="24"/>
          <w:lang w:val="es-ES_tradnl" w:eastAsia="es-MX"/>
        </w:rPr>
        <w:t>cada una de las ministraciones mensuales, desagregada por tipo de financiamiento</w:t>
      </w:r>
      <w:r w:rsidR="00685284" w:rsidRPr="00A04585">
        <w:rPr>
          <w:rFonts w:ascii="Trebuchet MS" w:hAnsi="Trebuchet MS"/>
          <w:color w:val="000000"/>
          <w:sz w:val="24"/>
          <w:szCs w:val="24"/>
          <w:lang w:val="es-ES_tradnl" w:eastAsia="es-MX"/>
        </w:rPr>
        <w:t xml:space="preserve">, así como </w:t>
      </w:r>
      <w:r w:rsidR="00007EAE" w:rsidRPr="00A04585">
        <w:rPr>
          <w:rFonts w:ascii="Trebuchet MS" w:hAnsi="Trebuchet MS"/>
          <w:color w:val="000000"/>
          <w:sz w:val="24"/>
          <w:szCs w:val="24"/>
          <w:lang w:val="es-ES_tradnl" w:eastAsia="es-MX"/>
        </w:rPr>
        <w:t xml:space="preserve">la sumatoria </w:t>
      </w:r>
      <w:r w:rsidR="00685284" w:rsidRPr="00A04585">
        <w:rPr>
          <w:rFonts w:ascii="Trebuchet MS" w:hAnsi="Trebuchet MS"/>
          <w:color w:val="000000"/>
          <w:sz w:val="24"/>
          <w:szCs w:val="24"/>
          <w:lang w:val="es-ES_tradnl" w:eastAsia="es-MX"/>
        </w:rPr>
        <w:t>total de</w:t>
      </w:r>
      <w:r w:rsidR="00007EAE" w:rsidRPr="00A04585">
        <w:rPr>
          <w:rFonts w:ascii="Trebuchet MS" w:hAnsi="Trebuchet MS"/>
          <w:color w:val="000000"/>
          <w:sz w:val="24"/>
          <w:szCs w:val="24"/>
          <w:lang w:val="es-ES_tradnl" w:eastAsia="es-MX"/>
        </w:rPr>
        <w:t xml:space="preserve"> cada periodo mensual.</w:t>
      </w:r>
    </w:p>
    <w:p w14:paraId="0F5D3851" w14:textId="77777777" w:rsidR="00381031" w:rsidRPr="00A04585" w:rsidRDefault="00381031" w:rsidP="002E7CFF">
      <w:pPr>
        <w:pStyle w:val="Sinespaciado"/>
        <w:jc w:val="both"/>
        <w:rPr>
          <w:rFonts w:ascii="Trebuchet MS" w:hAnsi="Trebuchet MS"/>
          <w:b/>
          <w:bCs/>
          <w:color w:val="000000"/>
          <w:sz w:val="24"/>
          <w:szCs w:val="24"/>
          <w:lang w:val="es-ES_tradnl" w:eastAsia="es-MX"/>
        </w:rPr>
      </w:pPr>
    </w:p>
    <w:p w14:paraId="6655EABA" w14:textId="091AD8B6" w:rsidR="00685284" w:rsidRPr="00242547" w:rsidRDefault="00685284" w:rsidP="002E7CFF">
      <w:pPr>
        <w:pStyle w:val="Sinespaciado"/>
        <w:jc w:val="both"/>
        <w:rPr>
          <w:rFonts w:ascii="Trebuchet MS" w:hAnsi="Trebuchet MS"/>
          <w:b/>
          <w:bCs/>
          <w:color w:val="000000"/>
          <w:sz w:val="24"/>
          <w:szCs w:val="24"/>
          <w:lang w:val="es-ES_tradnl" w:eastAsia="es-MX"/>
        </w:rPr>
      </w:pPr>
    </w:p>
    <w:tbl>
      <w:tblPr>
        <w:tblW w:w="9537" w:type="dxa"/>
        <w:tblCellMar>
          <w:left w:w="70" w:type="dxa"/>
          <w:right w:w="70" w:type="dxa"/>
        </w:tblCellMar>
        <w:tblLook w:val="04A0" w:firstRow="1" w:lastRow="0" w:firstColumn="1" w:lastColumn="0" w:noHBand="0" w:noVBand="1"/>
      </w:tblPr>
      <w:tblGrid>
        <w:gridCol w:w="978"/>
        <w:gridCol w:w="1513"/>
        <w:gridCol w:w="1408"/>
        <w:gridCol w:w="1513"/>
        <w:gridCol w:w="1407"/>
        <w:gridCol w:w="1238"/>
        <w:gridCol w:w="1480"/>
      </w:tblGrid>
      <w:tr w:rsidR="00834C0A" w:rsidRPr="00A04585" w14:paraId="134986DD" w14:textId="77777777" w:rsidTr="00834C0A">
        <w:trPr>
          <w:trHeight w:val="596"/>
        </w:trPr>
        <w:tc>
          <w:tcPr>
            <w:tcW w:w="9537" w:type="dxa"/>
            <w:gridSpan w:val="7"/>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062D4F58" w14:textId="2CC68645"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w:b/>
                <w:bCs/>
                <w:color w:val="000000"/>
                <w:sz w:val="20"/>
                <w:szCs w:val="16"/>
                <w:lang w:eastAsia="es-MX"/>
              </w:rPr>
              <w:t>6. Distribución del financiamiento público a partidos políticos locales, para el ejercicio 2023.</w:t>
            </w:r>
          </w:p>
        </w:tc>
      </w:tr>
      <w:tr w:rsidR="00834C0A" w:rsidRPr="00A04585" w14:paraId="589D3940" w14:textId="77777777" w:rsidTr="00834C0A">
        <w:trPr>
          <w:trHeight w:val="570"/>
        </w:trPr>
        <w:tc>
          <w:tcPr>
            <w:tcW w:w="978" w:type="dxa"/>
            <w:vMerge w:val="restart"/>
            <w:tcBorders>
              <w:top w:val="nil"/>
              <w:left w:val="single" w:sz="8" w:space="0" w:color="808080"/>
              <w:bottom w:val="single" w:sz="8" w:space="0" w:color="808080"/>
              <w:right w:val="nil"/>
            </w:tcBorders>
            <w:shd w:val="clear" w:color="000000" w:fill="F2F2F2"/>
            <w:noWrap/>
            <w:vAlign w:val="center"/>
            <w:hideMark/>
          </w:tcPr>
          <w:p w14:paraId="06C77FFD"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Partido Político</w:t>
            </w:r>
          </w:p>
        </w:tc>
        <w:tc>
          <w:tcPr>
            <w:tcW w:w="2921" w:type="dxa"/>
            <w:gridSpan w:val="2"/>
            <w:tcBorders>
              <w:top w:val="nil"/>
              <w:left w:val="single" w:sz="8" w:space="0" w:color="808080"/>
              <w:bottom w:val="single" w:sz="8" w:space="0" w:color="808080"/>
              <w:right w:val="single" w:sz="8" w:space="0" w:color="808080"/>
            </w:tcBorders>
            <w:shd w:val="clear" w:color="000000" w:fill="F2F2F2"/>
            <w:vAlign w:val="center"/>
            <w:hideMark/>
          </w:tcPr>
          <w:p w14:paraId="2E85CD20"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Actividades</w:t>
            </w:r>
          </w:p>
        </w:tc>
        <w:tc>
          <w:tcPr>
            <w:tcW w:w="1513" w:type="dxa"/>
            <w:vMerge w:val="restart"/>
            <w:tcBorders>
              <w:top w:val="single" w:sz="8" w:space="0" w:color="808080"/>
              <w:left w:val="nil"/>
              <w:bottom w:val="single" w:sz="8" w:space="0" w:color="808080"/>
              <w:right w:val="single" w:sz="8" w:space="0" w:color="808080"/>
            </w:tcBorders>
            <w:shd w:val="clear" w:color="000000" w:fill="F2F2F2"/>
            <w:vAlign w:val="center"/>
            <w:hideMark/>
          </w:tcPr>
          <w:p w14:paraId="5E1B11A6"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TOTAL ANUAL </w:t>
            </w:r>
          </w:p>
        </w:tc>
        <w:tc>
          <w:tcPr>
            <w:tcW w:w="2645" w:type="dxa"/>
            <w:gridSpan w:val="2"/>
            <w:tcBorders>
              <w:top w:val="nil"/>
              <w:left w:val="nil"/>
              <w:bottom w:val="single" w:sz="8" w:space="0" w:color="808080"/>
              <w:right w:val="single" w:sz="8" w:space="0" w:color="808080"/>
            </w:tcBorders>
            <w:shd w:val="clear" w:color="000000" w:fill="F2F2F2"/>
            <w:vAlign w:val="center"/>
            <w:hideMark/>
          </w:tcPr>
          <w:p w14:paraId="4F810304"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Ministraciones Mensuales</w:t>
            </w:r>
          </w:p>
        </w:tc>
        <w:tc>
          <w:tcPr>
            <w:tcW w:w="1478" w:type="dxa"/>
            <w:vMerge w:val="restart"/>
            <w:tcBorders>
              <w:top w:val="nil"/>
              <w:left w:val="nil"/>
              <w:bottom w:val="single" w:sz="8" w:space="0" w:color="808080"/>
              <w:right w:val="single" w:sz="8" w:space="0" w:color="808080"/>
            </w:tcBorders>
            <w:shd w:val="clear" w:color="000000" w:fill="F2F2F2"/>
            <w:vAlign w:val="center"/>
            <w:hideMark/>
          </w:tcPr>
          <w:p w14:paraId="235D9802"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 xml:space="preserve">TOTAL MINISTRACIÓN MENSUAL </w:t>
            </w:r>
          </w:p>
        </w:tc>
      </w:tr>
      <w:tr w:rsidR="00834C0A" w:rsidRPr="00A04585" w14:paraId="08C13D0A" w14:textId="77777777" w:rsidTr="00834C0A">
        <w:trPr>
          <w:trHeight w:val="752"/>
        </w:trPr>
        <w:tc>
          <w:tcPr>
            <w:tcW w:w="978" w:type="dxa"/>
            <w:vMerge/>
            <w:tcBorders>
              <w:top w:val="nil"/>
              <w:left w:val="single" w:sz="8" w:space="0" w:color="808080"/>
              <w:bottom w:val="single" w:sz="8" w:space="0" w:color="808080"/>
              <w:right w:val="nil"/>
            </w:tcBorders>
            <w:vAlign w:val="center"/>
            <w:hideMark/>
          </w:tcPr>
          <w:p w14:paraId="22AA32C1" w14:textId="77777777" w:rsidR="00834C0A" w:rsidRPr="00A04585" w:rsidRDefault="00834C0A" w:rsidP="00834C0A">
            <w:pPr>
              <w:rPr>
                <w:rFonts w:ascii="Trebuchet MS" w:eastAsia="Times New Roman" w:hAnsi="Trebuchet MS" w:cs="Calibri Light"/>
                <w:b/>
                <w:bCs/>
                <w:color w:val="000000"/>
                <w:sz w:val="20"/>
                <w:szCs w:val="20"/>
                <w:lang w:eastAsia="es-MX"/>
              </w:rPr>
            </w:pPr>
          </w:p>
        </w:tc>
        <w:tc>
          <w:tcPr>
            <w:tcW w:w="1513" w:type="dxa"/>
            <w:tcBorders>
              <w:top w:val="nil"/>
              <w:left w:val="single" w:sz="8" w:space="0" w:color="808080"/>
              <w:bottom w:val="single" w:sz="8" w:space="0" w:color="808080"/>
              <w:right w:val="single" w:sz="8" w:space="0" w:color="808080"/>
            </w:tcBorders>
            <w:shd w:val="clear" w:color="000000" w:fill="F2F2F2"/>
            <w:vAlign w:val="center"/>
            <w:hideMark/>
          </w:tcPr>
          <w:p w14:paraId="7669DC2B"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 de FP Actividades Ordinarias</w:t>
            </w:r>
          </w:p>
        </w:tc>
        <w:tc>
          <w:tcPr>
            <w:tcW w:w="1408" w:type="dxa"/>
            <w:tcBorders>
              <w:top w:val="single" w:sz="8" w:space="0" w:color="808080"/>
              <w:left w:val="nil"/>
              <w:bottom w:val="single" w:sz="8" w:space="0" w:color="808080"/>
              <w:right w:val="single" w:sz="8" w:space="0" w:color="808080"/>
            </w:tcBorders>
            <w:shd w:val="clear" w:color="000000" w:fill="F2F2F2"/>
            <w:vAlign w:val="center"/>
            <w:hideMark/>
          </w:tcPr>
          <w:p w14:paraId="56305774"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 de FP Actividades Específicas</w:t>
            </w:r>
          </w:p>
        </w:tc>
        <w:tc>
          <w:tcPr>
            <w:tcW w:w="1513" w:type="dxa"/>
            <w:vMerge/>
            <w:tcBorders>
              <w:top w:val="single" w:sz="8" w:space="0" w:color="808080"/>
              <w:left w:val="nil"/>
              <w:bottom w:val="single" w:sz="8" w:space="0" w:color="808080"/>
              <w:right w:val="single" w:sz="8" w:space="0" w:color="808080"/>
            </w:tcBorders>
            <w:vAlign w:val="center"/>
            <w:hideMark/>
          </w:tcPr>
          <w:p w14:paraId="1797E478" w14:textId="77777777" w:rsidR="00834C0A" w:rsidRPr="00A04585" w:rsidRDefault="00834C0A" w:rsidP="00834C0A">
            <w:pPr>
              <w:rPr>
                <w:rFonts w:ascii="Trebuchet MS" w:eastAsia="Times New Roman" w:hAnsi="Trebuchet MS" w:cs="Calibri Light"/>
                <w:b/>
                <w:bCs/>
                <w:color w:val="000000"/>
                <w:sz w:val="20"/>
                <w:szCs w:val="20"/>
                <w:lang w:eastAsia="es-MX"/>
              </w:rPr>
            </w:pPr>
          </w:p>
        </w:tc>
        <w:tc>
          <w:tcPr>
            <w:tcW w:w="1407" w:type="dxa"/>
            <w:tcBorders>
              <w:top w:val="nil"/>
              <w:left w:val="nil"/>
              <w:bottom w:val="single" w:sz="8" w:space="0" w:color="808080"/>
              <w:right w:val="single" w:sz="8" w:space="0" w:color="808080"/>
            </w:tcBorders>
            <w:shd w:val="clear" w:color="000000" w:fill="F2F2F2"/>
            <w:vAlign w:val="center"/>
            <w:hideMark/>
          </w:tcPr>
          <w:p w14:paraId="39249594"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 de FP Actividades Ordinarias</w:t>
            </w:r>
          </w:p>
        </w:tc>
        <w:tc>
          <w:tcPr>
            <w:tcW w:w="1238" w:type="dxa"/>
            <w:tcBorders>
              <w:top w:val="single" w:sz="8" w:space="0" w:color="808080"/>
              <w:left w:val="nil"/>
              <w:bottom w:val="single" w:sz="8" w:space="0" w:color="808080"/>
              <w:right w:val="single" w:sz="8" w:space="0" w:color="808080"/>
            </w:tcBorders>
            <w:shd w:val="clear" w:color="000000" w:fill="F2F2F2"/>
            <w:vAlign w:val="center"/>
            <w:hideMark/>
          </w:tcPr>
          <w:p w14:paraId="4B8B1B44" w14:textId="77777777" w:rsidR="00834C0A" w:rsidRPr="00A04585" w:rsidRDefault="00834C0A" w:rsidP="00834C0A">
            <w:pPr>
              <w:jc w:val="center"/>
              <w:rPr>
                <w:rFonts w:ascii="Trebuchet MS" w:eastAsia="Times New Roman" w:hAnsi="Trebuchet MS" w:cs="Calibri Light"/>
                <w:b/>
                <w:bCs/>
                <w:color w:val="000000"/>
                <w:sz w:val="20"/>
                <w:szCs w:val="20"/>
                <w:lang w:eastAsia="es-MX"/>
              </w:rPr>
            </w:pPr>
            <w:r w:rsidRPr="00A04585">
              <w:rPr>
                <w:rFonts w:ascii="Trebuchet MS" w:eastAsia="Times New Roman" w:hAnsi="Trebuchet MS" w:cs="Calibri Light"/>
                <w:b/>
                <w:bCs/>
                <w:color w:val="000000"/>
                <w:sz w:val="20"/>
                <w:szCs w:val="20"/>
                <w:lang w:eastAsia="es-MX"/>
              </w:rPr>
              <w:t>Total de FP Actividades Específicas</w:t>
            </w:r>
          </w:p>
        </w:tc>
        <w:tc>
          <w:tcPr>
            <w:tcW w:w="1478" w:type="dxa"/>
            <w:vMerge/>
            <w:tcBorders>
              <w:top w:val="nil"/>
              <w:left w:val="nil"/>
              <w:bottom w:val="single" w:sz="8" w:space="0" w:color="808080"/>
              <w:right w:val="single" w:sz="8" w:space="0" w:color="808080"/>
            </w:tcBorders>
            <w:vAlign w:val="center"/>
            <w:hideMark/>
          </w:tcPr>
          <w:p w14:paraId="32A1EB00" w14:textId="77777777" w:rsidR="00834C0A" w:rsidRPr="00A04585" w:rsidRDefault="00834C0A" w:rsidP="00834C0A">
            <w:pPr>
              <w:rPr>
                <w:rFonts w:ascii="Trebuchet MS" w:eastAsia="Times New Roman" w:hAnsi="Trebuchet MS" w:cs="Calibri Light"/>
                <w:b/>
                <w:bCs/>
                <w:color w:val="000000"/>
                <w:sz w:val="20"/>
                <w:szCs w:val="20"/>
                <w:lang w:eastAsia="es-MX"/>
              </w:rPr>
            </w:pPr>
          </w:p>
        </w:tc>
      </w:tr>
      <w:tr w:rsidR="00834C0A" w:rsidRPr="00A04585" w14:paraId="5FFC7339" w14:textId="77777777" w:rsidTr="00834C0A">
        <w:trPr>
          <w:trHeight w:val="687"/>
        </w:trPr>
        <w:tc>
          <w:tcPr>
            <w:tcW w:w="978" w:type="dxa"/>
            <w:tcBorders>
              <w:top w:val="nil"/>
              <w:left w:val="single" w:sz="8" w:space="0" w:color="808080"/>
              <w:bottom w:val="single" w:sz="4" w:space="0" w:color="808080"/>
              <w:right w:val="single" w:sz="4" w:space="0" w:color="808080"/>
            </w:tcBorders>
            <w:shd w:val="clear" w:color="auto" w:fill="auto"/>
            <w:noWrap/>
            <w:vAlign w:val="center"/>
            <w:hideMark/>
          </w:tcPr>
          <w:p w14:paraId="784F5A88" w14:textId="3839C92C"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1BE75DE0" wp14:editId="65BE20DC">
                  <wp:extent cx="478465" cy="47846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HAGAMOS-150x15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294" cy="486294"/>
                          </a:xfrm>
                          <a:prstGeom prst="rect">
                            <a:avLst/>
                          </a:prstGeom>
                        </pic:spPr>
                      </pic:pic>
                    </a:graphicData>
                  </a:graphic>
                </wp:inline>
              </w:drawing>
            </w:r>
          </w:p>
        </w:tc>
        <w:tc>
          <w:tcPr>
            <w:tcW w:w="1513" w:type="dxa"/>
            <w:tcBorders>
              <w:top w:val="nil"/>
              <w:left w:val="nil"/>
              <w:bottom w:val="single" w:sz="4" w:space="0" w:color="808080"/>
              <w:right w:val="single" w:sz="4" w:space="0" w:color="808080"/>
            </w:tcBorders>
            <w:shd w:val="clear" w:color="000000" w:fill="FFFFFF"/>
            <w:vAlign w:val="center"/>
            <w:hideMark/>
          </w:tcPr>
          <w:p w14:paraId="17511290"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$31,332,121.88</w:t>
            </w:r>
          </w:p>
        </w:tc>
        <w:tc>
          <w:tcPr>
            <w:tcW w:w="1408" w:type="dxa"/>
            <w:tcBorders>
              <w:top w:val="nil"/>
              <w:left w:val="nil"/>
              <w:bottom w:val="single" w:sz="4" w:space="0" w:color="808080"/>
              <w:right w:val="single" w:sz="4" w:space="0" w:color="808080"/>
            </w:tcBorders>
            <w:shd w:val="clear" w:color="000000" w:fill="FFFFFF"/>
            <w:vAlign w:val="center"/>
            <w:hideMark/>
          </w:tcPr>
          <w:p w14:paraId="1C41DB3B"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$939,963.66</w:t>
            </w:r>
          </w:p>
        </w:tc>
        <w:tc>
          <w:tcPr>
            <w:tcW w:w="1513" w:type="dxa"/>
            <w:tcBorders>
              <w:top w:val="nil"/>
              <w:left w:val="nil"/>
              <w:bottom w:val="single" w:sz="4" w:space="0" w:color="808080"/>
              <w:right w:val="single" w:sz="4" w:space="0" w:color="808080"/>
            </w:tcBorders>
            <w:shd w:val="clear" w:color="000000" w:fill="FFFFFF"/>
            <w:vAlign w:val="center"/>
            <w:hideMark/>
          </w:tcPr>
          <w:p w14:paraId="258433C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$32,272,085.54</w:t>
            </w:r>
          </w:p>
        </w:tc>
        <w:tc>
          <w:tcPr>
            <w:tcW w:w="1407" w:type="dxa"/>
            <w:tcBorders>
              <w:top w:val="nil"/>
              <w:left w:val="nil"/>
              <w:bottom w:val="single" w:sz="4" w:space="0" w:color="808080"/>
              <w:right w:val="single" w:sz="4" w:space="0" w:color="808080"/>
            </w:tcBorders>
            <w:shd w:val="clear" w:color="000000" w:fill="FFFFFF"/>
            <w:vAlign w:val="center"/>
            <w:hideMark/>
          </w:tcPr>
          <w:p w14:paraId="5BC284B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$2,611,010.16</w:t>
            </w:r>
          </w:p>
        </w:tc>
        <w:tc>
          <w:tcPr>
            <w:tcW w:w="1238" w:type="dxa"/>
            <w:tcBorders>
              <w:top w:val="nil"/>
              <w:left w:val="nil"/>
              <w:bottom w:val="single" w:sz="4" w:space="0" w:color="808080"/>
              <w:right w:val="single" w:sz="4" w:space="0" w:color="808080"/>
            </w:tcBorders>
            <w:shd w:val="clear" w:color="000000" w:fill="FFFFFF"/>
            <w:vAlign w:val="center"/>
            <w:hideMark/>
          </w:tcPr>
          <w:p w14:paraId="50699E18"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$78,330.30</w:t>
            </w:r>
          </w:p>
        </w:tc>
        <w:tc>
          <w:tcPr>
            <w:tcW w:w="1478" w:type="dxa"/>
            <w:tcBorders>
              <w:top w:val="nil"/>
              <w:left w:val="nil"/>
              <w:bottom w:val="single" w:sz="4" w:space="0" w:color="808080"/>
              <w:right w:val="single" w:sz="8" w:space="0" w:color="808080"/>
            </w:tcBorders>
            <w:shd w:val="clear" w:color="000000" w:fill="FFFFFF"/>
            <w:vAlign w:val="center"/>
            <w:hideMark/>
          </w:tcPr>
          <w:p w14:paraId="7EE2DB1A"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$2,689,340.46</w:t>
            </w:r>
          </w:p>
        </w:tc>
      </w:tr>
      <w:tr w:rsidR="00834C0A" w:rsidRPr="00A04585" w14:paraId="37D9A88D" w14:textId="77777777" w:rsidTr="00834C0A">
        <w:trPr>
          <w:trHeight w:val="687"/>
        </w:trPr>
        <w:tc>
          <w:tcPr>
            <w:tcW w:w="978" w:type="dxa"/>
            <w:tcBorders>
              <w:top w:val="nil"/>
              <w:left w:val="single" w:sz="8" w:space="0" w:color="808080"/>
              <w:bottom w:val="single" w:sz="4" w:space="0" w:color="808080"/>
              <w:right w:val="single" w:sz="4" w:space="0" w:color="808080"/>
            </w:tcBorders>
            <w:shd w:val="clear" w:color="auto" w:fill="auto"/>
            <w:noWrap/>
            <w:vAlign w:val="center"/>
            <w:hideMark/>
          </w:tcPr>
          <w:p w14:paraId="72DD386E" w14:textId="082E86CE"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7BF63764" wp14:editId="0B90DAA5">
                  <wp:extent cx="372140" cy="372140"/>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FUTURO-150x15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140" cy="380140"/>
                          </a:xfrm>
                          <a:prstGeom prst="rect">
                            <a:avLst/>
                          </a:prstGeom>
                        </pic:spPr>
                      </pic:pic>
                    </a:graphicData>
                  </a:graphic>
                </wp:inline>
              </w:drawing>
            </w:r>
          </w:p>
        </w:tc>
        <w:tc>
          <w:tcPr>
            <w:tcW w:w="1513" w:type="dxa"/>
            <w:tcBorders>
              <w:top w:val="nil"/>
              <w:left w:val="nil"/>
              <w:bottom w:val="single" w:sz="4" w:space="0" w:color="808080"/>
              <w:right w:val="single" w:sz="4" w:space="0" w:color="808080"/>
            </w:tcBorders>
            <w:shd w:val="clear" w:color="000000" w:fill="FFFFFF"/>
            <w:vAlign w:val="center"/>
            <w:hideMark/>
          </w:tcPr>
          <w:p w14:paraId="2BCAD54A"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$29,472,321.49</w:t>
            </w:r>
          </w:p>
        </w:tc>
        <w:tc>
          <w:tcPr>
            <w:tcW w:w="1408" w:type="dxa"/>
            <w:tcBorders>
              <w:top w:val="nil"/>
              <w:left w:val="nil"/>
              <w:bottom w:val="single" w:sz="4" w:space="0" w:color="808080"/>
              <w:right w:val="single" w:sz="4" w:space="0" w:color="808080"/>
            </w:tcBorders>
            <w:shd w:val="clear" w:color="000000" w:fill="FFFFFF"/>
            <w:vAlign w:val="center"/>
            <w:hideMark/>
          </w:tcPr>
          <w:p w14:paraId="1F653F2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$884,169.64</w:t>
            </w:r>
          </w:p>
        </w:tc>
        <w:tc>
          <w:tcPr>
            <w:tcW w:w="1513" w:type="dxa"/>
            <w:tcBorders>
              <w:top w:val="nil"/>
              <w:left w:val="nil"/>
              <w:bottom w:val="single" w:sz="4" w:space="0" w:color="808080"/>
              <w:right w:val="single" w:sz="4" w:space="0" w:color="808080"/>
            </w:tcBorders>
            <w:shd w:val="clear" w:color="000000" w:fill="FFFFFF"/>
            <w:vAlign w:val="center"/>
            <w:hideMark/>
          </w:tcPr>
          <w:p w14:paraId="0A3417F5"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$30,356,491.14</w:t>
            </w:r>
          </w:p>
        </w:tc>
        <w:tc>
          <w:tcPr>
            <w:tcW w:w="1407" w:type="dxa"/>
            <w:tcBorders>
              <w:top w:val="nil"/>
              <w:left w:val="nil"/>
              <w:bottom w:val="single" w:sz="4" w:space="0" w:color="808080"/>
              <w:right w:val="single" w:sz="4" w:space="0" w:color="808080"/>
            </w:tcBorders>
            <w:shd w:val="clear" w:color="000000" w:fill="FFFFFF"/>
            <w:vAlign w:val="center"/>
            <w:hideMark/>
          </w:tcPr>
          <w:p w14:paraId="0B87B73F"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$2,456,026.79</w:t>
            </w:r>
          </w:p>
        </w:tc>
        <w:tc>
          <w:tcPr>
            <w:tcW w:w="1238" w:type="dxa"/>
            <w:tcBorders>
              <w:top w:val="nil"/>
              <w:left w:val="nil"/>
              <w:bottom w:val="single" w:sz="4" w:space="0" w:color="808080"/>
              <w:right w:val="single" w:sz="4" w:space="0" w:color="808080"/>
            </w:tcBorders>
            <w:shd w:val="clear" w:color="000000" w:fill="FFFFFF"/>
            <w:vAlign w:val="center"/>
            <w:hideMark/>
          </w:tcPr>
          <w:p w14:paraId="708DA9ED"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$73,680.80</w:t>
            </w:r>
          </w:p>
        </w:tc>
        <w:tc>
          <w:tcPr>
            <w:tcW w:w="1478" w:type="dxa"/>
            <w:tcBorders>
              <w:top w:val="nil"/>
              <w:left w:val="nil"/>
              <w:bottom w:val="single" w:sz="4" w:space="0" w:color="808080"/>
              <w:right w:val="single" w:sz="8" w:space="0" w:color="808080"/>
            </w:tcBorders>
            <w:shd w:val="clear" w:color="000000" w:fill="FFFFFF"/>
            <w:vAlign w:val="center"/>
            <w:hideMark/>
          </w:tcPr>
          <w:p w14:paraId="05BCD23A"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$2,529,707.59</w:t>
            </w:r>
          </w:p>
        </w:tc>
      </w:tr>
      <w:tr w:rsidR="00834C0A" w:rsidRPr="00A04585" w14:paraId="1B6B8E4D" w14:textId="77777777" w:rsidTr="00834C0A">
        <w:trPr>
          <w:trHeight w:val="687"/>
        </w:trPr>
        <w:tc>
          <w:tcPr>
            <w:tcW w:w="978" w:type="dxa"/>
            <w:tcBorders>
              <w:top w:val="single" w:sz="8" w:space="0" w:color="808080"/>
              <w:left w:val="single" w:sz="8" w:space="0" w:color="808080"/>
              <w:bottom w:val="single" w:sz="8" w:space="0" w:color="808080"/>
              <w:right w:val="nil"/>
            </w:tcBorders>
            <w:shd w:val="clear" w:color="000000" w:fill="F3EBF9"/>
            <w:noWrap/>
            <w:vAlign w:val="center"/>
            <w:hideMark/>
          </w:tcPr>
          <w:p w14:paraId="34240CE1" w14:textId="77777777" w:rsidR="00834C0A" w:rsidRPr="00A04585" w:rsidRDefault="00834C0A" w:rsidP="00834C0A">
            <w:pPr>
              <w:jc w:val="center"/>
              <w:rPr>
                <w:rFonts w:ascii="Trebuchet MS" w:eastAsia="Times New Roman" w:hAnsi="Trebuchet MS" w:cs="Calibri Light"/>
                <w:b/>
                <w:bCs/>
                <w:sz w:val="18"/>
                <w:szCs w:val="18"/>
                <w:lang w:eastAsia="es-MX"/>
              </w:rPr>
            </w:pPr>
            <w:r w:rsidRPr="00A04585">
              <w:rPr>
                <w:rFonts w:ascii="Trebuchet MS" w:eastAsia="Times New Roman" w:hAnsi="Trebuchet MS" w:cs="Calibri Light"/>
                <w:b/>
                <w:bCs/>
                <w:sz w:val="18"/>
                <w:szCs w:val="18"/>
                <w:lang w:eastAsia="es-MX"/>
              </w:rPr>
              <w:t>TOTAL</w:t>
            </w:r>
          </w:p>
        </w:tc>
        <w:tc>
          <w:tcPr>
            <w:tcW w:w="1513" w:type="dxa"/>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660EDD8A" w14:textId="77777777" w:rsidR="00834C0A" w:rsidRPr="00A04585" w:rsidRDefault="00834C0A" w:rsidP="00834C0A">
            <w:pPr>
              <w:jc w:val="center"/>
              <w:rPr>
                <w:rFonts w:ascii="Trebuchet MS" w:eastAsia="Times New Roman" w:hAnsi="Trebuchet MS" w:cs="Calibri Light"/>
                <w:b/>
                <w:bCs/>
                <w:sz w:val="18"/>
                <w:szCs w:val="18"/>
                <w:lang w:eastAsia="es-MX"/>
              </w:rPr>
            </w:pPr>
            <w:r w:rsidRPr="00A04585">
              <w:rPr>
                <w:rFonts w:ascii="Trebuchet MS" w:eastAsia="Times New Roman" w:hAnsi="Trebuchet MS" w:cs="Calibri Light"/>
                <w:b/>
                <w:bCs/>
                <w:sz w:val="18"/>
                <w:szCs w:val="18"/>
                <w:lang w:eastAsia="es-MX"/>
              </w:rPr>
              <w:t>$60,804,443.37</w:t>
            </w:r>
          </w:p>
        </w:tc>
        <w:tc>
          <w:tcPr>
            <w:tcW w:w="1408" w:type="dxa"/>
            <w:tcBorders>
              <w:top w:val="single" w:sz="8" w:space="0" w:color="808080"/>
              <w:left w:val="nil"/>
              <w:bottom w:val="single" w:sz="8" w:space="0" w:color="808080"/>
              <w:right w:val="single" w:sz="8" w:space="0" w:color="808080"/>
            </w:tcBorders>
            <w:shd w:val="clear" w:color="000000" w:fill="F3EBF9"/>
            <w:vAlign w:val="center"/>
            <w:hideMark/>
          </w:tcPr>
          <w:p w14:paraId="6355F41D" w14:textId="77777777" w:rsidR="00834C0A" w:rsidRPr="00A04585" w:rsidRDefault="00834C0A" w:rsidP="00834C0A">
            <w:pPr>
              <w:jc w:val="center"/>
              <w:rPr>
                <w:rFonts w:ascii="Trebuchet MS" w:eastAsia="Times New Roman" w:hAnsi="Trebuchet MS" w:cs="Calibri Light"/>
                <w:b/>
                <w:bCs/>
                <w:sz w:val="18"/>
                <w:szCs w:val="18"/>
                <w:lang w:eastAsia="es-MX"/>
              </w:rPr>
            </w:pPr>
            <w:r w:rsidRPr="00A04585">
              <w:rPr>
                <w:rFonts w:ascii="Trebuchet MS" w:eastAsia="Times New Roman" w:hAnsi="Trebuchet MS" w:cs="Calibri Light"/>
                <w:b/>
                <w:bCs/>
                <w:sz w:val="18"/>
                <w:szCs w:val="18"/>
                <w:lang w:eastAsia="es-MX"/>
              </w:rPr>
              <w:t>$1,824,133.30</w:t>
            </w:r>
          </w:p>
        </w:tc>
        <w:tc>
          <w:tcPr>
            <w:tcW w:w="1513" w:type="dxa"/>
            <w:tcBorders>
              <w:top w:val="single" w:sz="8" w:space="0" w:color="808080"/>
              <w:left w:val="nil"/>
              <w:bottom w:val="single" w:sz="8" w:space="0" w:color="808080"/>
              <w:right w:val="single" w:sz="8" w:space="0" w:color="808080"/>
            </w:tcBorders>
            <w:shd w:val="clear" w:color="000000" w:fill="F3EBF9"/>
            <w:vAlign w:val="center"/>
            <w:hideMark/>
          </w:tcPr>
          <w:p w14:paraId="7382D579" w14:textId="77777777" w:rsidR="00834C0A" w:rsidRPr="00A04585" w:rsidRDefault="00834C0A" w:rsidP="00834C0A">
            <w:pPr>
              <w:jc w:val="center"/>
              <w:rPr>
                <w:rFonts w:ascii="Trebuchet MS" w:eastAsia="Times New Roman" w:hAnsi="Trebuchet MS" w:cs="Calibri Light"/>
                <w:b/>
                <w:bCs/>
                <w:sz w:val="18"/>
                <w:szCs w:val="18"/>
                <w:lang w:eastAsia="es-MX"/>
              </w:rPr>
            </w:pPr>
            <w:r w:rsidRPr="00A04585">
              <w:rPr>
                <w:rFonts w:ascii="Trebuchet MS" w:eastAsia="Times New Roman" w:hAnsi="Trebuchet MS" w:cs="Calibri Light"/>
                <w:b/>
                <w:bCs/>
                <w:sz w:val="18"/>
                <w:szCs w:val="18"/>
                <w:lang w:eastAsia="es-MX"/>
              </w:rPr>
              <w:t>$62,628,576.67</w:t>
            </w:r>
          </w:p>
        </w:tc>
        <w:tc>
          <w:tcPr>
            <w:tcW w:w="1407" w:type="dxa"/>
            <w:tcBorders>
              <w:top w:val="single" w:sz="8" w:space="0" w:color="808080"/>
              <w:left w:val="nil"/>
              <w:bottom w:val="single" w:sz="8" w:space="0" w:color="808080"/>
              <w:right w:val="single" w:sz="8" w:space="0" w:color="808080"/>
            </w:tcBorders>
            <w:shd w:val="clear" w:color="000000" w:fill="F3EBF9"/>
            <w:vAlign w:val="center"/>
            <w:hideMark/>
          </w:tcPr>
          <w:p w14:paraId="7D447418" w14:textId="77777777" w:rsidR="00834C0A" w:rsidRPr="00A04585" w:rsidRDefault="00834C0A" w:rsidP="00834C0A">
            <w:pPr>
              <w:jc w:val="center"/>
              <w:rPr>
                <w:rFonts w:ascii="Trebuchet MS" w:eastAsia="Times New Roman" w:hAnsi="Trebuchet MS" w:cs="Calibri Light"/>
                <w:b/>
                <w:bCs/>
                <w:sz w:val="18"/>
                <w:szCs w:val="18"/>
                <w:lang w:eastAsia="es-MX"/>
              </w:rPr>
            </w:pPr>
            <w:r w:rsidRPr="00A04585">
              <w:rPr>
                <w:rFonts w:ascii="Trebuchet MS" w:eastAsia="Times New Roman" w:hAnsi="Trebuchet MS" w:cs="Calibri Light"/>
                <w:b/>
                <w:bCs/>
                <w:sz w:val="18"/>
                <w:szCs w:val="18"/>
                <w:lang w:eastAsia="es-MX"/>
              </w:rPr>
              <w:t>$5,067,036.95</w:t>
            </w:r>
          </w:p>
        </w:tc>
        <w:tc>
          <w:tcPr>
            <w:tcW w:w="1238" w:type="dxa"/>
            <w:tcBorders>
              <w:top w:val="single" w:sz="8" w:space="0" w:color="808080"/>
              <w:left w:val="nil"/>
              <w:bottom w:val="single" w:sz="8" w:space="0" w:color="808080"/>
              <w:right w:val="single" w:sz="8" w:space="0" w:color="808080"/>
            </w:tcBorders>
            <w:shd w:val="clear" w:color="000000" w:fill="F3EBF9"/>
            <w:vAlign w:val="center"/>
            <w:hideMark/>
          </w:tcPr>
          <w:p w14:paraId="4626C7B6" w14:textId="77777777" w:rsidR="00834C0A" w:rsidRPr="00A04585" w:rsidRDefault="00834C0A" w:rsidP="00834C0A">
            <w:pPr>
              <w:jc w:val="center"/>
              <w:rPr>
                <w:rFonts w:ascii="Trebuchet MS" w:eastAsia="Times New Roman" w:hAnsi="Trebuchet MS" w:cs="Calibri Light"/>
                <w:b/>
                <w:bCs/>
                <w:sz w:val="18"/>
                <w:szCs w:val="18"/>
                <w:lang w:eastAsia="es-MX"/>
              </w:rPr>
            </w:pPr>
            <w:r w:rsidRPr="00A04585">
              <w:rPr>
                <w:rFonts w:ascii="Trebuchet MS" w:eastAsia="Times New Roman" w:hAnsi="Trebuchet MS" w:cs="Calibri Light"/>
                <w:b/>
                <w:bCs/>
                <w:sz w:val="18"/>
                <w:szCs w:val="18"/>
                <w:lang w:eastAsia="es-MX"/>
              </w:rPr>
              <w:t>$152,011.11</w:t>
            </w:r>
          </w:p>
        </w:tc>
        <w:tc>
          <w:tcPr>
            <w:tcW w:w="1478" w:type="dxa"/>
            <w:tcBorders>
              <w:top w:val="single" w:sz="8" w:space="0" w:color="808080"/>
              <w:left w:val="nil"/>
              <w:bottom w:val="single" w:sz="8" w:space="0" w:color="808080"/>
              <w:right w:val="single" w:sz="8" w:space="0" w:color="808080"/>
            </w:tcBorders>
            <w:shd w:val="clear" w:color="000000" w:fill="F3EBF9"/>
            <w:vAlign w:val="center"/>
            <w:hideMark/>
          </w:tcPr>
          <w:p w14:paraId="58C868DB" w14:textId="77777777" w:rsidR="00834C0A" w:rsidRPr="00A04585" w:rsidRDefault="00834C0A" w:rsidP="00834C0A">
            <w:pPr>
              <w:jc w:val="center"/>
              <w:rPr>
                <w:rFonts w:ascii="Trebuchet MS" w:eastAsia="Times New Roman" w:hAnsi="Trebuchet MS" w:cs="Calibri Light"/>
                <w:b/>
                <w:bCs/>
                <w:sz w:val="18"/>
                <w:szCs w:val="18"/>
                <w:lang w:eastAsia="es-MX"/>
              </w:rPr>
            </w:pPr>
            <w:r w:rsidRPr="00A04585">
              <w:rPr>
                <w:rFonts w:ascii="Trebuchet MS" w:eastAsia="Times New Roman" w:hAnsi="Trebuchet MS" w:cs="Calibri Light"/>
                <w:b/>
                <w:bCs/>
                <w:sz w:val="18"/>
                <w:szCs w:val="18"/>
                <w:lang w:eastAsia="es-MX"/>
              </w:rPr>
              <w:t>$5,219,048.06</w:t>
            </w:r>
          </w:p>
        </w:tc>
      </w:tr>
    </w:tbl>
    <w:p w14:paraId="65F86A3F" w14:textId="5DB03749" w:rsidR="00685284" w:rsidRPr="00242547" w:rsidRDefault="00685284" w:rsidP="002E7CFF">
      <w:pPr>
        <w:pStyle w:val="Sinespaciado"/>
        <w:jc w:val="both"/>
        <w:rPr>
          <w:rFonts w:ascii="Trebuchet MS" w:hAnsi="Trebuchet MS"/>
          <w:b/>
          <w:bCs/>
          <w:color w:val="000000"/>
          <w:sz w:val="24"/>
          <w:szCs w:val="24"/>
          <w:lang w:val="es-ES_tradnl" w:eastAsia="es-MX"/>
        </w:rPr>
      </w:pPr>
    </w:p>
    <w:p w14:paraId="4C074AD0" w14:textId="6700F028" w:rsidR="00770F3E" w:rsidRPr="00242547" w:rsidRDefault="00770F3E" w:rsidP="002E7CFF">
      <w:pPr>
        <w:pStyle w:val="Sinespaciado"/>
        <w:jc w:val="both"/>
        <w:rPr>
          <w:rFonts w:ascii="Trebuchet MS" w:hAnsi="Trebuchet MS"/>
          <w:color w:val="000000"/>
          <w:sz w:val="24"/>
          <w:szCs w:val="24"/>
          <w:lang w:val="es-ES_tradnl" w:eastAsia="es-MX"/>
        </w:rPr>
      </w:pPr>
    </w:p>
    <w:p w14:paraId="208EFF23" w14:textId="4E1DFB9E" w:rsidR="00770F3E" w:rsidRPr="00A04585" w:rsidRDefault="00770F3E" w:rsidP="002E7CFF">
      <w:pPr>
        <w:pStyle w:val="Sinespaciado"/>
        <w:jc w:val="both"/>
        <w:rPr>
          <w:rFonts w:ascii="Trebuchet MS" w:hAnsi="Trebuchet MS"/>
          <w:color w:val="000000"/>
          <w:sz w:val="24"/>
          <w:szCs w:val="24"/>
          <w:lang w:val="es-ES_tradnl" w:eastAsia="es-MX"/>
        </w:rPr>
      </w:pPr>
      <w:r w:rsidRPr="00A04585">
        <w:rPr>
          <w:rFonts w:ascii="Trebuchet MS" w:hAnsi="Trebuchet MS"/>
          <w:b/>
          <w:color w:val="000000"/>
          <w:sz w:val="24"/>
          <w:szCs w:val="24"/>
          <w:lang w:val="es-ES_tradnl" w:eastAsia="es-MX"/>
        </w:rPr>
        <w:t xml:space="preserve">C. Monto total de financiamiento que corresponde a los partidos políticos para el ejercicio </w:t>
      </w:r>
      <w:r w:rsidR="00834C0A" w:rsidRPr="00A04585">
        <w:rPr>
          <w:rFonts w:ascii="Trebuchet MS" w:hAnsi="Trebuchet MS"/>
          <w:b/>
          <w:color w:val="000000"/>
          <w:sz w:val="24"/>
          <w:szCs w:val="24"/>
          <w:lang w:val="es-ES_tradnl" w:eastAsia="es-MX"/>
        </w:rPr>
        <w:t>dos mil veintitrés</w:t>
      </w:r>
      <w:r w:rsidRPr="00A04585">
        <w:rPr>
          <w:rFonts w:ascii="Trebuchet MS" w:hAnsi="Trebuchet MS"/>
          <w:b/>
          <w:color w:val="000000"/>
          <w:sz w:val="24"/>
          <w:szCs w:val="24"/>
          <w:lang w:val="es-ES_tradnl" w:eastAsia="es-MX"/>
        </w:rPr>
        <w:t xml:space="preserve">. </w:t>
      </w:r>
      <w:r w:rsidRPr="00A04585">
        <w:rPr>
          <w:rFonts w:ascii="Trebuchet MS" w:hAnsi="Trebuchet MS"/>
          <w:color w:val="000000"/>
          <w:sz w:val="24"/>
          <w:szCs w:val="24"/>
          <w:lang w:val="es-ES_tradnl" w:eastAsia="es-MX"/>
        </w:rPr>
        <w:t>A continuación, se inserta un cuadro en que se determina, con base en lo expresado en los considerandos precedentes, el monto que cada partido político nacional y local debe recibir de financiamiento local, para actividades permanentes y específicas, así como el importe correspondiente a la suma de ambas cantidades en el año, además de la cantidad que debe otorgarse en cada una de las ministraciones mensuales, desagregada por tipo de financiamiento, así como la sumatoria total de cada periodo mensual.</w:t>
      </w:r>
    </w:p>
    <w:p w14:paraId="52FB6E5A" w14:textId="77777777" w:rsidR="00381031" w:rsidRPr="00A04585" w:rsidRDefault="00381031" w:rsidP="002E7CFF">
      <w:pPr>
        <w:pStyle w:val="Sinespaciado"/>
        <w:jc w:val="both"/>
        <w:rPr>
          <w:rFonts w:ascii="Trebuchet MS" w:hAnsi="Trebuchet MS"/>
          <w:color w:val="000000"/>
          <w:sz w:val="24"/>
          <w:szCs w:val="24"/>
          <w:lang w:val="es-ES_tradnl" w:eastAsia="es-MX"/>
        </w:rPr>
      </w:pPr>
    </w:p>
    <w:p w14:paraId="57A8EDE3" w14:textId="77777777" w:rsidR="00770F3E" w:rsidRPr="00242547" w:rsidRDefault="00770F3E" w:rsidP="002E7CFF">
      <w:pPr>
        <w:pStyle w:val="Sinespaciado"/>
        <w:jc w:val="both"/>
        <w:rPr>
          <w:rFonts w:ascii="Trebuchet MS" w:hAnsi="Trebuchet MS"/>
          <w:b/>
          <w:bCs/>
          <w:color w:val="000000"/>
          <w:sz w:val="24"/>
          <w:szCs w:val="24"/>
          <w:lang w:val="es-ES_tradnl" w:eastAsia="es-MX"/>
        </w:rPr>
      </w:pPr>
    </w:p>
    <w:p w14:paraId="0E679CA7" w14:textId="77777777" w:rsidR="00381031" w:rsidRPr="00242547" w:rsidRDefault="00381031" w:rsidP="002E7CFF">
      <w:pPr>
        <w:pStyle w:val="Sinespaciado"/>
        <w:jc w:val="both"/>
        <w:rPr>
          <w:rFonts w:ascii="Trebuchet MS" w:hAnsi="Trebuchet MS"/>
          <w:b/>
          <w:bCs/>
          <w:color w:val="000000"/>
          <w:sz w:val="24"/>
          <w:szCs w:val="24"/>
          <w:lang w:val="es-ES_tradnl" w:eastAsia="es-MX"/>
        </w:rPr>
      </w:pPr>
    </w:p>
    <w:tbl>
      <w:tblPr>
        <w:tblW w:w="10032" w:type="dxa"/>
        <w:tblInd w:w="-436" w:type="dxa"/>
        <w:tblCellMar>
          <w:left w:w="70" w:type="dxa"/>
          <w:right w:w="70" w:type="dxa"/>
        </w:tblCellMar>
        <w:tblLook w:val="04A0" w:firstRow="1" w:lastRow="0" w:firstColumn="1" w:lastColumn="0" w:noHBand="0" w:noVBand="1"/>
      </w:tblPr>
      <w:tblGrid>
        <w:gridCol w:w="963"/>
        <w:gridCol w:w="1604"/>
        <w:gridCol w:w="1393"/>
        <w:gridCol w:w="1604"/>
        <w:gridCol w:w="1499"/>
        <w:gridCol w:w="1483"/>
        <w:gridCol w:w="1499"/>
      </w:tblGrid>
      <w:tr w:rsidR="005E1EC7" w:rsidRPr="00A04585" w14:paraId="347E94AC" w14:textId="77777777" w:rsidTr="005E1EC7">
        <w:trPr>
          <w:trHeight w:val="669"/>
        </w:trPr>
        <w:tc>
          <w:tcPr>
            <w:tcW w:w="10032" w:type="dxa"/>
            <w:gridSpan w:val="7"/>
            <w:tcBorders>
              <w:top w:val="single" w:sz="8" w:space="0" w:color="808080"/>
              <w:left w:val="single" w:sz="8" w:space="0" w:color="808080"/>
              <w:bottom w:val="single" w:sz="8" w:space="0" w:color="808080"/>
              <w:right w:val="single" w:sz="8" w:space="0" w:color="808080"/>
            </w:tcBorders>
            <w:shd w:val="clear" w:color="000000" w:fill="F3EBF9"/>
            <w:vAlign w:val="center"/>
            <w:hideMark/>
          </w:tcPr>
          <w:p w14:paraId="2E98BC5A" w14:textId="77777777" w:rsidR="00834C0A" w:rsidRPr="00A04585" w:rsidRDefault="00834C0A" w:rsidP="00834C0A">
            <w:pPr>
              <w:jc w:val="center"/>
              <w:rPr>
                <w:rFonts w:ascii="Trebuchet MS" w:eastAsia="Times New Roman" w:hAnsi="Trebuchet MS" w:cs="Calibri Light"/>
                <w:b/>
                <w:bCs/>
                <w:color w:val="000000"/>
                <w:sz w:val="20"/>
                <w:szCs w:val="18"/>
                <w:lang w:eastAsia="es-MX"/>
              </w:rPr>
            </w:pPr>
            <w:r w:rsidRPr="00A04585">
              <w:rPr>
                <w:rFonts w:ascii="Trebuchet MS" w:eastAsia="Times New Roman" w:hAnsi="Trebuchet MS" w:cs="Calibri Light"/>
                <w:b/>
                <w:bCs/>
                <w:color w:val="000000"/>
                <w:sz w:val="20"/>
                <w:szCs w:val="18"/>
                <w:lang w:eastAsia="es-MX"/>
              </w:rPr>
              <w:t>7. Distribución del financiamiento público local a partidos políticos, ejercicio 2023.</w:t>
            </w:r>
          </w:p>
        </w:tc>
      </w:tr>
      <w:tr w:rsidR="005E1EC7" w:rsidRPr="00A04585" w14:paraId="5B6E5B0C" w14:textId="77777777" w:rsidTr="005E1EC7">
        <w:trPr>
          <w:trHeight w:val="324"/>
        </w:trPr>
        <w:tc>
          <w:tcPr>
            <w:tcW w:w="963" w:type="dxa"/>
            <w:vMerge w:val="restart"/>
            <w:tcBorders>
              <w:top w:val="nil"/>
              <w:left w:val="single" w:sz="8" w:space="0" w:color="808080"/>
              <w:bottom w:val="single" w:sz="8" w:space="0" w:color="808080"/>
              <w:right w:val="nil"/>
            </w:tcBorders>
            <w:shd w:val="clear" w:color="000000" w:fill="F2F2F2"/>
            <w:noWrap/>
            <w:vAlign w:val="center"/>
            <w:hideMark/>
          </w:tcPr>
          <w:p w14:paraId="771A6B5D" w14:textId="77777777" w:rsidR="00834C0A" w:rsidRPr="00A04585" w:rsidRDefault="00834C0A" w:rsidP="00834C0A">
            <w:pPr>
              <w:jc w:val="center"/>
              <w:rPr>
                <w:rFonts w:ascii="Trebuchet MS" w:eastAsia="Times New Roman" w:hAnsi="Trebuchet MS" w:cs="Calibri Light"/>
                <w:b/>
                <w:bCs/>
                <w:color w:val="000000"/>
                <w:sz w:val="20"/>
                <w:szCs w:val="18"/>
                <w:lang w:eastAsia="es-MX"/>
              </w:rPr>
            </w:pPr>
            <w:r w:rsidRPr="00A04585">
              <w:rPr>
                <w:rFonts w:ascii="Trebuchet MS" w:eastAsia="Times New Roman" w:hAnsi="Trebuchet MS" w:cs="Calibri Light"/>
                <w:b/>
                <w:bCs/>
                <w:color w:val="000000"/>
                <w:sz w:val="20"/>
                <w:szCs w:val="18"/>
                <w:lang w:eastAsia="es-MX"/>
              </w:rPr>
              <w:t>Partido Político</w:t>
            </w:r>
          </w:p>
        </w:tc>
        <w:tc>
          <w:tcPr>
            <w:tcW w:w="2991" w:type="dxa"/>
            <w:gridSpan w:val="2"/>
            <w:tcBorders>
              <w:top w:val="nil"/>
              <w:left w:val="single" w:sz="8" w:space="0" w:color="808080"/>
              <w:bottom w:val="single" w:sz="8" w:space="0" w:color="808080"/>
              <w:right w:val="single" w:sz="8" w:space="0" w:color="808080"/>
            </w:tcBorders>
            <w:shd w:val="clear" w:color="000000" w:fill="F2F2F2"/>
            <w:vAlign w:val="center"/>
            <w:hideMark/>
          </w:tcPr>
          <w:p w14:paraId="4B95C9AB" w14:textId="77777777" w:rsidR="00834C0A" w:rsidRPr="00A04585" w:rsidRDefault="00834C0A" w:rsidP="00834C0A">
            <w:pPr>
              <w:jc w:val="center"/>
              <w:rPr>
                <w:rFonts w:ascii="Trebuchet MS" w:eastAsia="Times New Roman" w:hAnsi="Trebuchet MS" w:cs="Calibri Light"/>
                <w:b/>
                <w:bCs/>
                <w:color w:val="000000"/>
                <w:sz w:val="20"/>
                <w:szCs w:val="18"/>
                <w:lang w:eastAsia="es-MX"/>
              </w:rPr>
            </w:pPr>
            <w:r w:rsidRPr="00A04585">
              <w:rPr>
                <w:rFonts w:ascii="Trebuchet MS" w:eastAsia="Times New Roman" w:hAnsi="Trebuchet MS" w:cs="Calibri Light"/>
                <w:b/>
                <w:bCs/>
                <w:color w:val="000000"/>
                <w:sz w:val="20"/>
                <w:szCs w:val="18"/>
                <w:lang w:eastAsia="es-MX"/>
              </w:rPr>
              <w:t>Actividades</w:t>
            </w:r>
          </w:p>
        </w:tc>
        <w:tc>
          <w:tcPr>
            <w:tcW w:w="1601" w:type="dxa"/>
            <w:vMerge w:val="restart"/>
            <w:tcBorders>
              <w:top w:val="nil"/>
              <w:left w:val="nil"/>
              <w:bottom w:val="single" w:sz="8" w:space="0" w:color="808080"/>
              <w:right w:val="single" w:sz="4" w:space="0" w:color="808080"/>
            </w:tcBorders>
            <w:shd w:val="clear" w:color="000000" w:fill="F2F2F2"/>
            <w:vAlign w:val="center"/>
            <w:hideMark/>
          </w:tcPr>
          <w:p w14:paraId="4C667AC4" w14:textId="77777777" w:rsidR="00834C0A" w:rsidRPr="00A04585" w:rsidRDefault="00834C0A" w:rsidP="00834C0A">
            <w:pPr>
              <w:jc w:val="center"/>
              <w:rPr>
                <w:rFonts w:ascii="Trebuchet MS" w:eastAsia="Times New Roman" w:hAnsi="Trebuchet MS" w:cs="Calibri Light"/>
                <w:b/>
                <w:bCs/>
                <w:color w:val="000000"/>
                <w:sz w:val="20"/>
                <w:szCs w:val="18"/>
                <w:lang w:eastAsia="es-MX"/>
              </w:rPr>
            </w:pPr>
            <w:r w:rsidRPr="00A04585">
              <w:rPr>
                <w:rFonts w:ascii="Trebuchet MS" w:eastAsia="Times New Roman" w:hAnsi="Trebuchet MS" w:cs="Calibri Light"/>
                <w:b/>
                <w:bCs/>
                <w:color w:val="000000"/>
                <w:sz w:val="20"/>
                <w:szCs w:val="18"/>
                <w:lang w:eastAsia="es-MX"/>
              </w:rPr>
              <w:t xml:space="preserve">TOTAL ANUAL </w:t>
            </w:r>
          </w:p>
        </w:tc>
        <w:tc>
          <w:tcPr>
            <w:tcW w:w="2979" w:type="dxa"/>
            <w:gridSpan w:val="2"/>
            <w:tcBorders>
              <w:top w:val="nil"/>
              <w:left w:val="single" w:sz="8" w:space="0" w:color="808080"/>
              <w:bottom w:val="single" w:sz="8" w:space="0" w:color="808080"/>
              <w:right w:val="single" w:sz="8" w:space="0" w:color="808080"/>
            </w:tcBorders>
            <w:shd w:val="clear" w:color="000000" w:fill="F2F2F2"/>
            <w:vAlign w:val="center"/>
            <w:hideMark/>
          </w:tcPr>
          <w:p w14:paraId="12807C49" w14:textId="77777777" w:rsidR="00834C0A" w:rsidRPr="00A04585" w:rsidRDefault="00834C0A" w:rsidP="00834C0A">
            <w:pPr>
              <w:jc w:val="center"/>
              <w:rPr>
                <w:rFonts w:ascii="Trebuchet MS" w:eastAsia="Times New Roman" w:hAnsi="Trebuchet MS" w:cs="Calibri Light"/>
                <w:b/>
                <w:bCs/>
                <w:color w:val="000000"/>
                <w:sz w:val="20"/>
                <w:szCs w:val="18"/>
                <w:lang w:eastAsia="es-MX"/>
              </w:rPr>
            </w:pPr>
            <w:r w:rsidRPr="00A04585">
              <w:rPr>
                <w:rFonts w:ascii="Trebuchet MS" w:eastAsia="Times New Roman" w:hAnsi="Trebuchet MS" w:cs="Calibri Light"/>
                <w:b/>
                <w:bCs/>
                <w:color w:val="000000"/>
                <w:sz w:val="20"/>
                <w:szCs w:val="18"/>
                <w:lang w:eastAsia="es-MX"/>
              </w:rPr>
              <w:t>Ministraciones Mensuales</w:t>
            </w:r>
          </w:p>
        </w:tc>
        <w:tc>
          <w:tcPr>
            <w:tcW w:w="1496" w:type="dxa"/>
            <w:vMerge w:val="restart"/>
            <w:tcBorders>
              <w:top w:val="nil"/>
              <w:left w:val="nil"/>
              <w:bottom w:val="single" w:sz="8" w:space="0" w:color="808080"/>
              <w:right w:val="single" w:sz="8" w:space="0" w:color="808080"/>
            </w:tcBorders>
            <w:shd w:val="clear" w:color="000000" w:fill="F2F2F2"/>
            <w:vAlign w:val="center"/>
            <w:hideMark/>
          </w:tcPr>
          <w:p w14:paraId="662CB025" w14:textId="77777777" w:rsidR="00834C0A" w:rsidRPr="00A04585" w:rsidRDefault="00834C0A" w:rsidP="00834C0A">
            <w:pPr>
              <w:jc w:val="center"/>
              <w:rPr>
                <w:rFonts w:ascii="Trebuchet MS" w:eastAsia="Times New Roman" w:hAnsi="Trebuchet MS" w:cs="Calibri Light"/>
                <w:b/>
                <w:bCs/>
                <w:color w:val="000000"/>
                <w:sz w:val="20"/>
                <w:szCs w:val="18"/>
                <w:lang w:eastAsia="es-MX"/>
              </w:rPr>
            </w:pPr>
            <w:r w:rsidRPr="00A04585">
              <w:rPr>
                <w:rFonts w:ascii="Trebuchet MS" w:eastAsia="Times New Roman" w:hAnsi="Trebuchet MS" w:cs="Calibri Light"/>
                <w:b/>
                <w:bCs/>
                <w:color w:val="000000"/>
                <w:sz w:val="20"/>
                <w:szCs w:val="18"/>
                <w:lang w:eastAsia="es-MX"/>
              </w:rPr>
              <w:t xml:space="preserve">TOTAL MINISTRACIÓN MENSUAL </w:t>
            </w:r>
          </w:p>
        </w:tc>
      </w:tr>
      <w:tr w:rsidR="005E1EC7" w:rsidRPr="00A04585" w14:paraId="385C4537" w14:textId="77777777" w:rsidTr="005E1EC7">
        <w:trPr>
          <w:trHeight w:val="944"/>
        </w:trPr>
        <w:tc>
          <w:tcPr>
            <w:tcW w:w="963" w:type="dxa"/>
            <w:vMerge/>
            <w:tcBorders>
              <w:top w:val="nil"/>
              <w:left w:val="single" w:sz="8" w:space="0" w:color="808080"/>
              <w:bottom w:val="single" w:sz="8" w:space="0" w:color="808080"/>
              <w:right w:val="nil"/>
            </w:tcBorders>
            <w:vAlign w:val="center"/>
            <w:hideMark/>
          </w:tcPr>
          <w:p w14:paraId="33A7D2DF" w14:textId="77777777" w:rsidR="00834C0A" w:rsidRPr="00A04585" w:rsidRDefault="00834C0A" w:rsidP="00834C0A">
            <w:pPr>
              <w:rPr>
                <w:rFonts w:ascii="Trebuchet MS" w:eastAsia="Times New Roman" w:hAnsi="Trebuchet MS" w:cs="Calibri Light"/>
                <w:b/>
                <w:bCs/>
                <w:color w:val="000000"/>
                <w:sz w:val="18"/>
                <w:szCs w:val="18"/>
                <w:lang w:eastAsia="es-MX"/>
              </w:rPr>
            </w:pPr>
          </w:p>
        </w:tc>
        <w:tc>
          <w:tcPr>
            <w:tcW w:w="1601" w:type="dxa"/>
            <w:tcBorders>
              <w:top w:val="nil"/>
              <w:left w:val="single" w:sz="8" w:space="0" w:color="808080"/>
              <w:bottom w:val="single" w:sz="8" w:space="0" w:color="808080"/>
              <w:right w:val="single" w:sz="8" w:space="0" w:color="808080"/>
            </w:tcBorders>
            <w:shd w:val="clear" w:color="000000" w:fill="F2F2F2"/>
            <w:vAlign w:val="center"/>
            <w:hideMark/>
          </w:tcPr>
          <w:p w14:paraId="485183FC"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Total de FP Actividades Ordinarias</w:t>
            </w:r>
          </w:p>
        </w:tc>
        <w:tc>
          <w:tcPr>
            <w:tcW w:w="1390" w:type="dxa"/>
            <w:tcBorders>
              <w:top w:val="single" w:sz="8" w:space="0" w:color="808080"/>
              <w:left w:val="nil"/>
              <w:bottom w:val="single" w:sz="8" w:space="0" w:color="808080"/>
              <w:right w:val="single" w:sz="8" w:space="0" w:color="808080"/>
            </w:tcBorders>
            <w:shd w:val="clear" w:color="000000" w:fill="F2F2F2"/>
            <w:vAlign w:val="center"/>
            <w:hideMark/>
          </w:tcPr>
          <w:p w14:paraId="7A41459E"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Total de FP Actividades Específicas</w:t>
            </w:r>
          </w:p>
        </w:tc>
        <w:tc>
          <w:tcPr>
            <w:tcW w:w="1601" w:type="dxa"/>
            <w:vMerge/>
            <w:tcBorders>
              <w:top w:val="nil"/>
              <w:left w:val="nil"/>
              <w:bottom w:val="single" w:sz="8" w:space="0" w:color="808080"/>
              <w:right w:val="single" w:sz="4" w:space="0" w:color="808080"/>
            </w:tcBorders>
            <w:vAlign w:val="center"/>
            <w:hideMark/>
          </w:tcPr>
          <w:p w14:paraId="3518ADE5" w14:textId="77777777" w:rsidR="00834C0A" w:rsidRPr="00A04585" w:rsidRDefault="00834C0A" w:rsidP="00834C0A">
            <w:pPr>
              <w:rPr>
                <w:rFonts w:ascii="Trebuchet MS" w:eastAsia="Times New Roman" w:hAnsi="Trebuchet MS" w:cs="Calibri Light"/>
                <w:b/>
                <w:bCs/>
                <w:color w:val="000000"/>
                <w:sz w:val="18"/>
                <w:szCs w:val="18"/>
                <w:lang w:eastAsia="es-MX"/>
              </w:rPr>
            </w:pPr>
          </w:p>
        </w:tc>
        <w:tc>
          <w:tcPr>
            <w:tcW w:w="1496" w:type="dxa"/>
            <w:tcBorders>
              <w:top w:val="nil"/>
              <w:left w:val="single" w:sz="8" w:space="0" w:color="808080"/>
              <w:bottom w:val="single" w:sz="8" w:space="0" w:color="808080"/>
              <w:right w:val="single" w:sz="8" w:space="0" w:color="808080"/>
            </w:tcBorders>
            <w:shd w:val="clear" w:color="000000" w:fill="F2F2F2"/>
            <w:vAlign w:val="center"/>
            <w:hideMark/>
          </w:tcPr>
          <w:p w14:paraId="0ED3E876"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Total de FP Actividades Ordinarias</w:t>
            </w:r>
          </w:p>
        </w:tc>
        <w:tc>
          <w:tcPr>
            <w:tcW w:w="1483" w:type="dxa"/>
            <w:tcBorders>
              <w:top w:val="single" w:sz="8" w:space="0" w:color="808080"/>
              <w:left w:val="nil"/>
              <w:bottom w:val="single" w:sz="8" w:space="0" w:color="808080"/>
              <w:right w:val="single" w:sz="8" w:space="0" w:color="808080"/>
            </w:tcBorders>
            <w:shd w:val="clear" w:color="000000" w:fill="F2F2F2"/>
            <w:vAlign w:val="center"/>
            <w:hideMark/>
          </w:tcPr>
          <w:p w14:paraId="7289A82B"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Total de FP Actividades Específicas</w:t>
            </w:r>
          </w:p>
        </w:tc>
        <w:tc>
          <w:tcPr>
            <w:tcW w:w="1496" w:type="dxa"/>
            <w:vMerge/>
            <w:tcBorders>
              <w:top w:val="nil"/>
              <w:left w:val="nil"/>
              <w:bottom w:val="single" w:sz="8" w:space="0" w:color="808080"/>
              <w:right w:val="single" w:sz="8" w:space="0" w:color="808080"/>
            </w:tcBorders>
            <w:vAlign w:val="center"/>
            <w:hideMark/>
          </w:tcPr>
          <w:p w14:paraId="26056765" w14:textId="77777777" w:rsidR="00834C0A" w:rsidRPr="00A04585" w:rsidRDefault="00834C0A" w:rsidP="00834C0A">
            <w:pPr>
              <w:rPr>
                <w:rFonts w:ascii="Trebuchet MS" w:eastAsia="Times New Roman" w:hAnsi="Trebuchet MS" w:cs="Calibri Light"/>
                <w:b/>
                <w:bCs/>
                <w:color w:val="000000"/>
                <w:sz w:val="18"/>
                <w:szCs w:val="18"/>
                <w:lang w:eastAsia="es-MX"/>
              </w:rPr>
            </w:pPr>
          </w:p>
        </w:tc>
      </w:tr>
      <w:tr w:rsidR="005E1EC7" w:rsidRPr="00A04585" w14:paraId="4825807E" w14:textId="77777777" w:rsidTr="005E1EC7">
        <w:trPr>
          <w:trHeight w:val="829"/>
        </w:trPr>
        <w:tc>
          <w:tcPr>
            <w:tcW w:w="963" w:type="dxa"/>
            <w:tcBorders>
              <w:top w:val="nil"/>
              <w:left w:val="single" w:sz="8" w:space="0" w:color="808080"/>
              <w:bottom w:val="single" w:sz="4" w:space="0" w:color="808080"/>
              <w:right w:val="nil"/>
            </w:tcBorders>
            <w:shd w:val="clear" w:color="auto" w:fill="auto"/>
            <w:noWrap/>
            <w:vAlign w:val="center"/>
            <w:hideMark/>
          </w:tcPr>
          <w:p w14:paraId="46D8194F" w14:textId="1E9BD956" w:rsidR="00834C0A" w:rsidRPr="00A04585" w:rsidRDefault="005E1EC7"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5BED8438" wp14:editId="406FD559">
                  <wp:extent cx="457200" cy="457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1-PAN-150x15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8111" cy="468111"/>
                          </a:xfrm>
                          <a:prstGeom prst="rect">
                            <a:avLst/>
                          </a:prstGeom>
                        </pic:spPr>
                      </pic:pic>
                    </a:graphicData>
                  </a:graphic>
                </wp:inline>
              </w:drawing>
            </w:r>
          </w:p>
        </w:tc>
        <w:tc>
          <w:tcPr>
            <w:tcW w:w="160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B4FCCBB"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$16,964,213.93</w:t>
            </w:r>
          </w:p>
        </w:tc>
        <w:tc>
          <w:tcPr>
            <w:tcW w:w="1390" w:type="dxa"/>
            <w:tcBorders>
              <w:top w:val="nil"/>
              <w:left w:val="nil"/>
              <w:bottom w:val="single" w:sz="4" w:space="0" w:color="808080"/>
              <w:right w:val="single" w:sz="4" w:space="0" w:color="808080"/>
            </w:tcBorders>
            <w:shd w:val="clear" w:color="auto" w:fill="auto"/>
            <w:vAlign w:val="center"/>
            <w:hideMark/>
          </w:tcPr>
          <w:p w14:paraId="6F6E046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$508,926.42</w:t>
            </w:r>
          </w:p>
        </w:tc>
        <w:tc>
          <w:tcPr>
            <w:tcW w:w="1601" w:type="dxa"/>
            <w:tcBorders>
              <w:top w:val="nil"/>
              <w:left w:val="single" w:sz="4" w:space="0" w:color="808080"/>
              <w:bottom w:val="single" w:sz="4" w:space="0" w:color="808080"/>
              <w:right w:val="single" w:sz="4" w:space="0" w:color="808080"/>
            </w:tcBorders>
            <w:shd w:val="clear" w:color="auto" w:fill="auto"/>
            <w:vAlign w:val="center"/>
            <w:hideMark/>
          </w:tcPr>
          <w:p w14:paraId="6AAB3DE0"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$17,473,140.34</w:t>
            </w:r>
          </w:p>
        </w:tc>
        <w:tc>
          <w:tcPr>
            <w:tcW w:w="1496" w:type="dxa"/>
            <w:tcBorders>
              <w:top w:val="nil"/>
              <w:left w:val="nil"/>
              <w:bottom w:val="single" w:sz="4" w:space="0" w:color="808080"/>
              <w:right w:val="single" w:sz="4" w:space="0" w:color="808080"/>
            </w:tcBorders>
            <w:shd w:val="clear" w:color="auto" w:fill="auto"/>
            <w:vAlign w:val="center"/>
            <w:hideMark/>
          </w:tcPr>
          <w:p w14:paraId="4671BA9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$1,413,684.49</w:t>
            </w:r>
          </w:p>
        </w:tc>
        <w:tc>
          <w:tcPr>
            <w:tcW w:w="1483" w:type="dxa"/>
            <w:tcBorders>
              <w:top w:val="nil"/>
              <w:left w:val="nil"/>
              <w:bottom w:val="single" w:sz="4" w:space="0" w:color="808080"/>
              <w:right w:val="single" w:sz="4" w:space="0" w:color="808080"/>
            </w:tcBorders>
            <w:shd w:val="clear" w:color="auto" w:fill="auto"/>
            <w:vAlign w:val="center"/>
            <w:hideMark/>
          </w:tcPr>
          <w:p w14:paraId="140F9171"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$42,410.53</w:t>
            </w:r>
          </w:p>
        </w:tc>
        <w:tc>
          <w:tcPr>
            <w:tcW w:w="1496" w:type="dxa"/>
            <w:tcBorders>
              <w:top w:val="nil"/>
              <w:left w:val="nil"/>
              <w:bottom w:val="single" w:sz="4" w:space="0" w:color="808080"/>
              <w:right w:val="single" w:sz="8" w:space="0" w:color="808080"/>
            </w:tcBorders>
            <w:shd w:val="clear" w:color="auto" w:fill="auto"/>
            <w:vAlign w:val="center"/>
            <w:hideMark/>
          </w:tcPr>
          <w:p w14:paraId="344B4F1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$1,456,095.03</w:t>
            </w:r>
          </w:p>
        </w:tc>
      </w:tr>
      <w:tr w:rsidR="005E1EC7" w:rsidRPr="00A04585" w14:paraId="3CA63E0E" w14:textId="77777777" w:rsidTr="005E1EC7">
        <w:trPr>
          <w:trHeight w:val="829"/>
        </w:trPr>
        <w:tc>
          <w:tcPr>
            <w:tcW w:w="963" w:type="dxa"/>
            <w:tcBorders>
              <w:top w:val="nil"/>
              <w:left w:val="single" w:sz="8" w:space="0" w:color="808080"/>
              <w:bottom w:val="single" w:sz="4" w:space="0" w:color="808080"/>
              <w:right w:val="nil"/>
            </w:tcBorders>
            <w:shd w:val="clear" w:color="auto" w:fill="auto"/>
            <w:noWrap/>
            <w:vAlign w:val="center"/>
            <w:hideMark/>
          </w:tcPr>
          <w:p w14:paraId="61BF2D86" w14:textId="360822A5" w:rsidR="00834C0A" w:rsidRPr="00A04585" w:rsidRDefault="005E1EC7"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7125EB15" wp14:editId="771A116E">
                  <wp:extent cx="382772" cy="38277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2-PRI-1-150x1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0121" cy="390121"/>
                          </a:xfrm>
                          <a:prstGeom prst="rect">
                            <a:avLst/>
                          </a:prstGeom>
                        </pic:spPr>
                      </pic:pic>
                    </a:graphicData>
                  </a:graphic>
                </wp:inline>
              </w:drawing>
            </w:r>
          </w:p>
        </w:tc>
        <w:tc>
          <w:tcPr>
            <w:tcW w:w="1601" w:type="dxa"/>
            <w:tcBorders>
              <w:top w:val="nil"/>
              <w:left w:val="single" w:sz="4" w:space="0" w:color="808080"/>
              <w:bottom w:val="single" w:sz="4" w:space="0" w:color="808080"/>
              <w:right w:val="single" w:sz="4" w:space="0" w:color="808080"/>
            </w:tcBorders>
            <w:shd w:val="clear" w:color="auto" w:fill="auto"/>
            <w:noWrap/>
            <w:vAlign w:val="center"/>
            <w:hideMark/>
          </w:tcPr>
          <w:p w14:paraId="7E42600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$16,829,817.47</w:t>
            </w:r>
          </w:p>
        </w:tc>
        <w:tc>
          <w:tcPr>
            <w:tcW w:w="1390" w:type="dxa"/>
            <w:tcBorders>
              <w:top w:val="nil"/>
              <w:left w:val="nil"/>
              <w:bottom w:val="single" w:sz="4" w:space="0" w:color="808080"/>
              <w:right w:val="single" w:sz="4" w:space="0" w:color="808080"/>
            </w:tcBorders>
            <w:shd w:val="clear" w:color="auto" w:fill="auto"/>
            <w:vAlign w:val="center"/>
            <w:hideMark/>
          </w:tcPr>
          <w:p w14:paraId="536A80B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$504,894.52</w:t>
            </w:r>
          </w:p>
        </w:tc>
        <w:tc>
          <w:tcPr>
            <w:tcW w:w="1601" w:type="dxa"/>
            <w:tcBorders>
              <w:top w:val="nil"/>
              <w:left w:val="single" w:sz="4" w:space="0" w:color="808080"/>
              <w:bottom w:val="single" w:sz="4" w:space="0" w:color="808080"/>
              <w:right w:val="single" w:sz="4" w:space="0" w:color="808080"/>
            </w:tcBorders>
            <w:shd w:val="clear" w:color="auto" w:fill="auto"/>
            <w:vAlign w:val="center"/>
            <w:hideMark/>
          </w:tcPr>
          <w:p w14:paraId="37D8279F"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$17,334,712.00</w:t>
            </w:r>
          </w:p>
        </w:tc>
        <w:tc>
          <w:tcPr>
            <w:tcW w:w="1496" w:type="dxa"/>
            <w:tcBorders>
              <w:top w:val="nil"/>
              <w:left w:val="nil"/>
              <w:bottom w:val="single" w:sz="4" w:space="0" w:color="808080"/>
              <w:right w:val="single" w:sz="4" w:space="0" w:color="808080"/>
            </w:tcBorders>
            <w:shd w:val="clear" w:color="auto" w:fill="auto"/>
            <w:vAlign w:val="center"/>
            <w:hideMark/>
          </w:tcPr>
          <w:p w14:paraId="7A74DB5F"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$1,402,484.79</w:t>
            </w:r>
          </w:p>
        </w:tc>
        <w:tc>
          <w:tcPr>
            <w:tcW w:w="1483" w:type="dxa"/>
            <w:tcBorders>
              <w:top w:val="nil"/>
              <w:left w:val="nil"/>
              <w:bottom w:val="single" w:sz="4" w:space="0" w:color="808080"/>
              <w:right w:val="single" w:sz="4" w:space="0" w:color="808080"/>
            </w:tcBorders>
            <w:shd w:val="clear" w:color="auto" w:fill="auto"/>
            <w:vAlign w:val="center"/>
            <w:hideMark/>
          </w:tcPr>
          <w:p w14:paraId="7010B8D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$42,074.54</w:t>
            </w:r>
          </w:p>
        </w:tc>
        <w:tc>
          <w:tcPr>
            <w:tcW w:w="1496" w:type="dxa"/>
            <w:tcBorders>
              <w:top w:val="nil"/>
              <w:left w:val="nil"/>
              <w:bottom w:val="single" w:sz="4" w:space="0" w:color="808080"/>
              <w:right w:val="single" w:sz="8" w:space="0" w:color="808080"/>
            </w:tcBorders>
            <w:shd w:val="clear" w:color="auto" w:fill="auto"/>
            <w:vAlign w:val="center"/>
            <w:hideMark/>
          </w:tcPr>
          <w:p w14:paraId="4C8F9DD1"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$1,444,559.33</w:t>
            </w:r>
          </w:p>
        </w:tc>
      </w:tr>
      <w:tr w:rsidR="005E1EC7" w:rsidRPr="00A04585" w14:paraId="303AA29F" w14:textId="77777777" w:rsidTr="005E1EC7">
        <w:trPr>
          <w:trHeight w:val="829"/>
        </w:trPr>
        <w:tc>
          <w:tcPr>
            <w:tcW w:w="963" w:type="dxa"/>
            <w:tcBorders>
              <w:top w:val="nil"/>
              <w:left w:val="single" w:sz="8" w:space="0" w:color="808080"/>
              <w:bottom w:val="single" w:sz="4" w:space="0" w:color="808080"/>
              <w:right w:val="nil"/>
            </w:tcBorders>
            <w:shd w:val="clear" w:color="auto" w:fill="auto"/>
            <w:noWrap/>
            <w:vAlign w:val="center"/>
            <w:hideMark/>
          </w:tcPr>
          <w:p w14:paraId="50A784D6" w14:textId="3AFD1B79" w:rsidR="00834C0A" w:rsidRPr="00A04585" w:rsidRDefault="005E1EC7"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1B13CD0C" wp14:editId="5B1A969D">
                  <wp:extent cx="457200" cy="457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04-VERDE-150x1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862" cy="465862"/>
                          </a:xfrm>
                          <a:prstGeom prst="rect">
                            <a:avLst/>
                          </a:prstGeom>
                        </pic:spPr>
                      </pic:pic>
                    </a:graphicData>
                  </a:graphic>
                </wp:inline>
              </w:drawing>
            </w:r>
          </w:p>
        </w:tc>
        <w:tc>
          <w:tcPr>
            <w:tcW w:w="1601" w:type="dxa"/>
            <w:tcBorders>
              <w:top w:val="nil"/>
              <w:left w:val="single" w:sz="4" w:space="0" w:color="808080"/>
              <w:bottom w:val="single" w:sz="4" w:space="0" w:color="808080"/>
              <w:right w:val="single" w:sz="4" w:space="0" w:color="808080"/>
            </w:tcBorders>
            <w:shd w:val="clear" w:color="auto" w:fill="auto"/>
            <w:noWrap/>
            <w:vAlign w:val="center"/>
            <w:hideMark/>
          </w:tcPr>
          <w:p w14:paraId="459FF935"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$8,206,964.02</w:t>
            </w:r>
          </w:p>
        </w:tc>
        <w:tc>
          <w:tcPr>
            <w:tcW w:w="1390" w:type="dxa"/>
            <w:tcBorders>
              <w:top w:val="nil"/>
              <w:left w:val="nil"/>
              <w:bottom w:val="single" w:sz="4" w:space="0" w:color="808080"/>
              <w:right w:val="single" w:sz="4" w:space="0" w:color="808080"/>
            </w:tcBorders>
            <w:shd w:val="clear" w:color="auto" w:fill="auto"/>
            <w:vAlign w:val="center"/>
            <w:hideMark/>
          </w:tcPr>
          <w:p w14:paraId="25283C9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$246,208.92</w:t>
            </w:r>
          </w:p>
        </w:tc>
        <w:tc>
          <w:tcPr>
            <w:tcW w:w="1601" w:type="dxa"/>
            <w:tcBorders>
              <w:top w:val="nil"/>
              <w:left w:val="single" w:sz="4" w:space="0" w:color="808080"/>
              <w:bottom w:val="single" w:sz="4" w:space="0" w:color="808080"/>
              <w:right w:val="single" w:sz="4" w:space="0" w:color="808080"/>
            </w:tcBorders>
            <w:shd w:val="clear" w:color="auto" w:fill="auto"/>
            <w:vAlign w:val="center"/>
            <w:hideMark/>
          </w:tcPr>
          <w:p w14:paraId="13A89079"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$8,453,172.94</w:t>
            </w:r>
          </w:p>
        </w:tc>
        <w:tc>
          <w:tcPr>
            <w:tcW w:w="1496" w:type="dxa"/>
            <w:tcBorders>
              <w:top w:val="nil"/>
              <w:left w:val="nil"/>
              <w:bottom w:val="single" w:sz="4" w:space="0" w:color="808080"/>
              <w:right w:val="single" w:sz="4" w:space="0" w:color="808080"/>
            </w:tcBorders>
            <w:shd w:val="clear" w:color="auto" w:fill="auto"/>
            <w:vAlign w:val="center"/>
            <w:hideMark/>
          </w:tcPr>
          <w:p w14:paraId="44BB26DB"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$683,913.67</w:t>
            </w:r>
          </w:p>
        </w:tc>
        <w:tc>
          <w:tcPr>
            <w:tcW w:w="1483" w:type="dxa"/>
            <w:tcBorders>
              <w:top w:val="nil"/>
              <w:left w:val="nil"/>
              <w:bottom w:val="single" w:sz="4" w:space="0" w:color="808080"/>
              <w:right w:val="single" w:sz="4" w:space="0" w:color="808080"/>
            </w:tcBorders>
            <w:shd w:val="clear" w:color="auto" w:fill="auto"/>
            <w:vAlign w:val="center"/>
            <w:hideMark/>
          </w:tcPr>
          <w:p w14:paraId="5ACE828A"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$20,517.41</w:t>
            </w:r>
          </w:p>
        </w:tc>
        <w:tc>
          <w:tcPr>
            <w:tcW w:w="1496" w:type="dxa"/>
            <w:tcBorders>
              <w:top w:val="nil"/>
              <w:left w:val="nil"/>
              <w:bottom w:val="single" w:sz="4" w:space="0" w:color="808080"/>
              <w:right w:val="single" w:sz="8" w:space="0" w:color="808080"/>
            </w:tcBorders>
            <w:shd w:val="clear" w:color="auto" w:fill="auto"/>
            <w:vAlign w:val="center"/>
            <w:hideMark/>
          </w:tcPr>
          <w:p w14:paraId="3F72BFF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$704,431.08</w:t>
            </w:r>
          </w:p>
        </w:tc>
      </w:tr>
      <w:tr w:rsidR="005E1EC7" w:rsidRPr="00A04585" w14:paraId="48E3A2B3" w14:textId="77777777" w:rsidTr="005E1EC7">
        <w:trPr>
          <w:trHeight w:val="829"/>
        </w:trPr>
        <w:tc>
          <w:tcPr>
            <w:tcW w:w="963" w:type="dxa"/>
            <w:tcBorders>
              <w:top w:val="nil"/>
              <w:left w:val="single" w:sz="8" w:space="0" w:color="808080"/>
              <w:bottom w:val="single" w:sz="4" w:space="0" w:color="808080"/>
              <w:right w:val="nil"/>
            </w:tcBorders>
            <w:shd w:val="clear" w:color="auto" w:fill="auto"/>
            <w:noWrap/>
            <w:vAlign w:val="center"/>
            <w:hideMark/>
          </w:tcPr>
          <w:p w14:paraId="547D8354" w14:textId="3DDD52A8" w:rsidR="00834C0A" w:rsidRPr="00A04585" w:rsidRDefault="005E1EC7"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6EB8C4E1" wp14:editId="45C8CC12">
                  <wp:extent cx="446567" cy="44656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6-MC-150x150.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2952" cy="452952"/>
                          </a:xfrm>
                          <a:prstGeom prst="rect">
                            <a:avLst/>
                          </a:prstGeom>
                        </pic:spPr>
                      </pic:pic>
                    </a:graphicData>
                  </a:graphic>
                </wp:inline>
              </w:drawing>
            </w:r>
          </w:p>
        </w:tc>
        <w:tc>
          <w:tcPr>
            <w:tcW w:w="1601" w:type="dxa"/>
            <w:tcBorders>
              <w:top w:val="nil"/>
              <w:left w:val="single" w:sz="4" w:space="0" w:color="808080"/>
              <w:bottom w:val="single" w:sz="4" w:space="0" w:color="808080"/>
              <w:right w:val="single" w:sz="4" w:space="0" w:color="808080"/>
            </w:tcBorders>
            <w:shd w:val="clear" w:color="auto" w:fill="auto"/>
            <w:noWrap/>
            <w:vAlign w:val="center"/>
            <w:hideMark/>
          </w:tcPr>
          <w:p w14:paraId="6E2417FC"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$35,774,267.65</w:t>
            </w:r>
          </w:p>
        </w:tc>
        <w:tc>
          <w:tcPr>
            <w:tcW w:w="1390" w:type="dxa"/>
            <w:tcBorders>
              <w:top w:val="nil"/>
              <w:left w:val="nil"/>
              <w:bottom w:val="single" w:sz="4" w:space="0" w:color="808080"/>
              <w:right w:val="single" w:sz="4" w:space="0" w:color="808080"/>
            </w:tcBorders>
            <w:shd w:val="clear" w:color="auto" w:fill="auto"/>
            <w:vAlign w:val="center"/>
            <w:hideMark/>
          </w:tcPr>
          <w:p w14:paraId="79B9230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$1,073,228.03</w:t>
            </w:r>
          </w:p>
        </w:tc>
        <w:tc>
          <w:tcPr>
            <w:tcW w:w="1601" w:type="dxa"/>
            <w:tcBorders>
              <w:top w:val="nil"/>
              <w:left w:val="single" w:sz="4" w:space="0" w:color="808080"/>
              <w:bottom w:val="single" w:sz="4" w:space="0" w:color="808080"/>
              <w:right w:val="single" w:sz="4" w:space="0" w:color="808080"/>
            </w:tcBorders>
            <w:shd w:val="clear" w:color="auto" w:fill="auto"/>
            <w:vAlign w:val="center"/>
            <w:hideMark/>
          </w:tcPr>
          <w:p w14:paraId="4E81560D"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$36,847,495.67</w:t>
            </w:r>
          </w:p>
        </w:tc>
        <w:tc>
          <w:tcPr>
            <w:tcW w:w="1496" w:type="dxa"/>
            <w:tcBorders>
              <w:top w:val="nil"/>
              <w:left w:val="nil"/>
              <w:bottom w:val="single" w:sz="4" w:space="0" w:color="808080"/>
              <w:right w:val="single" w:sz="4" w:space="0" w:color="808080"/>
            </w:tcBorders>
            <w:shd w:val="clear" w:color="auto" w:fill="auto"/>
            <w:vAlign w:val="center"/>
            <w:hideMark/>
          </w:tcPr>
          <w:p w14:paraId="52CF0577"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$2,981,188.97</w:t>
            </w:r>
          </w:p>
        </w:tc>
        <w:tc>
          <w:tcPr>
            <w:tcW w:w="1483" w:type="dxa"/>
            <w:tcBorders>
              <w:top w:val="nil"/>
              <w:left w:val="nil"/>
              <w:bottom w:val="single" w:sz="4" w:space="0" w:color="808080"/>
              <w:right w:val="single" w:sz="4" w:space="0" w:color="808080"/>
            </w:tcBorders>
            <w:shd w:val="clear" w:color="auto" w:fill="auto"/>
            <w:vAlign w:val="center"/>
            <w:hideMark/>
          </w:tcPr>
          <w:p w14:paraId="6B1190C7"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$89,435.67</w:t>
            </w:r>
          </w:p>
        </w:tc>
        <w:tc>
          <w:tcPr>
            <w:tcW w:w="1496" w:type="dxa"/>
            <w:tcBorders>
              <w:top w:val="nil"/>
              <w:left w:val="nil"/>
              <w:bottom w:val="single" w:sz="4" w:space="0" w:color="808080"/>
              <w:right w:val="single" w:sz="8" w:space="0" w:color="808080"/>
            </w:tcBorders>
            <w:shd w:val="clear" w:color="auto" w:fill="auto"/>
            <w:vAlign w:val="center"/>
            <w:hideMark/>
          </w:tcPr>
          <w:p w14:paraId="1BEC0760"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$3,070,624.64</w:t>
            </w:r>
          </w:p>
        </w:tc>
      </w:tr>
      <w:tr w:rsidR="005E1EC7" w:rsidRPr="00A04585" w14:paraId="0A29568A" w14:textId="77777777" w:rsidTr="005E1EC7">
        <w:trPr>
          <w:trHeight w:val="829"/>
        </w:trPr>
        <w:tc>
          <w:tcPr>
            <w:tcW w:w="963" w:type="dxa"/>
            <w:tcBorders>
              <w:top w:val="nil"/>
              <w:left w:val="single" w:sz="8" w:space="0" w:color="808080"/>
              <w:bottom w:val="single" w:sz="4" w:space="0" w:color="808080"/>
              <w:right w:val="nil"/>
            </w:tcBorders>
            <w:shd w:val="clear" w:color="auto" w:fill="auto"/>
            <w:noWrap/>
            <w:vAlign w:val="center"/>
            <w:hideMark/>
          </w:tcPr>
          <w:p w14:paraId="5FE5890A" w14:textId="7B548B5E" w:rsidR="00834C0A" w:rsidRPr="00A04585" w:rsidRDefault="005E1EC7"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757383F7" wp14:editId="56E10881">
                  <wp:extent cx="457200" cy="457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07-MORENA-150x15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5521" cy="465521"/>
                          </a:xfrm>
                          <a:prstGeom prst="rect">
                            <a:avLst/>
                          </a:prstGeom>
                        </pic:spPr>
                      </pic:pic>
                    </a:graphicData>
                  </a:graphic>
                </wp:inline>
              </w:drawing>
            </w:r>
          </w:p>
        </w:tc>
        <w:tc>
          <w:tcPr>
            <w:tcW w:w="1601" w:type="dxa"/>
            <w:tcBorders>
              <w:top w:val="nil"/>
              <w:left w:val="single" w:sz="4" w:space="0" w:color="808080"/>
              <w:bottom w:val="single" w:sz="4" w:space="0" w:color="808080"/>
              <w:right w:val="single" w:sz="4" w:space="0" w:color="808080"/>
            </w:tcBorders>
            <w:shd w:val="clear" w:color="auto" w:fill="auto"/>
            <w:noWrap/>
            <w:vAlign w:val="center"/>
            <w:hideMark/>
          </w:tcPr>
          <w:p w14:paraId="03C7209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$24,802,296.03</w:t>
            </w:r>
          </w:p>
        </w:tc>
        <w:tc>
          <w:tcPr>
            <w:tcW w:w="1390" w:type="dxa"/>
            <w:tcBorders>
              <w:top w:val="nil"/>
              <w:left w:val="nil"/>
              <w:bottom w:val="single" w:sz="4" w:space="0" w:color="808080"/>
              <w:right w:val="single" w:sz="4" w:space="0" w:color="808080"/>
            </w:tcBorders>
            <w:shd w:val="clear" w:color="auto" w:fill="auto"/>
            <w:vAlign w:val="center"/>
            <w:hideMark/>
          </w:tcPr>
          <w:p w14:paraId="09395603"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$744,068.88</w:t>
            </w:r>
          </w:p>
        </w:tc>
        <w:tc>
          <w:tcPr>
            <w:tcW w:w="1601" w:type="dxa"/>
            <w:tcBorders>
              <w:top w:val="nil"/>
              <w:left w:val="single" w:sz="4" w:space="0" w:color="808080"/>
              <w:bottom w:val="single" w:sz="4" w:space="0" w:color="808080"/>
              <w:right w:val="single" w:sz="4" w:space="0" w:color="808080"/>
            </w:tcBorders>
            <w:shd w:val="clear" w:color="auto" w:fill="auto"/>
            <w:vAlign w:val="center"/>
            <w:hideMark/>
          </w:tcPr>
          <w:p w14:paraId="77A563D0"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$25,546,364.91</w:t>
            </w:r>
          </w:p>
        </w:tc>
        <w:tc>
          <w:tcPr>
            <w:tcW w:w="1496" w:type="dxa"/>
            <w:tcBorders>
              <w:top w:val="nil"/>
              <w:left w:val="nil"/>
              <w:bottom w:val="single" w:sz="4" w:space="0" w:color="808080"/>
              <w:right w:val="single" w:sz="4" w:space="0" w:color="808080"/>
            </w:tcBorders>
            <w:shd w:val="clear" w:color="auto" w:fill="auto"/>
            <w:vAlign w:val="center"/>
            <w:hideMark/>
          </w:tcPr>
          <w:p w14:paraId="1EF321A5"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$2,066,858.00</w:t>
            </w:r>
          </w:p>
        </w:tc>
        <w:tc>
          <w:tcPr>
            <w:tcW w:w="1483" w:type="dxa"/>
            <w:tcBorders>
              <w:top w:val="nil"/>
              <w:left w:val="nil"/>
              <w:bottom w:val="single" w:sz="4" w:space="0" w:color="808080"/>
              <w:right w:val="single" w:sz="4" w:space="0" w:color="808080"/>
            </w:tcBorders>
            <w:shd w:val="clear" w:color="auto" w:fill="auto"/>
            <w:vAlign w:val="center"/>
            <w:hideMark/>
          </w:tcPr>
          <w:p w14:paraId="705E6CD0"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$62,005.74</w:t>
            </w:r>
          </w:p>
        </w:tc>
        <w:tc>
          <w:tcPr>
            <w:tcW w:w="1496" w:type="dxa"/>
            <w:tcBorders>
              <w:top w:val="nil"/>
              <w:left w:val="nil"/>
              <w:bottom w:val="single" w:sz="4" w:space="0" w:color="808080"/>
              <w:right w:val="single" w:sz="8" w:space="0" w:color="808080"/>
            </w:tcBorders>
            <w:shd w:val="clear" w:color="auto" w:fill="auto"/>
            <w:vAlign w:val="center"/>
            <w:hideMark/>
          </w:tcPr>
          <w:p w14:paraId="71815867"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$2,128,863.74</w:t>
            </w:r>
          </w:p>
        </w:tc>
      </w:tr>
      <w:tr w:rsidR="005E1EC7" w:rsidRPr="00A04585" w14:paraId="31E9A041" w14:textId="77777777" w:rsidTr="005E1EC7">
        <w:trPr>
          <w:trHeight w:val="829"/>
        </w:trPr>
        <w:tc>
          <w:tcPr>
            <w:tcW w:w="963" w:type="dxa"/>
            <w:tcBorders>
              <w:top w:val="nil"/>
              <w:left w:val="single" w:sz="8" w:space="0" w:color="808080"/>
              <w:bottom w:val="single" w:sz="4" w:space="0" w:color="808080"/>
              <w:right w:val="single" w:sz="4" w:space="0" w:color="808080"/>
            </w:tcBorders>
            <w:shd w:val="clear" w:color="auto" w:fill="auto"/>
            <w:noWrap/>
            <w:vAlign w:val="center"/>
            <w:hideMark/>
          </w:tcPr>
          <w:p w14:paraId="6EE9ADFE" w14:textId="25C2F183" w:rsidR="00834C0A" w:rsidRPr="00A04585" w:rsidRDefault="005E1EC7"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42B7F9BE" wp14:editId="30730795">
                  <wp:extent cx="489097" cy="489097"/>
                  <wp:effectExtent l="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0-HAGAMOS-150x15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7401" cy="497401"/>
                          </a:xfrm>
                          <a:prstGeom prst="rect">
                            <a:avLst/>
                          </a:prstGeom>
                        </pic:spPr>
                      </pic:pic>
                    </a:graphicData>
                  </a:graphic>
                </wp:inline>
              </w:drawing>
            </w:r>
          </w:p>
        </w:tc>
        <w:tc>
          <w:tcPr>
            <w:tcW w:w="1601" w:type="dxa"/>
            <w:tcBorders>
              <w:top w:val="nil"/>
              <w:left w:val="nil"/>
              <w:bottom w:val="single" w:sz="4" w:space="0" w:color="808080"/>
              <w:right w:val="single" w:sz="4" w:space="0" w:color="808080"/>
            </w:tcBorders>
            <w:shd w:val="clear" w:color="auto" w:fill="auto"/>
            <w:vAlign w:val="center"/>
            <w:hideMark/>
          </w:tcPr>
          <w:p w14:paraId="15C4DC8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$31,332,121.88</w:t>
            </w:r>
          </w:p>
        </w:tc>
        <w:tc>
          <w:tcPr>
            <w:tcW w:w="1390" w:type="dxa"/>
            <w:tcBorders>
              <w:top w:val="single" w:sz="4" w:space="0" w:color="808080"/>
              <w:left w:val="nil"/>
              <w:bottom w:val="single" w:sz="4" w:space="0" w:color="808080"/>
              <w:right w:val="single" w:sz="4" w:space="0" w:color="808080"/>
            </w:tcBorders>
            <w:shd w:val="clear" w:color="auto" w:fill="auto"/>
            <w:vAlign w:val="center"/>
            <w:hideMark/>
          </w:tcPr>
          <w:p w14:paraId="3C4C758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$939,963.66</w:t>
            </w:r>
          </w:p>
        </w:tc>
        <w:tc>
          <w:tcPr>
            <w:tcW w:w="1601" w:type="dxa"/>
            <w:tcBorders>
              <w:top w:val="single" w:sz="4" w:space="0" w:color="808080"/>
              <w:left w:val="nil"/>
              <w:bottom w:val="single" w:sz="4" w:space="0" w:color="808080"/>
              <w:right w:val="single" w:sz="4" w:space="0" w:color="808080"/>
            </w:tcBorders>
            <w:shd w:val="clear" w:color="auto" w:fill="auto"/>
            <w:vAlign w:val="center"/>
            <w:hideMark/>
          </w:tcPr>
          <w:p w14:paraId="5C452051"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$32,272,085.54</w:t>
            </w:r>
          </w:p>
        </w:tc>
        <w:tc>
          <w:tcPr>
            <w:tcW w:w="1496" w:type="dxa"/>
            <w:tcBorders>
              <w:top w:val="nil"/>
              <w:left w:val="nil"/>
              <w:bottom w:val="single" w:sz="4" w:space="0" w:color="808080"/>
              <w:right w:val="single" w:sz="4" w:space="0" w:color="808080"/>
            </w:tcBorders>
            <w:shd w:val="clear" w:color="auto" w:fill="auto"/>
            <w:vAlign w:val="center"/>
            <w:hideMark/>
          </w:tcPr>
          <w:p w14:paraId="62F5BBAF"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$2,611,010.16</w:t>
            </w:r>
          </w:p>
        </w:tc>
        <w:tc>
          <w:tcPr>
            <w:tcW w:w="1483" w:type="dxa"/>
            <w:tcBorders>
              <w:top w:val="single" w:sz="4" w:space="0" w:color="808080"/>
              <w:left w:val="nil"/>
              <w:bottom w:val="single" w:sz="4" w:space="0" w:color="808080"/>
              <w:right w:val="single" w:sz="4" w:space="0" w:color="808080"/>
            </w:tcBorders>
            <w:shd w:val="clear" w:color="auto" w:fill="auto"/>
            <w:vAlign w:val="center"/>
            <w:hideMark/>
          </w:tcPr>
          <w:p w14:paraId="082E16DF"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$78,330.30</w:t>
            </w:r>
          </w:p>
        </w:tc>
        <w:tc>
          <w:tcPr>
            <w:tcW w:w="1496" w:type="dxa"/>
            <w:tcBorders>
              <w:top w:val="single" w:sz="4" w:space="0" w:color="808080"/>
              <w:left w:val="nil"/>
              <w:bottom w:val="single" w:sz="4" w:space="0" w:color="808080"/>
              <w:right w:val="single" w:sz="8" w:space="0" w:color="808080"/>
            </w:tcBorders>
            <w:shd w:val="clear" w:color="auto" w:fill="auto"/>
            <w:vAlign w:val="center"/>
            <w:hideMark/>
          </w:tcPr>
          <w:p w14:paraId="6B302ADF"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$2,689,340.46</w:t>
            </w:r>
          </w:p>
        </w:tc>
      </w:tr>
      <w:tr w:rsidR="005E1EC7" w:rsidRPr="00A04585" w14:paraId="7C9E3656" w14:textId="77777777" w:rsidTr="005E1EC7">
        <w:trPr>
          <w:trHeight w:val="829"/>
        </w:trPr>
        <w:tc>
          <w:tcPr>
            <w:tcW w:w="963" w:type="dxa"/>
            <w:tcBorders>
              <w:top w:val="nil"/>
              <w:left w:val="single" w:sz="8" w:space="0" w:color="808080"/>
              <w:bottom w:val="nil"/>
              <w:right w:val="single" w:sz="4" w:space="0" w:color="808080"/>
            </w:tcBorders>
            <w:shd w:val="clear" w:color="auto" w:fill="auto"/>
            <w:noWrap/>
            <w:vAlign w:val="center"/>
            <w:hideMark/>
          </w:tcPr>
          <w:p w14:paraId="6AB59F2C" w14:textId="13E41B09" w:rsidR="00834C0A" w:rsidRPr="00A04585" w:rsidRDefault="005E1EC7"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noProof/>
                <w:color w:val="000000"/>
                <w:sz w:val="18"/>
                <w:szCs w:val="18"/>
                <w:lang w:eastAsia="es-MX"/>
              </w:rPr>
              <w:drawing>
                <wp:inline distT="0" distB="0" distL="0" distR="0" wp14:anchorId="30EDDB99" wp14:editId="2EEEB3E3">
                  <wp:extent cx="467685" cy="467685"/>
                  <wp:effectExtent l="0" t="0" r="0" b="889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1-FUTURO-150x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5797" cy="475797"/>
                          </a:xfrm>
                          <a:prstGeom prst="rect">
                            <a:avLst/>
                          </a:prstGeom>
                        </pic:spPr>
                      </pic:pic>
                    </a:graphicData>
                  </a:graphic>
                </wp:inline>
              </w:drawing>
            </w:r>
          </w:p>
        </w:tc>
        <w:tc>
          <w:tcPr>
            <w:tcW w:w="1601" w:type="dxa"/>
            <w:tcBorders>
              <w:top w:val="nil"/>
              <w:left w:val="nil"/>
              <w:bottom w:val="nil"/>
              <w:right w:val="single" w:sz="4" w:space="0" w:color="808080"/>
            </w:tcBorders>
            <w:shd w:val="clear" w:color="auto" w:fill="auto"/>
            <w:vAlign w:val="center"/>
            <w:hideMark/>
          </w:tcPr>
          <w:p w14:paraId="54A858B7"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$29,472,321.49</w:t>
            </w:r>
          </w:p>
        </w:tc>
        <w:tc>
          <w:tcPr>
            <w:tcW w:w="1390" w:type="dxa"/>
            <w:tcBorders>
              <w:top w:val="single" w:sz="4" w:space="0" w:color="808080"/>
              <w:left w:val="nil"/>
              <w:bottom w:val="nil"/>
              <w:right w:val="single" w:sz="4" w:space="0" w:color="808080"/>
            </w:tcBorders>
            <w:shd w:val="clear" w:color="auto" w:fill="auto"/>
            <w:vAlign w:val="center"/>
            <w:hideMark/>
          </w:tcPr>
          <w:p w14:paraId="59603660"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$884,169.64</w:t>
            </w:r>
          </w:p>
        </w:tc>
        <w:tc>
          <w:tcPr>
            <w:tcW w:w="1601" w:type="dxa"/>
            <w:tcBorders>
              <w:top w:val="single" w:sz="4" w:space="0" w:color="808080"/>
              <w:left w:val="nil"/>
              <w:bottom w:val="nil"/>
              <w:right w:val="single" w:sz="4" w:space="0" w:color="808080"/>
            </w:tcBorders>
            <w:shd w:val="clear" w:color="auto" w:fill="auto"/>
            <w:vAlign w:val="center"/>
            <w:hideMark/>
          </w:tcPr>
          <w:p w14:paraId="5B12EF2B"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$30,356,491.14</w:t>
            </w:r>
          </w:p>
        </w:tc>
        <w:tc>
          <w:tcPr>
            <w:tcW w:w="1496" w:type="dxa"/>
            <w:tcBorders>
              <w:top w:val="nil"/>
              <w:left w:val="nil"/>
              <w:bottom w:val="single" w:sz="4" w:space="0" w:color="808080"/>
              <w:right w:val="single" w:sz="4" w:space="0" w:color="808080"/>
            </w:tcBorders>
            <w:shd w:val="clear" w:color="auto" w:fill="auto"/>
            <w:vAlign w:val="center"/>
            <w:hideMark/>
          </w:tcPr>
          <w:p w14:paraId="006E2CDA"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$2,456,026.79</w:t>
            </w:r>
          </w:p>
        </w:tc>
        <w:tc>
          <w:tcPr>
            <w:tcW w:w="1483" w:type="dxa"/>
            <w:tcBorders>
              <w:top w:val="single" w:sz="4" w:space="0" w:color="808080"/>
              <w:left w:val="nil"/>
              <w:bottom w:val="single" w:sz="4" w:space="0" w:color="808080"/>
              <w:right w:val="single" w:sz="4" w:space="0" w:color="808080"/>
            </w:tcBorders>
            <w:shd w:val="clear" w:color="auto" w:fill="auto"/>
            <w:vAlign w:val="center"/>
            <w:hideMark/>
          </w:tcPr>
          <w:p w14:paraId="1DBB4DB6"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$73,680.80</w:t>
            </w:r>
          </w:p>
        </w:tc>
        <w:tc>
          <w:tcPr>
            <w:tcW w:w="1496" w:type="dxa"/>
            <w:tcBorders>
              <w:top w:val="single" w:sz="4" w:space="0" w:color="808080"/>
              <w:left w:val="nil"/>
              <w:bottom w:val="single" w:sz="4" w:space="0" w:color="808080"/>
              <w:right w:val="single" w:sz="8" w:space="0" w:color="808080"/>
            </w:tcBorders>
            <w:shd w:val="clear" w:color="auto" w:fill="auto"/>
            <w:vAlign w:val="center"/>
            <w:hideMark/>
          </w:tcPr>
          <w:p w14:paraId="35A10088"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$2,529,707.59</w:t>
            </w:r>
          </w:p>
        </w:tc>
      </w:tr>
      <w:tr w:rsidR="005E1EC7" w:rsidRPr="00A04585" w14:paraId="5E4F0D22" w14:textId="77777777" w:rsidTr="005E1EC7">
        <w:trPr>
          <w:trHeight w:val="829"/>
        </w:trPr>
        <w:tc>
          <w:tcPr>
            <w:tcW w:w="963" w:type="dxa"/>
            <w:tcBorders>
              <w:top w:val="single" w:sz="8" w:space="0" w:color="808080"/>
              <w:left w:val="single" w:sz="8" w:space="0" w:color="808080"/>
              <w:bottom w:val="single" w:sz="8" w:space="0" w:color="808080"/>
              <w:right w:val="single" w:sz="8" w:space="0" w:color="808080"/>
            </w:tcBorders>
            <w:shd w:val="clear" w:color="000000" w:fill="EADBF5"/>
            <w:noWrap/>
            <w:vAlign w:val="center"/>
            <w:hideMark/>
          </w:tcPr>
          <w:p w14:paraId="5C9769FE"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TOTAL</w:t>
            </w:r>
          </w:p>
        </w:tc>
        <w:tc>
          <w:tcPr>
            <w:tcW w:w="1601" w:type="dxa"/>
            <w:tcBorders>
              <w:top w:val="single" w:sz="8" w:space="0" w:color="808080"/>
              <w:left w:val="nil"/>
              <w:bottom w:val="single" w:sz="8" w:space="0" w:color="808080"/>
              <w:right w:val="single" w:sz="8" w:space="0" w:color="808080"/>
            </w:tcBorders>
            <w:shd w:val="clear" w:color="000000" w:fill="EADBF5"/>
            <w:noWrap/>
            <w:vAlign w:val="center"/>
            <w:hideMark/>
          </w:tcPr>
          <w:p w14:paraId="37CA0CB7"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$163,382,002.46</w:t>
            </w:r>
          </w:p>
        </w:tc>
        <w:tc>
          <w:tcPr>
            <w:tcW w:w="1390" w:type="dxa"/>
            <w:tcBorders>
              <w:top w:val="single" w:sz="8" w:space="0" w:color="808080"/>
              <w:left w:val="nil"/>
              <w:bottom w:val="single" w:sz="8" w:space="0" w:color="808080"/>
              <w:right w:val="single" w:sz="8" w:space="0" w:color="808080"/>
            </w:tcBorders>
            <w:shd w:val="clear" w:color="000000" w:fill="EADBF5"/>
            <w:noWrap/>
            <w:vAlign w:val="center"/>
            <w:hideMark/>
          </w:tcPr>
          <w:p w14:paraId="5D56A158"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$4,901,460.07</w:t>
            </w:r>
          </w:p>
        </w:tc>
        <w:tc>
          <w:tcPr>
            <w:tcW w:w="1601" w:type="dxa"/>
            <w:tcBorders>
              <w:top w:val="single" w:sz="8" w:space="0" w:color="808080"/>
              <w:left w:val="nil"/>
              <w:bottom w:val="single" w:sz="8" w:space="0" w:color="808080"/>
              <w:right w:val="single" w:sz="8" w:space="0" w:color="808080"/>
            </w:tcBorders>
            <w:shd w:val="clear" w:color="000000" w:fill="EADBF5"/>
            <w:noWrap/>
            <w:vAlign w:val="center"/>
            <w:hideMark/>
          </w:tcPr>
          <w:p w14:paraId="5F789724"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$168,283,462.54</w:t>
            </w:r>
          </w:p>
        </w:tc>
        <w:tc>
          <w:tcPr>
            <w:tcW w:w="1496" w:type="dxa"/>
            <w:tcBorders>
              <w:top w:val="single" w:sz="8" w:space="0" w:color="808080"/>
              <w:left w:val="nil"/>
              <w:bottom w:val="single" w:sz="8" w:space="0" w:color="808080"/>
              <w:right w:val="single" w:sz="8" w:space="0" w:color="808080"/>
            </w:tcBorders>
            <w:shd w:val="clear" w:color="000000" w:fill="EADBF5"/>
            <w:noWrap/>
            <w:vAlign w:val="center"/>
            <w:hideMark/>
          </w:tcPr>
          <w:p w14:paraId="304B28AE"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$13,615,166.87</w:t>
            </w:r>
          </w:p>
        </w:tc>
        <w:tc>
          <w:tcPr>
            <w:tcW w:w="1483" w:type="dxa"/>
            <w:tcBorders>
              <w:top w:val="single" w:sz="8" w:space="0" w:color="808080"/>
              <w:left w:val="nil"/>
              <w:bottom w:val="single" w:sz="8" w:space="0" w:color="808080"/>
              <w:right w:val="single" w:sz="8" w:space="0" w:color="808080"/>
            </w:tcBorders>
            <w:shd w:val="clear" w:color="000000" w:fill="EADBF5"/>
            <w:noWrap/>
            <w:vAlign w:val="center"/>
            <w:hideMark/>
          </w:tcPr>
          <w:p w14:paraId="4E646491"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$408,455.01</w:t>
            </w:r>
          </w:p>
        </w:tc>
        <w:tc>
          <w:tcPr>
            <w:tcW w:w="1496" w:type="dxa"/>
            <w:tcBorders>
              <w:top w:val="single" w:sz="8" w:space="0" w:color="808080"/>
              <w:left w:val="nil"/>
              <w:bottom w:val="single" w:sz="8" w:space="0" w:color="808080"/>
              <w:right w:val="single" w:sz="8" w:space="0" w:color="808080"/>
            </w:tcBorders>
            <w:shd w:val="clear" w:color="000000" w:fill="EADBF5"/>
            <w:noWrap/>
            <w:vAlign w:val="center"/>
            <w:hideMark/>
          </w:tcPr>
          <w:p w14:paraId="7C72E1D8" w14:textId="77777777" w:rsidR="00834C0A" w:rsidRPr="00A04585" w:rsidRDefault="00834C0A" w:rsidP="00834C0A">
            <w:pPr>
              <w:jc w:val="center"/>
              <w:rPr>
                <w:rFonts w:ascii="Trebuchet MS" w:eastAsia="Times New Roman" w:hAnsi="Trebuchet MS" w:cs="Calibri Light"/>
                <w:b/>
                <w:bCs/>
                <w:color w:val="000000"/>
                <w:sz w:val="18"/>
                <w:szCs w:val="18"/>
                <w:lang w:eastAsia="es-MX"/>
              </w:rPr>
            </w:pPr>
            <w:r w:rsidRPr="00A04585">
              <w:rPr>
                <w:rFonts w:ascii="Trebuchet MS" w:eastAsia="Times New Roman" w:hAnsi="Trebuchet MS" w:cs="Calibri Light"/>
                <w:b/>
                <w:bCs/>
                <w:color w:val="000000"/>
                <w:sz w:val="18"/>
                <w:szCs w:val="18"/>
                <w:lang w:eastAsia="es-MX"/>
              </w:rPr>
              <w:t>$14,023,621.88</w:t>
            </w:r>
          </w:p>
        </w:tc>
      </w:tr>
    </w:tbl>
    <w:p w14:paraId="2A0A2A77" w14:textId="6F4AAAEC" w:rsidR="00770F3E" w:rsidRPr="00242547" w:rsidRDefault="00770F3E" w:rsidP="002E7CFF">
      <w:pPr>
        <w:pStyle w:val="Sinespaciado"/>
        <w:jc w:val="both"/>
        <w:rPr>
          <w:rFonts w:ascii="Trebuchet MS" w:hAnsi="Trebuchet MS"/>
          <w:b/>
          <w:color w:val="000000"/>
          <w:sz w:val="24"/>
          <w:szCs w:val="24"/>
          <w:lang w:val="es-ES_tradnl" w:eastAsia="es-MX"/>
        </w:rPr>
      </w:pPr>
    </w:p>
    <w:p w14:paraId="79FC91D8" w14:textId="77777777" w:rsidR="00770F3E" w:rsidRPr="00242547" w:rsidRDefault="00770F3E" w:rsidP="002E7CFF">
      <w:pPr>
        <w:pStyle w:val="Sinespaciado"/>
        <w:jc w:val="both"/>
        <w:rPr>
          <w:rFonts w:ascii="Trebuchet MS" w:hAnsi="Trebuchet MS"/>
          <w:b/>
          <w:bCs/>
          <w:color w:val="000000"/>
          <w:sz w:val="24"/>
          <w:szCs w:val="24"/>
          <w:lang w:val="es-ES_tradnl" w:eastAsia="es-MX"/>
        </w:rPr>
      </w:pPr>
    </w:p>
    <w:p w14:paraId="50CAEA04" w14:textId="380E206E" w:rsidR="004E498D" w:rsidRPr="00A04585" w:rsidRDefault="006578E6"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VIII.</w:t>
      </w:r>
      <w:r w:rsidR="004E498D" w:rsidRPr="00A04585">
        <w:rPr>
          <w:rFonts w:ascii="Trebuchet MS" w:hAnsi="Trebuchet MS"/>
          <w:b/>
          <w:bCs/>
          <w:color w:val="000000"/>
          <w:sz w:val="24"/>
          <w:szCs w:val="24"/>
          <w:lang w:val="es-ES_tradnl" w:eastAsia="es-MX"/>
        </w:rPr>
        <w:t xml:space="preserve"> CALENDARIO OFICIAL PARA EL OTORGAMIENTO DEL FINANCIAMIENTO PÚBLICO ORDINARIO Y DE ACTIVIDADES ESPECÍFICAS.</w:t>
      </w:r>
      <w:r w:rsidR="004E498D" w:rsidRPr="00A04585">
        <w:rPr>
          <w:rFonts w:ascii="Trebuchet MS" w:hAnsi="Trebuchet MS"/>
          <w:color w:val="000000"/>
          <w:sz w:val="24"/>
          <w:szCs w:val="24"/>
          <w:lang w:val="es-ES_tradnl" w:eastAsia="es-MX"/>
        </w:rPr>
        <w:t xml:space="preserve"> Una vez que se ha determinado el monto de financiamiento por actividades ordinarias permanentes y específicas que </w:t>
      </w:r>
      <w:r w:rsidR="00691D5F" w:rsidRPr="00A04585">
        <w:rPr>
          <w:rFonts w:ascii="Trebuchet MS" w:hAnsi="Trebuchet MS"/>
          <w:color w:val="000000"/>
          <w:sz w:val="24"/>
          <w:szCs w:val="24"/>
          <w:lang w:val="es-ES_tradnl" w:eastAsia="es-MX"/>
        </w:rPr>
        <w:t xml:space="preserve">corresponden a </w:t>
      </w:r>
      <w:r w:rsidR="004E498D" w:rsidRPr="00A04585">
        <w:rPr>
          <w:rFonts w:ascii="Trebuchet MS" w:hAnsi="Trebuchet MS"/>
          <w:color w:val="000000"/>
          <w:sz w:val="24"/>
          <w:szCs w:val="24"/>
          <w:lang w:val="es-ES_tradnl" w:eastAsia="es-MX"/>
        </w:rPr>
        <w:t xml:space="preserve">cada partido político </w:t>
      </w:r>
      <w:r w:rsidR="00691D5F" w:rsidRPr="00A04585">
        <w:rPr>
          <w:rFonts w:ascii="Trebuchet MS" w:hAnsi="Trebuchet MS"/>
          <w:color w:val="000000"/>
          <w:sz w:val="24"/>
          <w:szCs w:val="24"/>
          <w:lang w:val="es-ES_tradnl" w:eastAsia="es-MX"/>
        </w:rPr>
        <w:t xml:space="preserve">con derecho a ello </w:t>
      </w:r>
      <w:r w:rsidR="004E498D" w:rsidRPr="00A04585">
        <w:rPr>
          <w:rFonts w:ascii="Trebuchet MS" w:hAnsi="Trebuchet MS"/>
          <w:color w:val="000000"/>
          <w:sz w:val="24"/>
          <w:szCs w:val="24"/>
          <w:lang w:val="es-ES_tradnl" w:eastAsia="es-MX"/>
        </w:rPr>
        <w:t>en la entidad federativa para el ejercicio fiscal dos mi</w:t>
      </w:r>
      <w:r w:rsidR="005E1EC7" w:rsidRPr="00A04585">
        <w:rPr>
          <w:rFonts w:ascii="Trebuchet MS" w:hAnsi="Trebuchet MS"/>
          <w:color w:val="000000"/>
          <w:sz w:val="24"/>
          <w:szCs w:val="24"/>
          <w:lang w:val="es-ES_tradnl" w:eastAsia="es-MX"/>
        </w:rPr>
        <w:t>l veintitrés</w:t>
      </w:r>
      <w:r w:rsidR="004E498D" w:rsidRPr="00A04585">
        <w:rPr>
          <w:rFonts w:ascii="Trebuchet MS" w:hAnsi="Trebuchet MS"/>
          <w:color w:val="000000"/>
          <w:sz w:val="24"/>
          <w:szCs w:val="24"/>
          <w:lang w:val="es-ES_tradnl" w:eastAsia="es-MX"/>
        </w:rPr>
        <w:t>, resulta oportuno establecer el calendario para la entrega de dicho financiamiento.</w:t>
      </w:r>
    </w:p>
    <w:p w14:paraId="5CA8B2D4" w14:textId="4EE14449" w:rsidR="004E498D" w:rsidRPr="00A04585" w:rsidRDefault="004E498D" w:rsidP="002E7CFF">
      <w:pPr>
        <w:pStyle w:val="Sinespaciado"/>
        <w:jc w:val="both"/>
        <w:rPr>
          <w:rFonts w:ascii="Trebuchet MS" w:hAnsi="Trebuchet MS"/>
          <w:color w:val="000000"/>
          <w:sz w:val="24"/>
          <w:szCs w:val="24"/>
          <w:lang w:val="es-ES_tradnl" w:eastAsia="es-MX"/>
        </w:rPr>
      </w:pPr>
    </w:p>
    <w:p w14:paraId="3305731F" w14:textId="24427914" w:rsidR="004E498D" w:rsidRPr="00A04585" w:rsidRDefault="004E498D"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A efecto de que tanto</w:t>
      </w:r>
      <w:r w:rsidR="00691D5F" w:rsidRPr="00A04585">
        <w:rPr>
          <w:rFonts w:ascii="Trebuchet MS" w:hAnsi="Trebuchet MS"/>
          <w:color w:val="000000"/>
          <w:sz w:val="24"/>
          <w:szCs w:val="24"/>
          <w:lang w:val="es-ES_tradnl" w:eastAsia="es-MX"/>
        </w:rPr>
        <w:t xml:space="preserve"> </w:t>
      </w:r>
      <w:r w:rsidRPr="00A04585">
        <w:rPr>
          <w:rFonts w:ascii="Trebuchet MS" w:hAnsi="Trebuchet MS"/>
          <w:color w:val="000000"/>
          <w:sz w:val="24"/>
          <w:szCs w:val="24"/>
          <w:lang w:val="es-ES_tradnl" w:eastAsia="es-MX"/>
        </w:rPr>
        <w:t xml:space="preserve">los partidos nacionales como los locales referidos, puedan contar de forma oportuna con sus prerrogativas económicas y estén en condiciones de ejercerlas debidamente, se </w:t>
      </w:r>
      <w:r w:rsidR="0035202E" w:rsidRPr="00A04585">
        <w:rPr>
          <w:rFonts w:ascii="Trebuchet MS" w:hAnsi="Trebuchet MS"/>
          <w:color w:val="000000"/>
          <w:sz w:val="24"/>
          <w:szCs w:val="24"/>
          <w:lang w:val="es-ES_tradnl" w:eastAsia="es-MX"/>
        </w:rPr>
        <w:t xml:space="preserve">determina </w:t>
      </w:r>
      <w:r w:rsidRPr="00A04585">
        <w:rPr>
          <w:rFonts w:ascii="Trebuchet MS" w:hAnsi="Trebuchet MS"/>
          <w:color w:val="000000"/>
          <w:sz w:val="24"/>
          <w:szCs w:val="24"/>
          <w:lang w:val="es-ES_tradnl" w:eastAsia="es-MX"/>
        </w:rPr>
        <w:t xml:space="preserve">que las ministraciones </w:t>
      </w:r>
      <w:r w:rsidR="0035202E" w:rsidRPr="00A04585">
        <w:rPr>
          <w:rFonts w:ascii="Trebuchet MS" w:hAnsi="Trebuchet MS"/>
          <w:color w:val="000000"/>
          <w:sz w:val="24"/>
          <w:szCs w:val="24"/>
          <w:lang w:val="es-ES_tradnl" w:eastAsia="es-MX"/>
        </w:rPr>
        <w:t xml:space="preserve">mensuales </w:t>
      </w:r>
      <w:r w:rsidRPr="00A04585">
        <w:rPr>
          <w:rFonts w:ascii="Trebuchet MS" w:hAnsi="Trebuchet MS"/>
          <w:color w:val="000000"/>
          <w:sz w:val="24"/>
          <w:szCs w:val="24"/>
          <w:lang w:val="es-ES_tradnl" w:eastAsia="es-MX"/>
        </w:rPr>
        <w:t>correspondientes se</w:t>
      </w:r>
      <w:r w:rsidR="0035202E" w:rsidRPr="00A04585">
        <w:rPr>
          <w:rFonts w:ascii="Trebuchet MS" w:hAnsi="Trebuchet MS"/>
          <w:color w:val="000000"/>
          <w:sz w:val="24"/>
          <w:szCs w:val="24"/>
          <w:lang w:val="es-ES_tradnl" w:eastAsia="es-MX"/>
        </w:rPr>
        <w:t>an</w:t>
      </w:r>
      <w:r w:rsidRPr="00A04585">
        <w:rPr>
          <w:rFonts w:ascii="Trebuchet MS" w:hAnsi="Trebuchet MS"/>
          <w:color w:val="000000"/>
          <w:sz w:val="24"/>
          <w:szCs w:val="24"/>
          <w:lang w:val="es-ES_tradnl" w:eastAsia="es-MX"/>
        </w:rPr>
        <w:t xml:space="preserve"> </w:t>
      </w:r>
      <w:r w:rsidR="0035202E" w:rsidRPr="00A04585">
        <w:rPr>
          <w:rFonts w:ascii="Trebuchet MS" w:hAnsi="Trebuchet MS"/>
          <w:color w:val="000000"/>
          <w:sz w:val="24"/>
          <w:szCs w:val="24"/>
          <w:lang w:val="es-ES_tradnl" w:eastAsia="es-MX"/>
        </w:rPr>
        <w:t>entregadas a cada uno</w:t>
      </w:r>
      <w:r w:rsidRPr="00A04585">
        <w:rPr>
          <w:rFonts w:ascii="Trebuchet MS" w:hAnsi="Trebuchet MS"/>
          <w:color w:val="000000"/>
          <w:sz w:val="24"/>
          <w:szCs w:val="24"/>
          <w:lang w:val="es-ES_tradnl" w:eastAsia="es-MX"/>
        </w:rPr>
        <w:t xml:space="preserve"> dentro de los primeros diez días de cada mes, a partir de enero próximo y hasta diciembre de la mencionada anualidad</w:t>
      </w:r>
      <w:r w:rsidR="0019637C" w:rsidRPr="00A04585">
        <w:rPr>
          <w:rFonts w:ascii="Trebuchet MS" w:hAnsi="Trebuchet MS"/>
          <w:color w:val="000000"/>
          <w:sz w:val="24"/>
          <w:szCs w:val="24"/>
          <w:lang w:val="es-ES_tradnl" w:eastAsia="es-MX"/>
        </w:rPr>
        <w:t>, conforme a los montos aprobados en el presente acuerdo.</w:t>
      </w:r>
    </w:p>
    <w:p w14:paraId="67DA8344" w14:textId="77777777" w:rsidR="004E498D" w:rsidRPr="00242547" w:rsidRDefault="004E498D" w:rsidP="002E7CFF">
      <w:pPr>
        <w:pStyle w:val="Sinespaciado"/>
        <w:jc w:val="both"/>
        <w:rPr>
          <w:rFonts w:ascii="Trebuchet MS" w:hAnsi="Trebuchet MS"/>
          <w:color w:val="000000"/>
          <w:sz w:val="24"/>
          <w:szCs w:val="24"/>
          <w:lang w:val="es-ES_tradnl" w:eastAsia="es-MX"/>
        </w:rPr>
      </w:pPr>
    </w:p>
    <w:p w14:paraId="3E96DAF1" w14:textId="54337AD7" w:rsidR="000904FF" w:rsidRPr="00A04585" w:rsidRDefault="000904FF" w:rsidP="002E7CFF">
      <w:pPr>
        <w:pStyle w:val="Sinespaciado"/>
        <w:jc w:val="both"/>
        <w:rPr>
          <w:rFonts w:ascii="Trebuchet MS" w:hAnsi="Trebuchet MS"/>
          <w:color w:val="000000"/>
          <w:sz w:val="24"/>
          <w:szCs w:val="24"/>
          <w:lang w:val="es-ES_tradnl" w:eastAsia="es-MX"/>
        </w:rPr>
      </w:pPr>
      <w:r w:rsidRPr="00A04585">
        <w:rPr>
          <w:rFonts w:ascii="Trebuchet MS" w:hAnsi="Trebuchet MS"/>
          <w:color w:val="000000"/>
          <w:sz w:val="24"/>
          <w:szCs w:val="24"/>
          <w:lang w:val="es-ES_tradnl" w:eastAsia="es-MX"/>
        </w:rPr>
        <w:t xml:space="preserve">Por lo anteriormente expuesto y fundado, se </w:t>
      </w:r>
    </w:p>
    <w:p w14:paraId="452AAC59" w14:textId="77777777" w:rsidR="00F040EE" w:rsidRPr="00A04585" w:rsidRDefault="00F040EE" w:rsidP="002E7CFF">
      <w:pPr>
        <w:pStyle w:val="Sinespaciado"/>
        <w:jc w:val="both"/>
        <w:rPr>
          <w:rFonts w:ascii="Trebuchet MS" w:hAnsi="Trebuchet MS"/>
          <w:color w:val="000000"/>
          <w:sz w:val="24"/>
          <w:szCs w:val="24"/>
          <w:lang w:val="es-ES_tradnl" w:eastAsia="es-MX"/>
        </w:rPr>
      </w:pPr>
    </w:p>
    <w:p w14:paraId="55FC6D89" w14:textId="5002FC08" w:rsidR="000904FF" w:rsidRPr="00A04585" w:rsidRDefault="000904FF" w:rsidP="002E7CFF">
      <w:pPr>
        <w:pStyle w:val="Sinespaciado"/>
        <w:jc w:val="both"/>
        <w:rPr>
          <w:rFonts w:ascii="Trebuchet MS" w:hAnsi="Trebuchet MS"/>
          <w:color w:val="000000"/>
          <w:sz w:val="24"/>
          <w:szCs w:val="24"/>
          <w:lang w:val="es-ES_tradnl" w:eastAsia="es-MX"/>
        </w:rPr>
      </w:pPr>
    </w:p>
    <w:p w14:paraId="1D8BA1E4" w14:textId="7ECB092B" w:rsidR="000904FF" w:rsidRPr="00A04585" w:rsidRDefault="000904FF" w:rsidP="002E7CFF">
      <w:pPr>
        <w:pStyle w:val="Sinespaciado"/>
        <w:jc w:val="center"/>
        <w:rPr>
          <w:rFonts w:ascii="Trebuchet MS" w:hAnsi="Trebuchet MS"/>
          <w:b/>
          <w:bCs/>
          <w:color w:val="000000"/>
          <w:sz w:val="24"/>
          <w:szCs w:val="24"/>
          <w:lang w:val="es-ES_tradnl" w:eastAsia="es-MX"/>
        </w:rPr>
      </w:pPr>
      <w:r w:rsidRPr="00A04585">
        <w:rPr>
          <w:rFonts w:ascii="Trebuchet MS" w:hAnsi="Trebuchet MS"/>
          <w:b/>
          <w:bCs/>
          <w:color w:val="000000"/>
          <w:sz w:val="24"/>
          <w:szCs w:val="24"/>
          <w:lang w:val="es-ES_tradnl" w:eastAsia="es-MX"/>
        </w:rPr>
        <w:t>A C U E R D A</w:t>
      </w:r>
    </w:p>
    <w:p w14:paraId="5EE86AB0" w14:textId="77777777" w:rsidR="00F040EE" w:rsidRPr="00A04585" w:rsidRDefault="00F040EE" w:rsidP="002E7CFF">
      <w:pPr>
        <w:pStyle w:val="Sinespaciado"/>
        <w:jc w:val="center"/>
        <w:rPr>
          <w:rFonts w:ascii="Trebuchet MS" w:hAnsi="Trebuchet MS"/>
          <w:b/>
          <w:bCs/>
          <w:color w:val="000000"/>
          <w:sz w:val="24"/>
          <w:szCs w:val="24"/>
          <w:lang w:val="es-ES_tradnl" w:eastAsia="es-MX"/>
        </w:rPr>
      </w:pPr>
    </w:p>
    <w:p w14:paraId="4E2BA7FD" w14:textId="77777777" w:rsidR="0011765A" w:rsidRPr="00A04585" w:rsidRDefault="0011765A" w:rsidP="002E7CFF">
      <w:pPr>
        <w:pStyle w:val="Sinespaciado"/>
        <w:jc w:val="center"/>
        <w:rPr>
          <w:rFonts w:ascii="Trebuchet MS" w:hAnsi="Trebuchet MS"/>
          <w:b/>
          <w:bCs/>
          <w:color w:val="000000"/>
          <w:sz w:val="24"/>
          <w:szCs w:val="24"/>
          <w:lang w:val="es-ES_tradnl" w:eastAsia="es-MX"/>
        </w:rPr>
      </w:pPr>
    </w:p>
    <w:p w14:paraId="47046DEB" w14:textId="3C32F8AF" w:rsidR="00423696" w:rsidRPr="00A04585" w:rsidRDefault="00423696" w:rsidP="002E7CFF">
      <w:pPr>
        <w:pStyle w:val="Sinespaciado"/>
        <w:jc w:val="both"/>
        <w:rPr>
          <w:rFonts w:ascii="Trebuchet MS" w:hAnsi="Trebuchet MS"/>
          <w:bCs/>
          <w:color w:val="000000"/>
          <w:sz w:val="24"/>
          <w:szCs w:val="24"/>
          <w:lang w:val="es-ES_tradnl" w:eastAsia="es-MX"/>
        </w:rPr>
      </w:pPr>
      <w:r w:rsidRPr="00A04585">
        <w:rPr>
          <w:rFonts w:ascii="Trebuchet MS" w:hAnsi="Trebuchet MS"/>
          <w:b/>
          <w:bCs/>
          <w:color w:val="000000"/>
          <w:sz w:val="24"/>
          <w:szCs w:val="24"/>
          <w:lang w:val="es-ES_tradnl" w:eastAsia="es-MX"/>
        </w:rPr>
        <w:t xml:space="preserve">PRIMERO. </w:t>
      </w:r>
      <w:r w:rsidRPr="00A04585">
        <w:rPr>
          <w:rFonts w:ascii="Trebuchet MS" w:hAnsi="Trebuchet MS"/>
          <w:bCs/>
          <w:color w:val="000000"/>
          <w:sz w:val="24"/>
          <w:szCs w:val="24"/>
          <w:lang w:val="es-ES_tradnl" w:eastAsia="es-MX"/>
        </w:rPr>
        <w:t>Se aprueban los montos de financiamiento público para los partidos políticos nacionales y locales en términos del considerando VII del presente acuerdo, para actividades ordinarias y específicas</w:t>
      </w:r>
      <w:r w:rsidR="00771710" w:rsidRPr="00A04585">
        <w:rPr>
          <w:rFonts w:ascii="Trebuchet MS" w:hAnsi="Trebuchet MS"/>
          <w:bCs/>
          <w:color w:val="000000"/>
          <w:sz w:val="24"/>
          <w:szCs w:val="24"/>
          <w:lang w:val="es-ES_tradnl" w:eastAsia="es-MX"/>
        </w:rPr>
        <w:t>,</w:t>
      </w:r>
      <w:r w:rsidRPr="00A04585">
        <w:rPr>
          <w:rFonts w:ascii="Trebuchet MS" w:hAnsi="Trebuchet MS"/>
          <w:bCs/>
          <w:color w:val="000000"/>
          <w:sz w:val="24"/>
          <w:szCs w:val="24"/>
          <w:lang w:val="es-ES_tradnl" w:eastAsia="es-MX"/>
        </w:rPr>
        <w:t xml:space="preserve"> </w:t>
      </w:r>
      <w:r w:rsidR="00771710" w:rsidRPr="00A04585">
        <w:rPr>
          <w:rFonts w:ascii="Trebuchet MS" w:hAnsi="Trebuchet MS"/>
          <w:bCs/>
          <w:color w:val="000000"/>
          <w:sz w:val="24"/>
          <w:szCs w:val="24"/>
          <w:lang w:val="es-ES_tradnl" w:eastAsia="es-MX"/>
        </w:rPr>
        <w:t>del</w:t>
      </w:r>
      <w:r w:rsidRPr="00A04585">
        <w:rPr>
          <w:rFonts w:ascii="Trebuchet MS" w:hAnsi="Trebuchet MS"/>
          <w:bCs/>
          <w:color w:val="000000"/>
          <w:sz w:val="24"/>
          <w:szCs w:val="24"/>
          <w:lang w:val="es-ES_tradnl" w:eastAsia="es-MX"/>
        </w:rPr>
        <w:t xml:space="preserve"> ejercicio </w:t>
      </w:r>
      <w:r w:rsidR="00C6648A" w:rsidRPr="00A04585">
        <w:rPr>
          <w:rFonts w:ascii="Trebuchet MS" w:hAnsi="Trebuchet MS"/>
          <w:bCs/>
          <w:color w:val="000000"/>
          <w:sz w:val="24"/>
          <w:szCs w:val="24"/>
          <w:lang w:val="es-ES_tradnl" w:eastAsia="es-MX"/>
        </w:rPr>
        <w:t>fiscal del año dos mil veintitrés</w:t>
      </w:r>
      <w:r w:rsidRPr="00A04585">
        <w:rPr>
          <w:rFonts w:ascii="Trebuchet MS" w:hAnsi="Trebuchet MS"/>
          <w:bCs/>
          <w:color w:val="000000"/>
          <w:sz w:val="24"/>
          <w:szCs w:val="24"/>
          <w:lang w:val="es-ES_tradnl" w:eastAsia="es-MX"/>
        </w:rPr>
        <w:t>.</w:t>
      </w:r>
    </w:p>
    <w:p w14:paraId="0FF9A904" w14:textId="77777777" w:rsidR="00423696" w:rsidRPr="00242547" w:rsidRDefault="00423696" w:rsidP="002E7CFF">
      <w:pPr>
        <w:pStyle w:val="Sinespaciado"/>
        <w:jc w:val="both"/>
        <w:rPr>
          <w:rFonts w:ascii="Trebuchet MS" w:hAnsi="Trebuchet MS"/>
          <w:b/>
          <w:bCs/>
          <w:color w:val="000000"/>
          <w:sz w:val="24"/>
          <w:szCs w:val="24"/>
          <w:lang w:val="es-ES_tradnl" w:eastAsia="es-MX"/>
        </w:rPr>
      </w:pPr>
    </w:p>
    <w:p w14:paraId="70858489" w14:textId="383ED9AF" w:rsidR="000904FF" w:rsidRPr="00A04585" w:rsidRDefault="00E239D6"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SEGUNDO</w:t>
      </w:r>
      <w:r w:rsidR="000904FF" w:rsidRPr="00A04585">
        <w:rPr>
          <w:rFonts w:ascii="Trebuchet MS" w:hAnsi="Trebuchet MS"/>
          <w:b/>
          <w:bCs/>
          <w:color w:val="000000"/>
          <w:sz w:val="24"/>
          <w:szCs w:val="24"/>
          <w:lang w:val="es-ES_tradnl" w:eastAsia="es-MX"/>
        </w:rPr>
        <w:t>.</w:t>
      </w:r>
      <w:r w:rsidR="009E3452" w:rsidRPr="00A04585">
        <w:rPr>
          <w:rFonts w:ascii="Trebuchet MS" w:hAnsi="Trebuchet MS"/>
          <w:color w:val="000000"/>
          <w:sz w:val="24"/>
          <w:szCs w:val="24"/>
          <w:lang w:val="es-ES_tradnl" w:eastAsia="es-MX"/>
        </w:rPr>
        <w:t xml:space="preserve"> Se ordena entregar el financiamiento local a los partidos políticos nacionales y locales en los términos precisados en el considerando</w:t>
      </w:r>
      <w:r w:rsidRPr="00A04585">
        <w:rPr>
          <w:rFonts w:ascii="Trebuchet MS" w:hAnsi="Trebuchet MS"/>
          <w:color w:val="000000"/>
          <w:sz w:val="24"/>
          <w:szCs w:val="24"/>
          <w:lang w:val="es-ES_tradnl" w:eastAsia="es-MX"/>
        </w:rPr>
        <w:t xml:space="preserve"> VII</w:t>
      </w:r>
      <w:r w:rsidR="009E3452" w:rsidRPr="00A04585">
        <w:rPr>
          <w:rFonts w:ascii="Trebuchet MS" w:hAnsi="Trebuchet MS"/>
          <w:color w:val="000000"/>
          <w:sz w:val="24"/>
          <w:szCs w:val="24"/>
          <w:lang w:val="es-ES_tradnl" w:eastAsia="es-MX"/>
        </w:rPr>
        <w:t xml:space="preserve"> de este acuerdo</w:t>
      </w:r>
      <w:r w:rsidR="00B45E91" w:rsidRPr="00A04585">
        <w:rPr>
          <w:rFonts w:ascii="Trebuchet MS" w:hAnsi="Trebuchet MS"/>
          <w:color w:val="000000"/>
          <w:sz w:val="24"/>
          <w:szCs w:val="24"/>
          <w:lang w:val="es-ES_tradnl" w:eastAsia="es-MX"/>
        </w:rPr>
        <w:t>,</w:t>
      </w:r>
      <w:r w:rsidR="009E3452" w:rsidRPr="00A04585">
        <w:rPr>
          <w:rFonts w:ascii="Trebuchet MS" w:hAnsi="Trebuchet MS"/>
          <w:color w:val="000000"/>
          <w:sz w:val="24"/>
          <w:szCs w:val="24"/>
          <w:lang w:val="es-ES_tradnl" w:eastAsia="es-MX"/>
        </w:rPr>
        <w:t xml:space="preserve"> </w:t>
      </w:r>
      <w:r w:rsidR="0011765A" w:rsidRPr="00A04585">
        <w:rPr>
          <w:rFonts w:ascii="Trebuchet MS" w:hAnsi="Trebuchet MS"/>
          <w:color w:val="000000"/>
          <w:sz w:val="24"/>
          <w:szCs w:val="24"/>
          <w:lang w:val="es-ES_tradnl" w:eastAsia="es-MX"/>
        </w:rPr>
        <w:t xml:space="preserve">titulado RESUMEN FINANCIERO Y MONTO MINISTRACIONES MENSUALES, conforme a los montos </w:t>
      </w:r>
      <w:r w:rsidR="00C6648A" w:rsidRPr="00A04585">
        <w:rPr>
          <w:rFonts w:ascii="Trebuchet MS" w:hAnsi="Trebuchet MS"/>
          <w:color w:val="000000"/>
          <w:sz w:val="24"/>
          <w:szCs w:val="24"/>
          <w:lang w:val="es-ES_tradnl" w:eastAsia="es-MX"/>
        </w:rPr>
        <w:t>indicados</w:t>
      </w:r>
      <w:r w:rsidR="0011765A" w:rsidRPr="00A04585">
        <w:rPr>
          <w:rFonts w:ascii="Trebuchet MS" w:hAnsi="Trebuchet MS"/>
          <w:color w:val="000000"/>
          <w:sz w:val="24"/>
          <w:szCs w:val="24"/>
          <w:lang w:val="es-ES_tradnl" w:eastAsia="es-MX"/>
        </w:rPr>
        <w:t>.</w:t>
      </w:r>
    </w:p>
    <w:p w14:paraId="7E9E0FFC" w14:textId="10D84537" w:rsidR="000904FF" w:rsidRPr="00A04585" w:rsidRDefault="000904FF" w:rsidP="002E7CFF">
      <w:pPr>
        <w:pStyle w:val="Sinespaciado"/>
        <w:rPr>
          <w:rFonts w:ascii="Trebuchet MS" w:hAnsi="Trebuchet MS"/>
          <w:b/>
          <w:bCs/>
          <w:color w:val="000000"/>
          <w:sz w:val="24"/>
          <w:szCs w:val="24"/>
          <w:lang w:val="es-ES_tradnl" w:eastAsia="es-MX"/>
        </w:rPr>
      </w:pPr>
    </w:p>
    <w:p w14:paraId="53E3FC76" w14:textId="1B59FF4E" w:rsidR="000904FF" w:rsidRPr="00A04585" w:rsidRDefault="00F63E34" w:rsidP="002E7CFF">
      <w:pPr>
        <w:pStyle w:val="Sinespaciado"/>
        <w:jc w:val="both"/>
        <w:rPr>
          <w:rFonts w:ascii="Trebuchet MS" w:hAnsi="Trebuchet MS"/>
          <w:color w:val="000000"/>
          <w:sz w:val="24"/>
          <w:szCs w:val="24"/>
          <w:lang w:val="es-ES_tradnl" w:eastAsia="es-MX"/>
        </w:rPr>
      </w:pPr>
      <w:r w:rsidRPr="00A04585">
        <w:rPr>
          <w:rFonts w:ascii="Trebuchet MS" w:hAnsi="Trebuchet MS"/>
          <w:b/>
          <w:bCs/>
          <w:color w:val="000000"/>
          <w:sz w:val="24"/>
          <w:szCs w:val="24"/>
          <w:lang w:val="es-ES_tradnl" w:eastAsia="es-MX"/>
        </w:rPr>
        <w:t>TERCERO</w:t>
      </w:r>
      <w:r w:rsidR="000904FF" w:rsidRPr="00A04585">
        <w:rPr>
          <w:rFonts w:ascii="Trebuchet MS" w:hAnsi="Trebuchet MS"/>
          <w:b/>
          <w:bCs/>
          <w:color w:val="000000"/>
          <w:sz w:val="24"/>
          <w:szCs w:val="24"/>
          <w:lang w:val="es-ES_tradnl" w:eastAsia="es-MX"/>
        </w:rPr>
        <w:t>.</w:t>
      </w:r>
      <w:r w:rsidR="0011765A" w:rsidRPr="00A04585">
        <w:rPr>
          <w:rFonts w:ascii="Trebuchet MS" w:hAnsi="Trebuchet MS"/>
          <w:b/>
          <w:bCs/>
          <w:color w:val="000000"/>
          <w:sz w:val="24"/>
          <w:szCs w:val="24"/>
          <w:lang w:val="es-ES_tradnl" w:eastAsia="es-MX"/>
        </w:rPr>
        <w:t xml:space="preserve"> </w:t>
      </w:r>
      <w:r w:rsidR="0011765A" w:rsidRPr="00A04585">
        <w:rPr>
          <w:rFonts w:ascii="Trebuchet MS" w:hAnsi="Trebuchet MS"/>
          <w:color w:val="000000"/>
          <w:sz w:val="24"/>
          <w:szCs w:val="24"/>
          <w:lang w:val="es-ES_tradnl" w:eastAsia="es-MX"/>
        </w:rPr>
        <w:t>Los montos de financiamiento referidos, deberán otorgarse mediante ministraciones mensuales conforme a los importes expresados en las tablas insertas en el considerando</w:t>
      </w:r>
      <w:r w:rsidR="00DA53F9" w:rsidRPr="00A04585">
        <w:rPr>
          <w:rFonts w:ascii="Trebuchet MS" w:hAnsi="Trebuchet MS"/>
          <w:color w:val="000000"/>
          <w:sz w:val="24"/>
          <w:szCs w:val="24"/>
          <w:lang w:val="es-ES_tradnl" w:eastAsia="es-MX"/>
        </w:rPr>
        <w:t xml:space="preserve"> VII</w:t>
      </w:r>
      <w:r w:rsidR="0096045B" w:rsidRPr="00A04585">
        <w:rPr>
          <w:rFonts w:ascii="Trebuchet MS" w:hAnsi="Trebuchet MS"/>
          <w:color w:val="000000"/>
          <w:sz w:val="24"/>
          <w:szCs w:val="24"/>
          <w:lang w:val="es-ES_tradnl" w:eastAsia="es-MX"/>
        </w:rPr>
        <w:t xml:space="preserve"> </w:t>
      </w:r>
      <w:r w:rsidR="009E3043" w:rsidRPr="00A04585">
        <w:rPr>
          <w:rFonts w:ascii="Trebuchet MS" w:hAnsi="Trebuchet MS"/>
          <w:color w:val="000000"/>
          <w:sz w:val="24"/>
          <w:szCs w:val="24"/>
          <w:lang w:val="es-ES_tradnl" w:eastAsia="es-MX"/>
        </w:rPr>
        <w:t>del presente acuerdo</w:t>
      </w:r>
      <w:r w:rsidR="00C6648A" w:rsidRPr="00A04585">
        <w:rPr>
          <w:rFonts w:ascii="Trebuchet MS" w:hAnsi="Trebuchet MS"/>
          <w:color w:val="000000"/>
          <w:sz w:val="24"/>
          <w:szCs w:val="24"/>
          <w:lang w:val="es-ES_tradnl" w:eastAsia="es-MX"/>
        </w:rPr>
        <w:t>.</w:t>
      </w:r>
    </w:p>
    <w:p w14:paraId="28E1A065" w14:textId="476BF31B" w:rsidR="007C099E" w:rsidRPr="00242547" w:rsidRDefault="0011765A" w:rsidP="002E7CFF">
      <w:pPr>
        <w:pStyle w:val="Prrafodelista"/>
        <w:ind w:left="0"/>
        <w:rPr>
          <w:rFonts w:ascii="Trebuchet MS" w:hAnsi="Trebuchet MS"/>
          <w:b/>
          <w:bCs/>
          <w:lang w:val="es-ES_tradnl"/>
        </w:rPr>
      </w:pPr>
      <w:r w:rsidRPr="00242547">
        <w:rPr>
          <w:rFonts w:ascii="Trebuchet MS" w:hAnsi="Trebuchet MS"/>
          <w:b/>
          <w:bCs/>
          <w:lang w:val="es-ES_tradnl"/>
        </w:rPr>
        <w:t xml:space="preserve"> </w:t>
      </w:r>
    </w:p>
    <w:p w14:paraId="6D66D761" w14:textId="5013B464" w:rsidR="006C2AAF" w:rsidRPr="00A04585" w:rsidRDefault="003F4EC3" w:rsidP="002E7CFF">
      <w:pPr>
        <w:pStyle w:val="Prrafodelista"/>
        <w:ind w:left="0"/>
        <w:jc w:val="both"/>
        <w:rPr>
          <w:rFonts w:ascii="Trebuchet MS" w:hAnsi="Trebuchet MS"/>
          <w:lang w:val="es-ES_tradnl"/>
        </w:rPr>
      </w:pPr>
      <w:r w:rsidRPr="00A04585">
        <w:rPr>
          <w:rFonts w:ascii="Trebuchet MS" w:hAnsi="Trebuchet MS"/>
          <w:b/>
          <w:bCs/>
          <w:lang w:val="es-ES_tradnl"/>
        </w:rPr>
        <w:t>CUARTO</w:t>
      </w:r>
      <w:r w:rsidR="0011765A" w:rsidRPr="00A04585">
        <w:rPr>
          <w:rFonts w:ascii="Trebuchet MS" w:hAnsi="Trebuchet MS"/>
          <w:b/>
          <w:bCs/>
          <w:lang w:val="es-ES_tradnl"/>
        </w:rPr>
        <w:t xml:space="preserve">. </w:t>
      </w:r>
      <w:r w:rsidR="00347760" w:rsidRPr="00A04585">
        <w:rPr>
          <w:rFonts w:ascii="Trebuchet MS" w:hAnsi="Trebuchet MS"/>
          <w:lang w:val="es-ES_tradnl"/>
        </w:rPr>
        <w:t>Se aprueba el calendario para la entrega de las ministraciones mensuales de financiamiento público ordinario y actividades específicas, en términos de lo expresado en el considerando VIII del presente acuerdo.</w:t>
      </w:r>
    </w:p>
    <w:p w14:paraId="1EFC3E11" w14:textId="77777777" w:rsidR="0096045B" w:rsidRPr="00A04585" w:rsidRDefault="0096045B" w:rsidP="002E7CFF">
      <w:pPr>
        <w:pStyle w:val="Prrafodelista"/>
        <w:ind w:left="0"/>
        <w:jc w:val="both"/>
        <w:rPr>
          <w:rFonts w:ascii="Trebuchet MS" w:hAnsi="Trebuchet MS"/>
          <w:lang w:val="es-ES_tradnl"/>
        </w:rPr>
      </w:pPr>
    </w:p>
    <w:p w14:paraId="200DCA0E" w14:textId="4BF40809" w:rsidR="00BB37BD" w:rsidRPr="00A04585" w:rsidRDefault="0096045B" w:rsidP="002E7CFF">
      <w:pPr>
        <w:pStyle w:val="Prrafodelista"/>
        <w:ind w:left="0"/>
        <w:jc w:val="both"/>
        <w:rPr>
          <w:rFonts w:ascii="Trebuchet MS" w:hAnsi="Trebuchet MS"/>
          <w:lang w:val="es-ES_tradnl"/>
        </w:rPr>
      </w:pPr>
      <w:r w:rsidRPr="00242547">
        <w:rPr>
          <w:rFonts w:ascii="Trebuchet MS" w:hAnsi="Trebuchet MS"/>
          <w:b/>
          <w:lang w:val="es-ES_tradnl"/>
        </w:rPr>
        <w:t xml:space="preserve">QUINTO. </w:t>
      </w:r>
      <w:r w:rsidR="00C9612F" w:rsidRPr="00A04585">
        <w:rPr>
          <w:rFonts w:ascii="Trebuchet MS" w:eastAsia="Times New Roman" w:hAnsi="Trebuchet MS" w:cs="Times New Roman"/>
          <w:bCs/>
          <w:lang w:eastAsia="es-ES"/>
        </w:rPr>
        <w:t xml:space="preserve">Remítase al titular del Poder Ejecutivo del Estado, por conducto de la consejera presidenta </w:t>
      </w:r>
      <w:r w:rsidR="00C9612F" w:rsidRPr="00A04585">
        <w:rPr>
          <w:rFonts w:ascii="Trebuchet MS" w:eastAsia="Times New Roman" w:hAnsi="Trebuchet MS" w:cs="Times New Roman"/>
          <w:lang w:eastAsia="es-ES"/>
        </w:rPr>
        <w:t xml:space="preserve">de este organismo electoral, </w:t>
      </w:r>
      <w:r w:rsidR="00C9612F" w:rsidRPr="00A04585">
        <w:rPr>
          <w:rFonts w:ascii="Trebuchet MS" w:eastAsia="Times New Roman" w:hAnsi="Trebuchet MS" w:cs="Times New Roman"/>
          <w:bCs/>
          <w:lang w:eastAsia="es-ES"/>
        </w:rPr>
        <w:t xml:space="preserve">copia certificada del presente acuerdo, así como </w:t>
      </w:r>
      <w:r w:rsidR="00D3193E" w:rsidRPr="00A04585">
        <w:rPr>
          <w:rFonts w:ascii="Trebuchet MS" w:eastAsia="Times New Roman" w:hAnsi="Trebuchet MS" w:cs="Times New Roman"/>
          <w:bCs/>
          <w:lang w:eastAsia="es-ES"/>
        </w:rPr>
        <w:t>d</w:t>
      </w:r>
      <w:r w:rsidR="00C9612F" w:rsidRPr="00A04585">
        <w:rPr>
          <w:rFonts w:ascii="Trebuchet MS" w:eastAsia="Times New Roman" w:hAnsi="Trebuchet MS" w:cs="Times New Roman"/>
          <w:bCs/>
          <w:lang w:eastAsia="es-ES"/>
        </w:rPr>
        <w:t>e</w:t>
      </w:r>
      <w:r w:rsidR="00D3193E" w:rsidRPr="00A04585">
        <w:rPr>
          <w:rFonts w:ascii="Trebuchet MS" w:eastAsia="Times New Roman" w:hAnsi="Trebuchet MS" w:cs="Times New Roman"/>
          <w:bCs/>
          <w:lang w:eastAsia="es-ES"/>
        </w:rPr>
        <w:t xml:space="preserve"> </w:t>
      </w:r>
      <w:r w:rsidR="00C9612F" w:rsidRPr="00A04585">
        <w:rPr>
          <w:rFonts w:ascii="Trebuchet MS" w:eastAsia="Times New Roman" w:hAnsi="Trebuchet MS" w:cs="Times New Roman"/>
          <w:bCs/>
          <w:lang w:eastAsia="es-ES"/>
        </w:rPr>
        <w:t>l</w:t>
      </w:r>
      <w:r w:rsidR="00D3193E" w:rsidRPr="00A04585">
        <w:rPr>
          <w:rFonts w:ascii="Trebuchet MS" w:eastAsia="Times New Roman" w:hAnsi="Trebuchet MS" w:cs="Times New Roman"/>
          <w:bCs/>
          <w:lang w:eastAsia="es-ES"/>
        </w:rPr>
        <w:t>os</w:t>
      </w:r>
      <w:r w:rsidR="00C9612F" w:rsidRPr="00A04585">
        <w:rPr>
          <w:rFonts w:ascii="Trebuchet MS" w:eastAsia="Times New Roman" w:hAnsi="Trebuchet MS" w:cs="Times New Roman"/>
          <w:bCs/>
          <w:lang w:eastAsia="es-ES"/>
        </w:rPr>
        <w:t xml:space="preserve"> relativo</w:t>
      </w:r>
      <w:r w:rsidR="00D3193E" w:rsidRPr="00A04585">
        <w:rPr>
          <w:rFonts w:ascii="Trebuchet MS" w:eastAsia="Times New Roman" w:hAnsi="Trebuchet MS" w:cs="Times New Roman"/>
          <w:bCs/>
          <w:lang w:eastAsia="es-ES"/>
        </w:rPr>
        <w:t>s</w:t>
      </w:r>
      <w:r w:rsidR="00C9612F" w:rsidRPr="00A04585">
        <w:rPr>
          <w:rFonts w:ascii="Trebuchet MS" w:eastAsia="Times New Roman" w:hAnsi="Trebuchet MS" w:cs="Times New Roman"/>
          <w:bCs/>
          <w:lang w:eastAsia="es-ES"/>
        </w:rPr>
        <w:t xml:space="preserve"> al anteproyecto de presupuesto de egresos </w:t>
      </w:r>
      <w:r w:rsidR="00D3193E" w:rsidRPr="00A04585">
        <w:rPr>
          <w:rFonts w:ascii="Trebuchet MS" w:eastAsia="Times New Roman" w:hAnsi="Trebuchet MS" w:cs="Times New Roman"/>
          <w:bCs/>
          <w:lang w:eastAsia="es-ES"/>
        </w:rPr>
        <w:t>de</w:t>
      </w:r>
      <w:r w:rsidR="00C9612F" w:rsidRPr="00A04585">
        <w:rPr>
          <w:rFonts w:ascii="Trebuchet MS" w:eastAsia="Times New Roman" w:hAnsi="Trebuchet MS" w:cs="Times New Roman"/>
          <w:bCs/>
          <w:lang w:eastAsia="es-ES"/>
        </w:rPr>
        <w:t>l gasto ordinario</w:t>
      </w:r>
      <w:r w:rsidR="00D3193E" w:rsidRPr="00A04585">
        <w:rPr>
          <w:rFonts w:ascii="Trebuchet MS" w:eastAsia="Times New Roman" w:hAnsi="Trebuchet MS" w:cs="Times New Roman"/>
          <w:bCs/>
          <w:lang w:eastAsia="es-ES"/>
        </w:rPr>
        <w:t xml:space="preserve"> a ejecutarse durante el dos mil veintitrés; y al anteproyecto de egresos del proceso electoral 2023-2024 a ejecutarse durante el dos mil veintitrés</w:t>
      </w:r>
      <w:r w:rsidR="00C9612F" w:rsidRPr="00A04585">
        <w:rPr>
          <w:rFonts w:ascii="Trebuchet MS" w:eastAsia="Times New Roman" w:hAnsi="Trebuchet MS" w:cs="Times New Roman"/>
          <w:bCs/>
          <w:lang w:eastAsia="es-ES"/>
        </w:rPr>
        <w:t xml:space="preserve">, </w:t>
      </w:r>
      <w:r w:rsidR="00C9612F" w:rsidRPr="00A04585">
        <w:rPr>
          <w:rFonts w:ascii="Trebuchet MS" w:eastAsia="Times New Roman" w:hAnsi="Trebuchet MS" w:cs="Times New Roman"/>
          <w:lang w:eastAsia="es-ES"/>
        </w:rPr>
        <w:t xml:space="preserve">a efecto de que los montos contenidos en </w:t>
      </w:r>
      <w:r w:rsidR="00D3193E" w:rsidRPr="00A04585">
        <w:rPr>
          <w:rFonts w:ascii="Trebuchet MS" w:eastAsia="Times New Roman" w:hAnsi="Trebuchet MS" w:cs="Times New Roman"/>
          <w:lang w:eastAsia="es-ES"/>
        </w:rPr>
        <w:t>los tres</w:t>
      </w:r>
      <w:r w:rsidR="00C9612F" w:rsidRPr="00A04585">
        <w:rPr>
          <w:rFonts w:ascii="Trebuchet MS" w:eastAsia="Times New Roman" w:hAnsi="Trebuchet MS" w:cs="Times New Roman"/>
          <w:lang w:eastAsia="es-ES"/>
        </w:rPr>
        <w:t xml:space="preserve"> acuerdos se incluyan en la iniciativa de Presupuesto de Egresos del Estado de Jalisco, para el ejercicio de dos mil veintitrés</w:t>
      </w:r>
      <w:r w:rsidR="00C9612F" w:rsidRPr="00A04585">
        <w:rPr>
          <w:rFonts w:ascii="Trebuchet MS" w:eastAsia="Times New Roman" w:hAnsi="Trebuchet MS" w:cs="Times New Roman"/>
          <w:bCs/>
          <w:lang w:eastAsia="es-ES"/>
        </w:rPr>
        <w:t>.</w:t>
      </w:r>
      <w:r w:rsidR="00BB37BD" w:rsidRPr="00A04585">
        <w:rPr>
          <w:rFonts w:ascii="Trebuchet MS" w:hAnsi="Trebuchet MS"/>
          <w:lang w:val="es-ES_tradnl"/>
        </w:rPr>
        <w:t xml:space="preserve">  </w:t>
      </w:r>
    </w:p>
    <w:p w14:paraId="33C55932" w14:textId="77777777" w:rsidR="00BB37BD" w:rsidRPr="00A04585" w:rsidRDefault="00BB37BD" w:rsidP="002E7CFF">
      <w:pPr>
        <w:pStyle w:val="Prrafodelista"/>
        <w:ind w:left="0"/>
        <w:jc w:val="both"/>
        <w:rPr>
          <w:rFonts w:ascii="Trebuchet MS" w:hAnsi="Trebuchet MS"/>
          <w:b/>
          <w:lang w:val="es-ES_tradnl"/>
        </w:rPr>
      </w:pPr>
    </w:p>
    <w:p w14:paraId="4DE5CE91" w14:textId="2E6FA5B7" w:rsidR="0096045B" w:rsidRPr="00A04585" w:rsidRDefault="00BB37BD" w:rsidP="002E7CFF">
      <w:pPr>
        <w:pStyle w:val="Prrafodelista"/>
        <w:ind w:left="0"/>
        <w:jc w:val="both"/>
        <w:rPr>
          <w:rFonts w:ascii="Trebuchet MS" w:hAnsi="Trebuchet MS"/>
          <w:lang w:val="es-ES_tradnl"/>
        </w:rPr>
      </w:pPr>
      <w:r w:rsidRPr="00242547">
        <w:rPr>
          <w:rFonts w:ascii="Trebuchet MS" w:hAnsi="Trebuchet MS"/>
          <w:b/>
          <w:bCs/>
          <w:lang w:val="es-ES_tradnl"/>
        </w:rPr>
        <w:t>SEXTO.</w:t>
      </w:r>
      <w:r w:rsidRPr="00A04585">
        <w:rPr>
          <w:rFonts w:ascii="Trebuchet MS" w:hAnsi="Trebuchet MS"/>
          <w:lang w:val="es-ES_tradnl"/>
        </w:rPr>
        <w:t xml:space="preserve"> </w:t>
      </w:r>
      <w:r w:rsidR="0096045B" w:rsidRPr="00A04585">
        <w:rPr>
          <w:rFonts w:ascii="Trebuchet MS" w:hAnsi="Trebuchet MS"/>
          <w:lang w:val="es-ES_tradnl"/>
        </w:rPr>
        <w:t xml:space="preserve">Hágase del conocimiento este acuerdo al Instituto Nacional Electoral a través del SIVOPLE, para los efectos conducentes. </w:t>
      </w:r>
    </w:p>
    <w:p w14:paraId="66464E47" w14:textId="3235D907" w:rsidR="0011765A" w:rsidRPr="00242547" w:rsidRDefault="0011765A" w:rsidP="002E7CFF">
      <w:pPr>
        <w:pStyle w:val="Prrafodelista"/>
        <w:ind w:left="0"/>
        <w:jc w:val="both"/>
        <w:rPr>
          <w:rFonts w:ascii="Trebuchet MS" w:hAnsi="Trebuchet MS"/>
          <w:lang w:val="es-ES_tradnl"/>
        </w:rPr>
      </w:pPr>
    </w:p>
    <w:p w14:paraId="56D3B636" w14:textId="548855CF" w:rsidR="0011765A" w:rsidRPr="00A04585" w:rsidRDefault="00BB37BD" w:rsidP="002E7CFF">
      <w:pPr>
        <w:pStyle w:val="Prrafodelista"/>
        <w:ind w:left="0"/>
        <w:jc w:val="both"/>
        <w:rPr>
          <w:rFonts w:ascii="Trebuchet MS" w:hAnsi="Trebuchet MS"/>
          <w:lang w:val="es-ES_tradnl"/>
        </w:rPr>
      </w:pPr>
      <w:r w:rsidRPr="00242547">
        <w:rPr>
          <w:rFonts w:ascii="Trebuchet MS" w:hAnsi="Trebuchet MS"/>
          <w:b/>
          <w:bCs/>
          <w:lang w:val="es-ES_tradnl"/>
        </w:rPr>
        <w:t>SÉPTIMO.</w:t>
      </w:r>
      <w:r w:rsidRPr="00A04585">
        <w:rPr>
          <w:rFonts w:ascii="Trebuchet MS" w:hAnsi="Trebuchet MS"/>
          <w:lang w:val="es-ES_tradnl"/>
        </w:rPr>
        <w:t xml:space="preserve"> </w:t>
      </w:r>
      <w:r w:rsidR="00A31865" w:rsidRPr="00A04585">
        <w:rPr>
          <w:rFonts w:ascii="Trebuchet MS" w:hAnsi="Trebuchet MS"/>
          <w:lang w:val="es-ES_tradnl"/>
        </w:rPr>
        <w:t>Publíquese</w:t>
      </w:r>
      <w:r w:rsidR="0011765A" w:rsidRPr="00A04585">
        <w:rPr>
          <w:rFonts w:ascii="Trebuchet MS" w:hAnsi="Trebuchet MS"/>
          <w:lang w:val="es-ES_tradnl"/>
        </w:rPr>
        <w:t xml:space="preserve"> en el Periódico Oficial “</w:t>
      </w:r>
      <w:r w:rsidR="0011765A" w:rsidRPr="00A04585">
        <w:rPr>
          <w:rFonts w:ascii="Trebuchet MS" w:hAnsi="Trebuchet MS"/>
          <w:i/>
          <w:iCs/>
          <w:lang w:val="es-ES_tradnl"/>
        </w:rPr>
        <w:t>El Estado de Jalisco</w:t>
      </w:r>
      <w:r w:rsidR="0011765A" w:rsidRPr="00A04585">
        <w:rPr>
          <w:rFonts w:ascii="Trebuchet MS" w:hAnsi="Trebuchet MS"/>
          <w:lang w:val="es-ES_tradnl"/>
        </w:rPr>
        <w:t>”, así como en la página de internet oficial de este instituto.</w:t>
      </w:r>
    </w:p>
    <w:p w14:paraId="42A0441D" w14:textId="1961D8D1" w:rsidR="0011765A" w:rsidRPr="00A04585" w:rsidRDefault="0011765A" w:rsidP="002E7CFF">
      <w:pPr>
        <w:pStyle w:val="Prrafodelista"/>
        <w:ind w:left="0"/>
        <w:jc w:val="both"/>
        <w:rPr>
          <w:rFonts w:ascii="Trebuchet MS" w:hAnsi="Trebuchet MS"/>
          <w:lang w:val="es-ES_tradnl"/>
        </w:rPr>
      </w:pPr>
    </w:p>
    <w:p w14:paraId="59C779F4" w14:textId="0D50BE8B" w:rsidR="0011765A" w:rsidRPr="00A04585" w:rsidRDefault="00BB37BD" w:rsidP="002E7CFF">
      <w:pPr>
        <w:pStyle w:val="Prrafodelista"/>
        <w:ind w:left="0"/>
        <w:jc w:val="both"/>
        <w:rPr>
          <w:rFonts w:ascii="Trebuchet MS" w:hAnsi="Trebuchet MS"/>
          <w:lang w:val="es-ES_tradnl"/>
        </w:rPr>
      </w:pPr>
      <w:r w:rsidRPr="00242547">
        <w:rPr>
          <w:rFonts w:ascii="Trebuchet MS" w:hAnsi="Trebuchet MS"/>
          <w:b/>
          <w:lang w:val="es-ES_tradnl"/>
        </w:rPr>
        <w:t>OCTAVO.</w:t>
      </w:r>
      <w:r w:rsidRPr="00A04585">
        <w:rPr>
          <w:rFonts w:ascii="Trebuchet MS" w:hAnsi="Trebuchet MS"/>
          <w:b/>
          <w:lang w:val="es-ES_tradnl"/>
        </w:rPr>
        <w:t xml:space="preserve"> </w:t>
      </w:r>
      <w:r w:rsidR="0011765A" w:rsidRPr="00A04585">
        <w:rPr>
          <w:rFonts w:ascii="Trebuchet MS" w:hAnsi="Trebuchet MS"/>
          <w:lang w:val="es-ES_tradnl"/>
        </w:rPr>
        <w:t>Notifíquese</w:t>
      </w:r>
      <w:r w:rsidR="00E22B7A" w:rsidRPr="00A04585">
        <w:rPr>
          <w:rFonts w:ascii="Trebuchet MS" w:hAnsi="Trebuchet MS"/>
          <w:lang w:val="es-ES_tradnl"/>
        </w:rPr>
        <w:t xml:space="preserve"> el</w:t>
      </w:r>
      <w:r w:rsidR="00BD225E" w:rsidRPr="00A04585">
        <w:rPr>
          <w:rFonts w:ascii="Trebuchet MS" w:hAnsi="Trebuchet MS"/>
          <w:lang w:val="es-ES_tradnl"/>
        </w:rPr>
        <w:t xml:space="preserve"> contenido del</w:t>
      </w:r>
      <w:r w:rsidR="00E22B7A" w:rsidRPr="00A04585">
        <w:rPr>
          <w:rFonts w:ascii="Trebuchet MS" w:hAnsi="Trebuchet MS"/>
          <w:lang w:val="es-ES_tradnl"/>
        </w:rPr>
        <w:t xml:space="preserve"> presente acuerdo</w:t>
      </w:r>
      <w:r w:rsidR="0011765A" w:rsidRPr="00A04585">
        <w:rPr>
          <w:rFonts w:ascii="Trebuchet MS" w:hAnsi="Trebuchet MS"/>
          <w:lang w:val="es-ES_tradnl"/>
        </w:rPr>
        <w:t xml:space="preserve"> a los partidos políticos </w:t>
      </w:r>
      <w:r w:rsidR="00BD225E" w:rsidRPr="00A04585">
        <w:rPr>
          <w:rFonts w:ascii="Trebuchet MS" w:hAnsi="Trebuchet MS"/>
          <w:lang w:val="es-ES_tradnl"/>
        </w:rPr>
        <w:t>registrados y acreditados</w:t>
      </w:r>
      <w:r w:rsidR="0011765A" w:rsidRPr="00A04585">
        <w:rPr>
          <w:rFonts w:ascii="Trebuchet MS" w:hAnsi="Trebuchet MS"/>
          <w:lang w:val="es-ES_tradnl"/>
        </w:rPr>
        <w:t xml:space="preserve"> </w:t>
      </w:r>
      <w:r w:rsidR="008970DB" w:rsidRPr="00A04585">
        <w:rPr>
          <w:rFonts w:ascii="Trebuchet MS" w:hAnsi="Trebuchet MS"/>
          <w:lang w:val="es-ES_tradnl"/>
        </w:rPr>
        <w:t>ante este</w:t>
      </w:r>
      <w:r w:rsidR="0011765A" w:rsidRPr="00A04585">
        <w:rPr>
          <w:rFonts w:ascii="Trebuchet MS" w:hAnsi="Trebuchet MS"/>
          <w:lang w:val="es-ES_tradnl"/>
        </w:rPr>
        <w:t xml:space="preserve"> Consejo General</w:t>
      </w:r>
      <w:r w:rsidR="00D00EB6" w:rsidRPr="00A04585">
        <w:rPr>
          <w:rFonts w:ascii="Trebuchet MS" w:hAnsi="Trebuchet MS"/>
          <w:lang w:val="es-ES_tradnl"/>
        </w:rPr>
        <w:t xml:space="preserve">, </w:t>
      </w:r>
      <w:r w:rsidR="00BD225E" w:rsidRPr="00A04585">
        <w:rPr>
          <w:rFonts w:ascii="Trebuchet MS" w:hAnsi="Trebuchet MS"/>
          <w:lang w:val="es-ES_tradnl"/>
        </w:rPr>
        <w:t>mediante correo electrónico registrado en este Instituto</w:t>
      </w:r>
      <w:r w:rsidR="00D00EB6" w:rsidRPr="00A04585">
        <w:rPr>
          <w:rFonts w:ascii="Trebuchet MS" w:hAnsi="Trebuchet MS"/>
          <w:lang w:val="es-ES_tradnl"/>
        </w:rPr>
        <w:t>.</w:t>
      </w:r>
    </w:p>
    <w:p w14:paraId="6F4FFC7D" w14:textId="77777777" w:rsidR="00F040EE" w:rsidRPr="00A04585" w:rsidRDefault="00F040EE" w:rsidP="002E7CFF">
      <w:pPr>
        <w:pStyle w:val="Prrafodelista"/>
        <w:ind w:left="0"/>
        <w:jc w:val="both"/>
        <w:rPr>
          <w:rFonts w:ascii="Trebuchet MS" w:hAnsi="Trebuchet MS"/>
          <w:lang w:val="es-ES_tradnl"/>
        </w:rPr>
      </w:pPr>
    </w:p>
    <w:p w14:paraId="74CA5399" w14:textId="77777777" w:rsidR="00BE7A39" w:rsidRPr="00242547" w:rsidRDefault="00BE7A39" w:rsidP="002E7CFF">
      <w:pPr>
        <w:pStyle w:val="Prrafodelista"/>
        <w:ind w:left="0"/>
        <w:jc w:val="both"/>
        <w:rPr>
          <w:rFonts w:ascii="Trebuchet MS" w:hAnsi="Trebuchet MS"/>
          <w:lang w:val="es-ES_tradnl"/>
        </w:rPr>
      </w:pPr>
    </w:p>
    <w:p w14:paraId="5F94F6B7" w14:textId="051CBE04" w:rsidR="00BE7A39" w:rsidRPr="00A04585" w:rsidRDefault="00BE7A39" w:rsidP="002E7CFF">
      <w:pPr>
        <w:jc w:val="center"/>
        <w:rPr>
          <w:rFonts w:ascii="Trebuchet MS" w:hAnsi="Trebuchet MS" w:cs="Arial"/>
        </w:rPr>
      </w:pPr>
      <w:r w:rsidRPr="00A04585">
        <w:rPr>
          <w:rFonts w:ascii="Trebuchet MS" w:hAnsi="Trebuchet MS" w:cs="Arial"/>
        </w:rPr>
        <w:t xml:space="preserve">Guadalajara, Jalisco, a </w:t>
      </w:r>
      <w:r w:rsidR="003F721D" w:rsidRPr="00A04585">
        <w:rPr>
          <w:rFonts w:ascii="Trebuchet MS" w:hAnsi="Trebuchet MS" w:cs="Arial"/>
        </w:rPr>
        <w:t>27</w:t>
      </w:r>
      <w:r w:rsidR="002B1CA9" w:rsidRPr="00A04585">
        <w:rPr>
          <w:rFonts w:ascii="Trebuchet MS" w:hAnsi="Trebuchet MS" w:cs="Arial"/>
        </w:rPr>
        <w:t xml:space="preserve"> de </w:t>
      </w:r>
      <w:r w:rsidR="00B65872" w:rsidRPr="00A04585">
        <w:rPr>
          <w:rFonts w:ascii="Trebuchet MS" w:hAnsi="Trebuchet MS" w:cs="Arial"/>
        </w:rPr>
        <w:t>julio 2022</w:t>
      </w:r>
      <w:r w:rsidRPr="00A04585">
        <w:rPr>
          <w:rFonts w:ascii="Trebuchet MS" w:hAnsi="Trebuchet MS" w:cs="Arial"/>
        </w:rPr>
        <w:t>.</w:t>
      </w:r>
    </w:p>
    <w:p w14:paraId="6A9646C9" w14:textId="77777777" w:rsidR="00F040EE" w:rsidRPr="00A04585" w:rsidRDefault="00F040EE" w:rsidP="002E7CFF">
      <w:pPr>
        <w:jc w:val="center"/>
        <w:rPr>
          <w:rFonts w:ascii="Trebuchet MS" w:hAnsi="Trebuchet MS" w:cs="Arial"/>
        </w:rPr>
      </w:pPr>
    </w:p>
    <w:p w14:paraId="70C9AA29" w14:textId="77777777" w:rsidR="00BE7A39" w:rsidRPr="00A04585" w:rsidRDefault="00BE7A39" w:rsidP="002E7CFF">
      <w:pPr>
        <w:jc w:val="center"/>
        <w:rPr>
          <w:rFonts w:ascii="Trebuchet MS" w:hAnsi="Trebuchet MS" w:cs="Arial"/>
        </w:rPr>
      </w:pPr>
    </w:p>
    <w:p w14:paraId="0F195EBB" w14:textId="77777777" w:rsidR="00BE7A39" w:rsidRPr="00A04585" w:rsidRDefault="00BE7A39" w:rsidP="002E7CFF">
      <w:pPr>
        <w:rPr>
          <w:rFonts w:ascii="Trebuchet MS" w:hAnsi="Trebuchet MS"/>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E7A39" w:rsidRPr="00A04585" w14:paraId="6468F7D6" w14:textId="77777777" w:rsidTr="00CA0924">
        <w:tc>
          <w:tcPr>
            <w:tcW w:w="5070" w:type="dxa"/>
            <w:shd w:val="clear" w:color="auto" w:fill="auto"/>
          </w:tcPr>
          <w:p w14:paraId="5B53F104" w14:textId="77777777" w:rsidR="00BE7A39" w:rsidRPr="00A04585" w:rsidRDefault="00BE7A39" w:rsidP="002E7CFF">
            <w:pPr>
              <w:jc w:val="center"/>
              <w:rPr>
                <w:rFonts w:ascii="Trebuchet MS" w:hAnsi="Trebuchet MS" w:cs="Arial"/>
              </w:rPr>
            </w:pPr>
          </w:p>
          <w:p w14:paraId="3E52126D" w14:textId="406BB993" w:rsidR="00BE7A39" w:rsidRPr="00A04585" w:rsidRDefault="00C828A6" w:rsidP="002E7CFF">
            <w:pPr>
              <w:jc w:val="center"/>
              <w:rPr>
                <w:rFonts w:ascii="Trebuchet MS" w:hAnsi="Trebuchet MS" w:cs="Arial"/>
              </w:rPr>
            </w:pPr>
            <w:r w:rsidRPr="00A04585">
              <w:rPr>
                <w:rFonts w:ascii="Trebuchet MS" w:hAnsi="Trebuchet MS" w:cs="Arial"/>
              </w:rPr>
              <w:t xml:space="preserve">Mtra. </w:t>
            </w:r>
            <w:r w:rsidR="00BE7A39" w:rsidRPr="00A04585">
              <w:rPr>
                <w:rFonts w:ascii="Trebuchet MS" w:hAnsi="Trebuchet MS" w:cs="Arial"/>
              </w:rPr>
              <w:t xml:space="preserve">Paula Ramírez </w:t>
            </w:r>
            <w:proofErr w:type="spellStart"/>
            <w:r w:rsidR="00BE7A39" w:rsidRPr="00A04585">
              <w:rPr>
                <w:rFonts w:ascii="Trebuchet MS" w:hAnsi="Trebuchet MS" w:cs="Arial"/>
              </w:rPr>
              <w:t>Höhne</w:t>
            </w:r>
            <w:proofErr w:type="spellEnd"/>
          </w:p>
          <w:p w14:paraId="6D99AF9E" w14:textId="4301AB49" w:rsidR="00BE7A39" w:rsidRPr="00A04585" w:rsidRDefault="0047649B" w:rsidP="002E7CFF">
            <w:pPr>
              <w:jc w:val="center"/>
              <w:rPr>
                <w:rFonts w:ascii="Trebuchet MS" w:hAnsi="Trebuchet MS" w:cs="Arial"/>
              </w:rPr>
            </w:pPr>
            <w:r w:rsidRPr="00A04585">
              <w:rPr>
                <w:rFonts w:ascii="Trebuchet MS" w:hAnsi="Trebuchet MS" w:cs="Arial"/>
              </w:rPr>
              <w:t>La c</w:t>
            </w:r>
            <w:r w:rsidR="00BE7A39" w:rsidRPr="00A04585">
              <w:rPr>
                <w:rFonts w:ascii="Trebuchet MS" w:hAnsi="Trebuchet MS" w:cs="Arial"/>
              </w:rPr>
              <w:t>onsejera presidenta</w:t>
            </w:r>
          </w:p>
        </w:tc>
        <w:tc>
          <w:tcPr>
            <w:tcW w:w="5137" w:type="dxa"/>
            <w:shd w:val="clear" w:color="auto" w:fill="auto"/>
          </w:tcPr>
          <w:p w14:paraId="3BF3404D" w14:textId="77777777" w:rsidR="00BE7A39" w:rsidRPr="00A04585" w:rsidRDefault="00BE7A39" w:rsidP="002E7CFF">
            <w:pPr>
              <w:jc w:val="center"/>
              <w:rPr>
                <w:rFonts w:ascii="Trebuchet MS" w:hAnsi="Trebuchet MS" w:cs="Arial"/>
              </w:rPr>
            </w:pPr>
          </w:p>
          <w:p w14:paraId="7DF6A635" w14:textId="7FBB157D" w:rsidR="00BE7A39" w:rsidRPr="00A04585" w:rsidRDefault="00BE7A39" w:rsidP="002E7CFF">
            <w:pPr>
              <w:jc w:val="center"/>
              <w:rPr>
                <w:rFonts w:ascii="Trebuchet MS" w:hAnsi="Trebuchet MS" w:cs="Arial"/>
              </w:rPr>
            </w:pPr>
            <w:r w:rsidRPr="00A04585">
              <w:rPr>
                <w:rFonts w:ascii="Trebuchet MS" w:hAnsi="Trebuchet MS" w:cs="Arial"/>
              </w:rPr>
              <w:t xml:space="preserve">  </w:t>
            </w:r>
            <w:r w:rsidR="00C828A6" w:rsidRPr="00A04585">
              <w:rPr>
                <w:rFonts w:ascii="Trebuchet MS" w:hAnsi="Trebuchet MS" w:cs="Arial"/>
              </w:rPr>
              <w:t xml:space="preserve">Mtro. </w:t>
            </w:r>
            <w:r w:rsidR="00B65872" w:rsidRPr="00A04585">
              <w:rPr>
                <w:rFonts w:ascii="Trebuchet MS" w:hAnsi="Trebuchet MS" w:cs="Arial"/>
              </w:rPr>
              <w:t>Christian Flores Garza</w:t>
            </w:r>
          </w:p>
          <w:p w14:paraId="7A533018" w14:textId="5EA25DD6" w:rsidR="00BE7A39" w:rsidRPr="00A04585" w:rsidRDefault="00B65872" w:rsidP="002E7CFF">
            <w:pPr>
              <w:jc w:val="center"/>
              <w:rPr>
                <w:rFonts w:ascii="Trebuchet MS" w:hAnsi="Trebuchet MS" w:cs="Arial"/>
              </w:rPr>
            </w:pPr>
            <w:r w:rsidRPr="00A04585">
              <w:rPr>
                <w:rFonts w:ascii="Trebuchet MS" w:hAnsi="Trebuchet MS" w:cs="Arial"/>
              </w:rPr>
              <w:t>El s</w:t>
            </w:r>
            <w:r w:rsidR="00BE7A39" w:rsidRPr="00A04585">
              <w:rPr>
                <w:rFonts w:ascii="Trebuchet MS" w:hAnsi="Trebuchet MS" w:cs="Arial"/>
              </w:rPr>
              <w:t>ecretario ejecutivo</w:t>
            </w:r>
          </w:p>
        </w:tc>
      </w:tr>
    </w:tbl>
    <w:p w14:paraId="47B400F1" w14:textId="77777777" w:rsidR="00BE7A39" w:rsidRPr="00A04585" w:rsidRDefault="00BE7A39" w:rsidP="002E7CFF">
      <w:pPr>
        <w:pStyle w:val="Prrafodelista"/>
        <w:ind w:left="0"/>
        <w:jc w:val="both"/>
        <w:rPr>
          <w:rFonts w:ascii="Trebuchet MS" w:hAnsi="Trebuchet MS"/>
          <w:lang w:val="es-ES_tradnl"/>
        </w:rPr>
      </w:pPr>
    </w:p>
    <w:p w14:paraId="393DDC2D" w14:textId="77777777" w:rsidR="00F969EB" w:rsidRPr="00A04585" w:rsidRDefault="00F969EB" w:rsidP="00775612">
      <w:pPr>
        <w:pStyle w:val="Sinespaciado"/>
        <w:jc w:val="both"/>
        <w:rPr>
          <w:rFonts w:ascii="Trebuchet MS" w:hAnsi="Trebuchet MS"/>
          <w:sz w:val="16"/>
          <w:szCs w:val="16"/>
          <w:lang w:eastAsia="es-ES"/>
        </w:rPr>
      </w:pPr>
    </w:p>
    <w:p w14:paraId="1534755B" w14:textId="77777777" w:rsidR="00F969EB" w:rsidRPr="00A04585" w:rsidRDefault="00F969EB" w:rsidP="00775612">
      <w:pPr>
        <w:pStyle w:val="Sinespaciado"/>
        <w:jc w:val="both"/>
        <w:rPr>
          <w:rFonts w:ascii="Trebuchet MS" w:hAnsi="Trebuchet MS"/>
          <w:sz w:val="16"/>
          <w:szCs w:val="16"/>
          <w:lang w:eastAsia="es-ES"/>
        </w:rPr>
      </w:pPr>
    </w:p>
    <w:p w14:paraId="1886D0B8" w14:textId="77777777" w:rsidR="00F969EB" w:rsidRPr="00A04585" w:rsidRDefault="00F969EB" w:rsidP="00775612">
      <w:pPr>
        <w:pStyle w:val="Sinespaciado"/>
        <w:jc w:val="both"/>
        <w:rPr>
          <w:rFonts w:ascii="Trebuchet MS" w:hAnsi="Trebuchet MS"/>
          <w:sz w:val="16"/>
          <w:szCs w:val="16"/>
          <w:lang w:eastAsia="es-ES"/>
        </w:rPr>
      </w:pPr>
    </w:p>
    <w:p w14:paraId="0701E037" w14:textId="77777777" w:rsidR="00F969EB" w:rsidRPr="00A04585" w:rsidRDefault="00F969EB" w:rsidP="00775612">
      <w:pPr>
        <w:pStyle w:val="Sinespaciado"/>
        <w:jc w:val="both"/>
        <w:rPr>
          <w:rFonts w:ascii="Trebuchet MS" w:hAnsi="Trebuchet MS"/>
          <w:sz w:val="16"/>
          <w:szCs w:val="16"/>
          <w:lang w:eastAsia="es-ES"/>
        </w:rPr>
      </w:pPr>
    </w:p>
    <w:p w14:paraId="6520446D" w14:textId="631E4C72" w:rsidR="00775612" w:rsidRPr="00A04585" w:rsidRDefault="00775612" w:rsidP="00775612">
      <w:pPr>
        <w:pStyle w:val="Sinespaciado"/>
        <w:jc w:val="both"/>
        <w:rPr>
          <w:rFonts w:ascii="Trebuchet MS" w:hAnsi="Trebuchet MS"/>
          <w:sz w:val="16"/>
          <w:szCs w:val="16"/>
          <w:lang w:eastAsia="es-ES"/>
        </w:rPr>
      </w:pPr>
      <w:r w:rsidRPr="00A04585">
        <w:rPr>
          <w:rFonts w:ascii="Trebuchet MS" w:hAnsi="Trebuchet MS"/>
          <w:sz w:val="16"/>
          <w:szCs w:val="16"/>
          <w:lang w:eastAsia="es-ES"/>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w:t>
      </w:r>
      <w:r w:rsidRPr="00A04585">
        <w:rPr>
          <w:rFonts w:ascii="Trebuchet MS" w:hAnsi="Trebuchet MS"/>
          <w:sz w:val="16"/>
          <w:szCs w:val="16"/>
        </w:rPr>
        <w:t xml:space="preserve">43 y </w:t>
      </w:r>
      <w:r w:rsidRPr="00A04585">
        <w:rPr>
          <w:rFonts w:ascii="Trebuchet MS" w:hAnsi="Trebuchet MS"/>
          <w:sz w:val="16"/>
          <w:szCs w:val="16"/>
          <w:lang w:eastAsia="es-ES"/>
        </w:rPr>
        <w:t>45 del Reglamento de Sesiones del Consejo General de este organismo electoral, hago constar que el presente acuerdo fue aprobado</w:t>
      </w:r>
      <w:r w:rsidRPr="00A04585">
        <w:rPr>
          <w:rFonts w:ascii="Trebuchet MS" w:hAnsi="Trebuchet MS"/>
          <w:sz w:val="16"/>
          <w:szCs w:val="16"/>
        </w:rPr>
        <w:t xml:space="preserve"> en sesión extraordinaria del Consejo General celebrada el veintisiete de julio de dos mil veintidós, en lo general, por mayoría, con los votos a favor de las y los </w:t>
      </w:r>
      <w:r w:rsidRPr="00A04585">
        <w:rPr>
          <w:rFonts w:ascii="Trebuchet MS" w:hAnsi="Trebuchet MS"/>
          <w:sz w:val="16"/>
          <w:szCs w:val="16"/>
          <w:lang w:eastAsia="es-ES"/>
        </w:rPr>
        <w:t xml:space="preserve">consejeros electorales Zoad </w:t>
      </w:r>
      <w:proofErr w:type="spellStart"/>
      <w:r w:rsidRPr="00A04585">
        <w:rPr>
          <w:rFonts w:ascii="Trebuchet MS" w:hAnsi="Trebuchet MS"/>
          <w:sz w:val="16"/>
          <w:szCs w:val="16"/>
          <w:lang w:eastAsia="es-ES"/>
        </w:rPr>
        <w:t>Jeanine</w:t>
      </w:r>
      <w:proofErr w:type="spellEnd"/>
      <w:r w:rsidRPr="00A04585">
        <w:rPr>
          <w:rFonts w:ascii="Trebuchet MS" w:hAnsi="Trebuchet MS"/>
          <w:sz w:val="16"/>
          <w:szCs w:val="16"/>
          <w:lang w:eastAsia="es-ES"/>
        </w:rPr>
        <w:t xml:space="preserve"> García González, Miguel Godínez </w:t>
      </w:r>
      <w:proofErr w:type="spellStart"/>
      <w:r w:rsidRPr="00A04585">
        <w:rPr>
          <w:rFonts w:ascii="Trebuchet MS" w:hAnsi="Trebuchet MS"/>
          <w:sz w:val="16"/>
          <w:szCs w:val="16"/>
          <w:lang w:eastAsia="es-ES"/>
        </w:rPr>
        <w:t>Terríquez</w:t>
      </w:r>
      <w:proofErr w:type="spellEnd"/>
      <w:r w:rsidRPr="00A04585">
        <w:rPr>
          <w:rFonts w:ascii="Trebuchet MS" w:hAnsi="Trebuchet MS"/>
          <w:sz w:val="16"/>
          <w:szCs w:val="16"/>
          <w:lang w:eastAsia="es-ES"/>
        </w:rPr>
        <w:t xml:space="preserve">, Moisés Pérez Vega, Brenda Judith Serafín </w:t>
      </w:r>
      <w:proofErr w:type="spellStart"/>
      <w:r w:rsidRPr="00A04585">
        <w:rPr>
          <w:rFonts w:ascii="Trebuchet MS" w:hAnsi="Trebuchet MS"/>
          <w:sz w:val="16"/>
          <w:szCs w:val="16"/>
          <w:lang w:eastAsia="es-ES"/>
        </w:rPr>
        <w:t>Morfín</w:t>
      </w:r>
      <w:proofErr w:type="spellEnd"/>
      <w:r w:rsidRPr="00A04585">
        <w:rPr>
          <w:rFonts w:ascii="Trebuchet MS" w:hAnsi="Trebuchet MS"/>
          <w:sz w:val="16"/>
          <w:szCs w:val="16"/>
          <w:lang w:eastAsia="es-ES"/>
        </w:rPr>
        <w:t xml:space="preserve">, Claudia Alejandra Vargas Bautista y de la consejera presidenta Paula Ramírez </w:t>
      </w:r>
      <w:proofErr w:type="spellStart"/>
      <w:r w:rsidRPr="00A04585">
        <w:rPr>
          <w:rFonts w:ascii="Trebuchet MS" w:hAnsi="Trebuchet MS"/>
          <w:sz w:val="16"/>
          <w:szCs w:val="16"/>
          <w:lang w:eastAsia="es-ES"/>
        </w:rPr>
        <w:t>Höhne</w:t>
      </w:r>
      <w:proofErr w:type="spellEnd"/>
      <w:r w:rsidRPr="00A04585">
        <w:rPr>
          <w:rFonts w:ascii="Trebuchet MS" w:hAnsi="Trebuchet MS"/>
          <w:sz w:val="16"/>
          <w:szCs w:val="16"/>
          <w:lang w:eastAsia="es-ES"/>
        </w:rPr>
        <w:t>; y el voto en contra de la consejera electoral Silvia Guadalupe Bustos Vázquez.</w:t>
      </w:r>
    </w:p>
    <w:p w14:paraId="21EDEBC2" w14:textId="77777777" w:rsidR="00775612" w:rsidRPr="00242547" w:rsidRDefault="00775612" w:rsidP="00775612">
      <w:pPr>
        <w:jc w:val="both"/>
        <w:rPr>
          <w:rFonts w:ascii="Trebuchet MS" w:hAnsi="Trebuchet MS"/>
          <w:b/>
          <w:bCs/>
          <w:sz w:val="16"/>
          <w:szCs w:val="16"/>
        </w:rPr>
      </w:pPr>
    </w:p>
    <w:p w14:paraId="3F7A2301" w14:textId="65F551B4" w:rsidR="00775612" w:rsidRPr="00A04585" w:rsidRDefault="00775612" w:rsidP="00775612">
      <w:pPr>
        <w:pStyle w:val="Sinespaciado"/>
        <w:jc w:val="both"/>
        <w:rPr>
          <w:rFonts w:ascii="Trebuchet MS" w:hAnsi="Trebuchet MS"/>
          <w:sz w:val="16"/>
          <w:szCs w:val="16"/>
          <w:lang w:eastAsia="es-ES"/>
        </w:rPr>
      </w:pPr>
      <w:r w:rsidRPr="00A04585">
        <w:rPr>
          <w:rFonts w:ascii="Trebuchet MS" w:hAnsi="Trebuchet MS"/>
          <w:sz w:val="16"/>
          <w:szCs w:val="16"/>
        </w:rPr>
        <w:t xml:space="preserve">Por otro lado, </w:t>
      </w:r>
      <w:r w:rsidRPr="00A04585">
        <w:rPr>
          <w:rFonts w:ascii="Trebuchet MS" w:hAnsi="Trebuchet MS"/>
          <w:sz w:val="16"/>
          <w:szCs w:val="16"/>
          <w:lang w:eastAsia="es-ES"/>
        </w:rPr>
        <w:t xml:space="preserve">en lo particular, en relación a la distribución del </w:t>
      </w:r>
      <w:r w:rsidR="00D34B1E" w:rsidRPr="00A04585">
        <w:rPr>
          <w:rFonts w:ascii="Trebuchet MS" w:hAnsi="Trebuchet MS"/>
          <w:sz w:val="16"/>
          <w:szCs w:val="16"/>
          <w:lang w:eastAsia="es-ES"/>
        </w:rPr>
        <w:t xml:space="preserve">30% del </w:t>
      </w:r>
      <w:r w:rsidRPr="00A04585">
        <w:rPr>
          <w:rFonts w:ascii="Trebuchet MS" w:hAnsi="Trebuchet MS"/>
          <w:sz w:val="16"/>
          <w:szCs w:val="16"/>
          <w:lang w:eastAsia="es-ES"/>
        </w:rPr>
        <w:t xml:space="preserve">financiamiento,  este acuerdo fue aprobado por mayoría,  con la votación a favor de las y los consejeros electorales </w:t>
      </w:r>
      <w:r w:rsidR="005A7CE5" w:rsidRPr="00A04585">
        <w:rPr>
          <w:rFonts w:ascii="Trebuchet MS" w:hAnsi="Trebuchet MS"/>
          <w:sz w:val="16"/>
          <w:szCs w:val="16"/>
          <w:lang w:eastAsia="es-ES"/>
        </w:rPr>
        <w:t xml:space="preserve">Zoad </w:t>
      </w:r>
      <w:proofErr w:type="spellStart"/>
      <w:r w:rsidR="005A7CE5" w:rsidRPr="00A04585">
        <w:rPr>
          <w:rFonts w:ascii="Trebuchet MS" w:hAnsi="Trebuchet MS"/>
          <w:sz w:val="16"/>
          <w:szCs w:val="16"/>
          <w:lang w:eastAsia="es-ES"/>
        </w:rPr>
        <w:t>Jeanine</w:t>
      </w:r>
      <w:proofErr w:type="spellEnd"/>
      <w:r w:rsidR="005A7CE5" w:rsidRPr="00A04585">
        <w:rPr>
          <w:rFonts w:ascii="Trebuchet MS" w:hAnsi="Trebuchet MS"/>
          <w:sz w:val="16"/>
          <w:szCs w:val="16"/>
          <w:lang w:eastAsia="es-ES"/>
        </w:rPr>
        <w:t xml:space="preserve"> García González, </w:t>
      </w:r>
      <w:r w:rsidRPr="00A04585">
        <w:rPr>
          <w:rFonts w:ascii="Trebuchet MS" w:hAnsi="Trebuchet MS"/>
          <w:sz w:val="16"/>
          <w:szCs w:val="16"/>
          <w:lang w:eastAsia="es-ES"/>
        </w:rPr>
        <w:t xml:space="preserve">Miguel Godínez </w:t>
      </w:r>
      <w:proofErr w:type="spellStart"/>
      <w:r w:rsidRPr="00A04585">
        <w:rPr>
          <w:rFonts w:ascii="Trebuchet MS" w:hAnsi="Trebuchet MS"/>
          <w:sz w:val="16"/>
          <w:szCs w:val="16"/>
          <w:lang w:eastAsia="es-ES"/>
        </w:rPr>
        <w:t>Terríquez</w:t>
      </w:r>
      <w:proofErr w:type="spellEnd"/>
      <w:r w:rsidRPr="00A04585">
        <w:rPr>
          <w:rFonts w:ascii="Trebuchet MS" w:hAnsi="Trebuchet MS"/>
          <w:sz w:val="16"/>
          <w:szCs w:val="16"/>
          <w:lang w:eastAsia="es-ES"/>
        </w:rPr>
        <w:t xml:space="preserve">, Moisés Pérez Vega, Brenda Judith Serafín </w:t>
      </w:r>
      <w:proofErr w:type="spellStart"/>
      <w:r w:rsidRPr="00A04585">
        <w:rPr>
          <w:rFonts w:ascii="Trebuchet MS" w:hAnsi="Trebuchet MS"/>
          <w:sz w:val="16"/>
          <w:szCs w:val="16"/>
          <w:lang w:eastAsia="es-ES"/>
        </w:rPr>
        <w:t>Morfín</w:t>
      </w:r>
      <w:proofErr w:type="spellEnd"/>
      <w:r w:rsidR="005A7CE5" w:rsidRPr="00A04585">
        <w:rPr>
          <w:rFonts w:ascii="Trebuchet MS" w:hAnsi="Trebuchet MS"/>
          <w:sz w:val="16"/>
          <w:szCs w:val="16"/>
          <w:lang w:eastAsia="es-ES"/>
        </w:rPr>
        <w:t xml:space="preserve"> y de la consejera presidenta Paula Ramírez </w:t>
      </w:r>
      <w:proofErr w:type="spellStart"/>
      <w:r w:rsidR="005A7CE5" w:rsidRPr="00A04585">
        <w:rPr>
          <w:rFonts w:ascii="Trebuchet MS" w:hAnsi="Trebuchet MS"/>
          <w:sz w:val="16"/>
          <w:szCs w:val="16"/>
          <w:lang w:eastAsia="es-ES"/>
        </w:rPr>
        <w:t>Höhne</w:t>
      </w:r>
      <w:proofErr w:type="spellEnd"/>
      <w:r w:rsidRPr="00A04585">
        <w:rPr>
          <w:rFonts w:ascii="Trebuchet MS" w:hAnsi="Trebuchet MS"/>
          <w:sz w:val="16"/>
          <w:szCs w:val="16"/>
          <w:lang w:eastAsia="es-ES"/>
        </w:rPr>
        <w:t xml:space="preserve">; y la votación en contra </w:t>
      </w:r>
      <w:r w:rsidRPr="00A04585">
        <w:rPr>
          <w:rFonts w:ascii="Trebuchet MS" w:hAnsi="Trebuchet MS"/>
          <w:sz w:val="16"/>
          <w:szCs w:val="16"/>
        </w:rPr>
        <w:t xml:space="preserve">de las consejeras electorales </w:t>
      </w:r>
      <w:r w:rsidRPr="00A04585">
        <w:rPr>
          <w:rFonts w:ascii="Trebuchet MS" w:hAnsi="Trebuchet MS"/>
          <w:sz w:val="16"/>
          <w:szCs w:val="16"/>
          <w:lang w:eastAsia="es-ES"/>
        </w:rPr>
        <w:t>Si</w:t>
      </w:r>
      <w:r w:rsidR="005A7CE5" w:rsidRPr="00A04585">
        <w:rPr>
          <w:rFonts w:ascii="Trebuchet MS" w:hAnsi="Trebuchet MS"/>
          <w:sz w:val="16"/>
          <w:szCs w:val="16"/>
          <w:lang w:eastAsia="es-ES"/>
        </w:rPr>
        <w:t>lvia Guadalupe Bustos Vásquez y Claudia Alejandra Vargas Bautista</w:t>
      </w:r>
      <w:r w:rsidRPr="00A04585">
        <w:rPr>
          <w:rFonts w:ascii="Trebuchet MS" w:hAnsi="Trebuchet MS"/>
          <w:sz w:val="16"/>
          <w:szCs w:val="16"/>
          <w:lang w:eastAsia="es-ES"/>
        </w:rPr>
        <w:t>. Doy fe.</w:t>
      </w:r>
    </w:p>
    <w:p w14:paraId="4B9DB9AD" w14:textId="77777777" w:rsidR="00775612" w:rsidRPr="00A04585" w:rsidRDefault="00775612" w:rsidP="00775612">
      <w:pPr>
        <w:pStyle w:val="Sinespaciado"/>
        <w:jc w:val="both"/>
        <w:rPr>
          <w:rFonts w:ascii="Trebuchet MS" w:hAnsi="Trebuchet MS"/>
          <w:sz w:val="16"/>
          <w:szCs w:val="16"/>
          <w:lang w:eastAsia="es-ES"/>
        </w:rPr>
      </w:pPr>
    </w:p>
    <w:p w14:paraId="7CE8F34B" w14:textId="77777777" w:rsidR="00775612" w:rsidRPr="00A04585" w:rsidRDefault="00775612" w:rsidP="00775612">
      <w:pPr>
        <w:pStyle w:val="Sinespaciado"/>
        <w:jc w:val="both"/>
        <w:rPr>
          <w:rFonts w:ascii="Trebuchet MS" w:hAnsi="Trebuchet MS"/>
          <w:sz w:val="16"/>
          <w:szCs w:val="16"/>
          <w:lang w:eastAsia="es-ES"/>
        </w:rPr>
      </w:pPr>
    </w:p>
    <w:p w14:paraId="0FCA6F19" w14:textId="77777777" w:rsidR="00775612" w:rsidRPr="00A04585" w:rsidRDefault="00775612" w:rsidP="00775612">
      <w:pPr>
        <w:pStyle w:val="Sinespaciado"/>
        <w:jc w:val="center"/>
        <w:rPr>
          <w:rFonts w:ascii="Trebuchet MS" w:hAnsi="Trebuchet MS"/>
          <w:b/>
          <w:sz w:val="16"/>
          <w:szCs w:val="16"/>
          <w:lang w:eastAsia="es-ES"/>
        </w:rPr>
      </w:pPr>
      <w:r w:rsidRPr="00A04585">
        <w:rPr>
          <w:rFonts w:ascii="Trebuchet MS" w:hAnsi="Trebuchet MS"/>
          <w:b/>
          <w:sz w:val="16"/>
          <w:szCs w:val="16"/>
          <w:lang w:eastAsia="es-ES"/>
        </w:rPr>
        <w:t>Mtro. Christian Flores Garza</w:t>
      </w:r>
    </w:p>
    <w:p w14:paraId="6414C674" w14:textId="77777777" w:rsidR="00775612" w:rsidRPr="000D4FED" w:rsidRDefault="00775612" w:rsidP="00775612">
      <w:pPr>
        <w:pStyle w:val="Sinespaciado"/>
        <w:spacing w:line="276" w:lineRule="auto"/>
        <w:jc w:val="center"/>
        <w:rPr>
          <w:rFonts w:ascii="Trebuchet MS" w:hAnsi="Trebuchet MS"/>
          <w:b/>
          <w:sz w:val="16"/>
          <w:szCs w:val="16"/>
          <w:lang w:eastAsia="es-ES"/>
        </w:rPr>
      </w:pPr>
      <w:r w:rsidRPr="00A04585">
        <w:rPr>
          <w:rFonts w:ascii="Trebuchet MS" w:hAnsi="Trebuchet MS"/>
          <w:b/>
          <w:sz w:val="16"/>
          <w:szCs w:val="16"/>
          <w:lang w:eastAsia="es-ES"/>
        </w:rPr>
        <w:t>El secretario ejecutivo</w:t>
      </w:r>
    </w:p>
    <w:p w14:paraId="086D67ED" w14:textId="77777777" w:rsidR="0011765A" w:rsidRDefault="0011765A" w:rsidP="002E7CFF">
      <w:pPr>
        <w:pStyle w:val="Prrafodelista"/>
        <w:ind w:left="0"/>
        <w:jc w:val="both"/>
        <w:rPr>
          <w:rFonts w:ascii="Trebuchet MS" w:hAnsi="Trebuchet MS"/>
          <w:color w:val="AEAAAA" w:themeColor="background2" w:themeShade="BF"/>
          <w:lang w:val="es-ES_tradnl"/>
        </w:rPr>
      </w:pPr>
    </w:p>
    <w:p w14:paraId="22268522" w14:textId="77777777" w:rsidR="00F040EE" w:rsidRDefault="00F040EE" w:rsidP="00381031">
      <w:pPr>
        <w:pStyle w:val="Sinespaciado"/>
        <w:jc w:val="both"/>
        <w:rPr>
          <w:rFonts w:ascii="Trebuchet MS" w:hAnsi="Trebuchet MS"/>
          <w:sz w:val="16"/>
          <w:szCs w:val="16"/>
        </w:rPr>
      </w:pPr>
    </w:p>
    <w:p w14:paraId="3ACE2359" w14:textId="77777777" w:rsidR="00F040EE" w:rsidRDefault="00F040EE" w:rsidP="00381031">
      <w:pPr>
        <w:pStyle w:val="Sinespaciado"/>
        <w:jc w:val="both"/>
        <w:rPr>
          <w:rFonts w:ascii="Trebuchet MS" w:hAnsi="Trebuchet MS"/>
          <w:sz w:val="16"/>
          <w:szCs w:val="16"/>
        </w:rPr>
      </w:pPr>
    </w:p>
    <w:p w14:paraId="112ED770" w14:textId="77777777" w:rsidR="00F040EE" w:rsidRDefault="00F040EE" w:rsidP="00381031">
      <w:pPr>
        <w:pStyle w:val="Sinespaciado"/>
        <w:jc w:val="both"/>
        <w:rPr>
          <w:rFonts w:ascii="Trebuchet MS" w:hAnsi="Trebuchet MS"/>
          <w:sz w:val="16"/>
          <w:szCs w:val="16"/>
        </w:rPr>
      </w:pPr>
    </w:p>
    <w:p w14:paraId="21EC6442" w14:textId="77777777" w:rsidR="00A6496F" w:rsidRDefault="00A6496F" w:rsidP="00A6496F">
      <w:pPr>
        <w:jc w:val="both"/>
        <w:rPr>
          <w:rFonts w:ascii="Trebuchet MS" w:hAnsi="Trebuchet MS" w:cs="Arial"/>
          <w:sz w:val="13"/>
          <w:szCs w:val="13"/>
        </w:rPr>
      </w:pPr>
      <w:r w:rsidRPr="00F93F95">
        <w:rPr>
          <w:rFonts w:ascii="Trebuchet MS" w:hAnsi="Trebuchet MS"/>
          <w:sz w:val="13"/>
          <w:szCs w:val="13"/>
        </w:rPr>
        <w:t>De conformidad con lo dispuesto por los artículos 143, párrafo 2, fracción XXXVII del Código Electoral</w:t>
      </w:r>
      <w:r>
        <w:rPr>
          <w:rFonts w:ascii="Trebuchet MS" w:hAnsi="Trebuchet MS"/>
          <w:sz w:val="13"/>
          <w:szCs w:val="13"/>
        </w:rPr>
        <w:t xml:space="preserve"> del</w:t>
      </w:r>
      <w:r w:rsidRPr="00F93F95">
        <w:rPr>
          <w:rFonts w:ascii="Trebuchet MS" w:hAnsi="Trebuchet MS"/>
          <w:sz w:val="13"/>
          <w:szCs w:val="13"/>
        </w:rPr>
        <w:t xml:space="preserve"> Estado de Jalisco; 10 párrafo 1, fracción XIII y 50 párrafo 1 del Reglamento de Sesiones del Consejo General del Instituto </w:t>
      </w:r>
      <w:bookmarkStart w:id="1" w:name="_GoBack"/>
      <w:bookmarkEnd w:id="1"/>
      <w:r w:rsidRPr="00F93F95">
        <w:rPr>
          <w:rFonts w:ascii="Trebuchet MS" w:hAnsi="Trebuchet MS"/>
          <w:sz w:val="13"/>
          <w:szCs w:val="13"/>
        </w:rPr>
        <w:t>Electoral y de Participación Ciudadana del Estado de Jalisco; se</w:t>
      </w:r>
      <w:r w:rsidRPr="00F93F95">
        <w:rPr>
          <w:rFonts w:ascii="Trebuchet MS" w:hAnsi="Trebuchet MS" w:cs="Arial"/>
          <w:sz w:val="13"/>
          <w:szCs w:val="13"/>
        </w:rPr>
        <w:t xml:space="preserve"> inserta</w:t>
      </w:r>
      <w:r>
        <w:rPr>
          <w:rFonts w:ascii="Trebuchet MS" w:hAnsi="Trebuchet MS" w:cs="Arial"/>
          <w:sz w:val="13"/>
          <w:szCs w:val="13"/>
        </w:rPr>
        <w:t>n</w:t>
      </w:r>
      <w:r w:rsidRPr="00F93F95">
        <w:rPr>
          <w:rFonts w:ascii="Trebuchet MS" w:hAnsi="Trebuchet MS" w:cs="Arial"/>
          <w:sz w:val="13"/>
          <w:szCs w:val="13"/>
        </w:rPr>
        <w:t xml:space="preserve"> al presente acuerdo </w:t>
      </w:r>
      <w:r>
        <w:rPr>
          <w:rFonts w:ascii="Trebuchet MS" w:hAnsi="Trebuchet MS" w:cs="Arial"/>
          <w:sz w:val="13"/>
          <w:szCs w:val="13"/>
        </w:rPr>
        <w:t>el</w:t>
      </w:r>
      <w:r w:rsidRPr="00F93F95">
        <w:rPr>
          <w:rFonts w:ascii="Trebuchet MS" w:hAnsi="Trebuchet MS" w:cs="Arial"/>
          <w:sz w:val="13"/>
          <w:szCs w:val="13"/>
        </w:rPr>
        <w:t xml:space="preserve"> voto particular formulado por la</w:t>
      </w:r>
      <w:r>
        <w:rPr>
          <w:rFonts w:ascii="Trebuchet MS" w:hAnsi="Trebuchet MS" w:cs="Arial"/>
          <w:sz w:val="13"/>
          <w:szCs w:val="13"/>
        </w:rPr>
        <w:t>s</w:t>
      </w:r>
      <w:r w:rsidRPr="00F93F95">
        <w:rPr>
          <w:rFonts w:ascii="Trebuchet MS" w:hAnsi="Trebuchet MS" w:cs="Arial"/>
          <w:sz w:val="13"/>
          <w:szCs w:val="13"/>
        </w:rPr>
        <w:t xml:space="preserve"> Consejera</w:t>
      </w:r>
      <w:r>
        <w:rPr>
          <w:rFonts w:ascii="Trebuchet MS" w:hAnsi="Trebuchet MS" w:cs="Arial"/>
          <w:sz w:val="13"/>
          <w:szCs w:val="13"/>
        </w:rPr>
        <w:t>s</w:t>
      </w:r>
      <w:r w:rsidRPr="00F93F95">
        <w:rPr>
          <w:rFonts w:ascii="Trebuchet MS" w:hAnsi="Trebuchet MS" w:cs="Arial"/>
          <w:sz w:val="13"/>
          <w:szCs w:val="13"/>
        </w:rPr>
        <w:t xml:space="preserve"> Electoral</w:t>
      </w:r>
      <w:r>
        <w:rPr>
          <w:rFonts w:ascii="Trebuchet MS" w:hAnsi="Trebuchet MS" w:cs="Arial"/>
          <w:sz w:val="13"/>
          <w:szCs w:val="13"/>
        </w:rPr>
        <w:t xml:space="preserve">es Silvia Guadalupe Bustos </w:t>
      </w:r>
      <w:proofErr w:type="spellStart"/>
      <w:r>
        <w:rPr>
          <w:rFonts w:ascii="Trebuchet MS" w:hAnsi="Trebuchet MS" w:cs="Arial"/>
          <w:sz w:val="13"/>
          <w:szCs w:val="13"/>
        </w:rPr>
        <w:t>Vasquez</w:t>
      </w:r>
      <w:proofErr w:type="spellEnd"/>
      <w:r>
        <w:rPr>
          <w:rFonts w:ascii="Trebuchet MS" w:hAnsi="Trebuchet MS" w:cs="Arial"/>
          <w:sz w:val="13"/>
          <w:szCs w:val="13"/>
        </w:rPr>
        <w:t xml:space="preserve"> y Claudia Alejandra Vargas Bautista</w:t>
      </w:r>
      <w:r w:rsidRPr="00F93F95">
        <w:rPr>
          <w:rFonts w:ascii="Trebuchet MS" w:hAnsi="Trebuchet MS" w:cs="Arial"/>
          <w:sz w:val="13"/>
          <w:szCs w:val="13"/>
        </w:rPr>
        <w:t>. Lo anterior para los efectos legales.</w:t>
      </w:r>
    </w:p>
    <w:p w14:paraId="04CF0588" w14:textId="77777777" w:rsidR="00A6496F" w:rsidRDefault="00A6496F" w:rsidP="00A6496F">
      <w:pPr>
        <w:jc w:val="center"/>
        <w:rPr>
          <w:rFonts w:ascii="Trebuchet MS" w:hAnsi="Trebuchet MS" w:cs="Arial"/>
          <w:sz w:val="13"/>
          <w:szCs w:val="13"/>
        </w:rPr>
      </w:pPr>
    </w:p>
    <w:p w14:paraId="1513E5CF" w14:textId="77777777" w:rsidR="00A6496F" w:rsidRPr="00F93F95" w:rsidRDefault="00A6496F" w:rsidP="00A6496F">
      <w:pPr>
        <w:jc w:val="center"/>
        <w:rPr>
          <w:rFonts w:ascii="Trebuchet MS" w:hAnsi="Trebuchet MS" w:cs="Arial"/>
          <w:sz w:val="13"/>
          <w:szCs w:val="13"/>
        </w:rPr>
      </w:pPr>
    </w:p>
    <w:p w14:paraId="376400E7" w14:textId="41B0D76C" w:rsidR="00A6496F" w:rsidRPr="00F93F95" w:rsidRDefault="00A6496F" w:rsidP="00A6496F">
      <w:pPr>
        <w:jc w:val="center"/>
        <w:rPr>
          <w:rFonts w:ascii="Trebuchet MS" w:hAnsi="Trebuchet MS" w:cs="Arial"/>
          <w:sz w:val="13"/>
          <w:szCs w:val="13"/>
        </w:rPr>
      </w:pPr>
      <w:r w:rsidRPr="00F93F95">
        <w:rPr>
          <w:rFonts w:ascii="Trebuchet MS" w:hAnsi="Trebuchet MS" w:cs="Arial"/>
          <w:sz w:val="13"/>
          <w:szCs w:val="13"/>
        </w:rPr>
        <w:t xml:space="preserve">Guadalajara, Jalisco; a </w:t>
      </w:r>
      <w:r>
        <w:rPr>
          <w:rFonts w:ascii="Trebuchet MS" w:hAnsi="Trebuchet MS" w:cs="Arial"/>
          <w:sz w:val="13"/>
          <w:szCs w:val="13"/>
        </w:rPr>
        <w:t>2</w:t>
      </w:r>
      <w:r>
        <w:rPr>
          <w:rFonts w:ascii="Trebuchet MS" w:hAnsi="Trebuchet MS" w:cs="Arial"/>
          <w:sz w:val="13"/>
          <w:szCs w:val="13"/>
        </w:rPr>
        <w:t>9</w:t>
      </w:r>
      <w:r w:rsidRPr="00F93F95">
        <w:rPr>
          <w:rFonts w:ascii="Trebuchet MS" w:hAnsi="Trebuchet MS" w:cs="Arial"/>
          <w:sz w:val="13"/>
          <w:szCs w:val="13"/>
        </w:rPr>
        <w:t xml:space="preserve"> de </w:t>
      </w:r>
      <w:r>
        <w:rPr>
          <w:rFonts w:ascii="Trebuchet MS" w:hAnsi="Trebuchet MS" w:cs="Arial"/>
          <w:sz w:val="13"/>
          <w:szCs w:val="13"/>
        </w:rPr>
        <w:t>julio</w:t>
      </w:r>
      <w:r w:rsidRPr="00F93F95">
        <w:rPr>
          <w:rFonts w:ascii="Trebuchet MS" w:hAnsi="Trebuchet MS" w:cs="Arial"/>
          <w:sz w:val="13"/>
          <w:szCs w:val="13"/>
        </w:rPr>
        <w:t xml:space="preserve"> de 20</w:t>
      </w:r>
      <w:r>
        <w:rPr>
          <w:rFonts w:ascii="Trebuchet MS" w:hAnsi="Trebuchet MS" w:cs="Arial"/>
          <w:sz w:val="13"/>
          <w:szCs w:val="13"/>
        </w:rPr>
        <w:t>2</w:t>
      </w:r>
      <w:r>
        <w:rPr>
          <w:rFonts w:ascii="Trebuchet MS" w:hAnsi="Trebuchet MS" w:cs="Arial"/>
          <w:sz w:val="13"/>
          <w:szCs w:val="13"/>
        </w:rPr>
        <w:t>2</w:t>
      </w:r>
      <w:r w:rsidRPr="00F93F95">
        <w:rPr>
          <w:rFonts w:ascii="Trebuchet MS" w:hAnsi="Trebuchet MS" w:cs="Arial"/>
          <w:sz w:val="13"/>
          <w:szCs w:val="13"/>
        </w:rPr>
        <w:t>.</w:t>
      </w:r>
    </w:p>
    <w:p w14:paraId="12837B6E" w14:textId="509F71E6" w:rsidR="00A6496F" w:rsidRPr="00F93F95" w:rsidRDefault="00A6496F" w:rsidP="00A6496F">
      <w:pPr>
        <w:jc w:val="center"/>
        <w:rPr>
          <w:rFonts w:ascii="Trebuchet MS" w:hAnsi="Trebuchet MS"/>
          <w:sz w:val="13"/>
          <w:szCs w:val="13"/>
        </w:rPr>
      </w:pPr>
      <w:r w:rsidRPr="00F93F95">
        <w:rPr>
          <w:rFonts w:ascii="Trebuchet MS" w:hAnsi="Trebuchet MS"/>
          <w:sz w:val="13"/>
          <w:szCs w:val="13"/>
        </w:rPr>
        <w:t>M</w:t>
      </w:r>
      <w:r>
        <w:rPr>
          <w:rFonts w:ascii="Trebuchet MS" w:hAnsi="Trebuchet MS"/>
          <w:sz w:val="13"/>
          <w:szCs w:val="13"/>
        </w:rPr>
        <w:t>tro. Christian Flores Garza</w:t>
      </w:r>
      <w:r w:rsidRPr="00F93F95">
        <w:rPr>
          <w:rFonts w:ascii="Trebuchet MS" w:hAnsi="Trebuchet MS"/>
          <w:sz w:val="13"/>
          <w:szCs w:val="13"/>
        </w:rPr>
        <w:t>.</w:t>
      </w:r>
    </w:p>
    <w:p w14:paraId="0C580350" w14:textId="0FE17014" w:rsidR="00381031" w:rsidRPr="0096045B" w:rsidRDefault="00A6496F" w:rsidP="00A6496F">
      <w:pPr>
        <w:pStyle w:val="Prrafodelista"/>
        <w:ind w:left="0"/>
        <w:jc w:val="center"/>
        <w:rPr>
          <w:rFonts w:ascii="Trebuchet MS" w:hAnsi="Trebuchet MS"/>
          <w:color w:val="AEAAAA" w:themeColor="background2" w:themeShade="BF"/>
          <w:lang w:val="es-ES_tradnl"/>
        </w:rPr>
      </w:pPr>
      <w:r>
        <w:rPr>
          <w:rFonts w:ascii="Trebuchet MS" w:hAnsi="Trebuchet MS"/>
          <w:sz w:val="13"/>
          <w:szCs w:val="13"/>
        </w:rPr>
        <w:t xml:space="preserve">El </w:t>
      </w:r>
      <w:r>
        <w:rPr>
          <w:rFonts w:ascii="Trebuchet MS" w:hAnsi="Trebuchet MS"/>
          <w:sz w:val="13"/>
          <w:szCs w:val="13"/>
        </w:rPr>
        <w:t>Secretario</w:t>
      </w:r>
      <w:r w:rsidRPr="00F93F95">
        <w:rPr>
          <w:rFonts w:ascii="Trebuchet MS" w:hAnsi="Trebuchet MS"/>
          <w:sz w:val="13"/>
          <w:szCs w:val="13"/>
        </w:rPr>
        <w:t xml:space="preserve"> e</w:t>
      </w:r>
      <w:r>
        <w:rPr>
          <w:rFonts w:ascii="Trebuchet MS" w:hAnsi="Trebuchet MS"/>
          <w:sz w:val="13"/>
          <w:szCs w:val="13"/>
        </w:rPr>
        <w:t>jecutivo</w:t>
      </w:r>
      <w:r w:rsidRPr="00F93F95">
        <w:rPr>
          <w:rFonts w:ascii="Trebuchet MS" w:hAnsi="Trebuchet MS"/>
          <w:sz w:val="13"/>
          <w:szCs w:val="13"/>
        </w:rPr>
        <w:t>.</w:t>
      </w:r>
    </w:p>
    <w:sectPr w:rsidR="00381031" w:rsidRPr="0096045B" w:rsidSect="00427F11">
      <w:headerReference w:type="even" r:id="rId21"/>
      <w:headerReference w:type="default" r:id="rId22"/>
      <w:footerReference w:type="even" r:id="rId23"/>
      <w:footerReference w:type="default" r:id="rId24"/>
      <w:headerReference w:type="first" r:id="rId25"/>
      <w:pgSz w:w="12240" w:h="15840"/>
      <w:pgMar w:top="1417" w:right="1701" w:bottom="1417"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7B42" w16cex:dateUtc="2022-07-20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16DD2" w16cid:durableId="26827B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262FA" w14:textId="77777777" w:rsidR="00D75021" w:rsidRDefault="00D75021" w:rsidP="00FA5F83">
      <w:r>
        <w:separator/>
      </w:r>
    </w:p>
  </w:endnote>
  <w:endnote w:type="continuationSeparator" w:id="0">
    <w:p w14:paraId="6B57ACC1" w14:textId="77777777" w:rsidR="00D75021" w:rsidRDefault="00D75021" w:rsidP="00F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227572386"/>
      <w:docPartObj>
        <w:docPartGallery w:val="Page Numbers (Bottom of Page)"/>
        <w:docPartUnique/>
      </w:docPartObj>
    </w:sdtPr>
    <w:sdtEndPr>
      <w:rPr>
        <w:rStyle w:val="Nmerodepgina"/>
      </w:rPr>
    </w:sdtEndPr>
    <w:sdtContent>
      <w:p w14:paraId="702BE45E" w14:textId="0FBFE7DB" w:rsidR="007A3695" w:rsidRDefault="007A3695" w:rsidP="00781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2A2074" w14:textId="77777777" w:rsidR="007A3695" w:rsidRDefault="007A3695" w:rsidP="00FA5F8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Fonts w:ascii="Trebuchet MS" w:hAnsi="Trebuchet MS"/>
        <w:b/>
        <w:bCs/>
        <w:color w:val="808080" w:themeColor="background1" w:themeShade="80"/>
      </w:rPr>
      <w:id w:val="-732386098"/>
      <w:docPartObj>
        <w:docPartGallery w:val="Page Numbers (Bottom of Page)"/>
        <w:docPartUnique/>
      </w:docPartObj>
    </w:sdtPr>
    <w:sdtEndPr>
      <w:rPr>
        <w:rStyle w:val="Nmerodepgina"/>
      </w:rPr>
    </w:sdtEndPr>
    <w:sdtContent>
      <w:p w14:paraId="394EE13D" w14:textId="1F4A6801" w:rsidR="007A3695" w:rsidRPr="00BC29FD" w:rsidRDefault="007A3695" w:rsidP="00781BAC">
        <w:pPr>
          <w:pStyle w:val="Piedepgina"/>
          <w:framePr w:wrap="none" w:vAnchor="text" w:hAnchor="margin" w:xAlign="right" w:y="1"/>
          <w:rPr>
            <w:rStyle w:val="Nmerodepgina"/>
            <w:rFonts w:ascii="Trebuchet MS" w:hAnsi="Trebuchet MS"/>
            <w:b/>
            <w:bCs/>
            <w:color w:val="808080" w:themeColor="background1" w:themeShade="80"/>
          </w:rPr>
        </w:pPr>
        <w:r w:rsidRPr="00BC29FD">
          <w:rPr>
            <w:rStyle w:val="Nmerodepgina"/>
            <w:rFonts w:ascii="Trebuchet MS" w:hAnsi="Trebuchet MS"/>
            <w:b/>
            <w:bCs/>
            <w:color w:val="808080" w:themeColor="background1" w:themeShade="80"/>
          </w:rPr>
          <w:fldChar w:fldCharType="begin"/>
        </w:r>
        <w:r w:rsidRPr="00BC29FD">
          <w:rPr>
            <w:rStyle w:val="Nmerodepgina"/>
            <w:rFonts w:ascii="Trebuchet MS" w:hAnsi="Trebuchet MS"/>
            <w:b/>
            <w:bCs/>
            <w:color w:val="808080" w:themeColor="background1" w:themeShade="80"/>
          </w:rPr>
          <w:instrText xml:space="preserve"> PAGE </w:instrText>
        </w:r>
        <w:r w:rsidRPr="00BC29FD">
          <w:rPr>
            <w:rStyle w:val="Nmerodepgina"/>
            <w:rFonts w:ascii="Trebuchet MS" w:hAnsi="Trebuchet MS"/>
            <w:b/>
            <w:bCs/>
            <w:color w:val="808080" w:themeColor="background1" w:themeShade="80"/>
          </w:rPr>
          <w:fldChar w:fldCharType="separate"/>
        </w:r>
        <w:r w:rsidR="00A6496F">
          <w:rPr>
            <w:rStyle w:val="Nmerodepgina"/>
            <w:rFonts w:ascii="Trebuchet MS" w:hAnsi="Trebuchet MS"/>
            <w:b/>
            <w:bCs/>
            <w:noProof/>
            <w:color w:val="808080" w:themeColor="background1" w:themeShade="80"/>
          </w:rPr>
          <w:t>40</w:t>
        </w:r>
        <w:r w:rsidRPr="00BC29FD">
          <w:rPr>
            <w:rStyle w:val="Nmerodepgina"/>
            <w:rFonts w:ascii="Trebuchet MS" w:hAnsi="Trebuchet MS"/>
            <w:b/>
            <w:bCs/>
            <w:color w:val="808080" w:themeColor="background1" w:themeShade="80"/>
          </w:rPr>
          <w:fldChar w:fldCharType="end"/>
        </w:r>
      </w:p>
    </w:sdtContent>
  </w:sdt>
  <w:p w14:paraId="18DB8A21" w14:textId="77777777" w:rsidR="007A3695" w:rsidRPr="00BC29FD" w:rsidRDefault="007A3695" w:rsidP="00FA5F83">
    <w:pPr>
      <w:pStyle w:val="Piedepgina"/>
      <w:ind w:right="360"/>
      <w:rPr>
        <w:rFonts w:ascii="Trebuchet MS" w:hAnsi="Trebuchet MS"/>
        <w:b/>
        <w:bCs/>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C273" w14:textId="77777777" w:rsidR="00D75021" w:rsidRDefault="00D75021" w:rsidP="00FA5F83">
      <w:r>
        <w:separator/>
      </w:r>
    </w:p>
  </w:footnote>
  <w:footnote w:type="continuationSeparator" w:id="0">
    <w:p w14:paraId="1D28808F" w14:textId="77777777" w:rsidR="00D75021" w:rsidRDefault="00D75021" w:rsidP="00FA5F83">
      <w:r>
        <w:continuationSeparator/>
      </w:r>
    </w:p>
  </w:footnote>
  <w:footnote w:id="1">
    <w:p w14:paraId="3CE49CDE" w14:textId="547EFAD1" w:rsidR="007A3695" w:rsidRPr="00973583" w:rsidRDefault="007A3695" w:rsidP="00973583">
      <w:pPr>
        <w:pStyle w:val="Textonotapie"/>
        <w:jc w:val="both"/>
        <w:rPr>
          <w:rFonts w:ascii="Trebuchet MS" w:hAnsi="Trebuchet MS"/>
          <w:lang w:val="es-ES_tradnl"/>
        </w:rPr>
      </w:pPr>
      <w:r w:rsidRPr="00973583">
        <w:rPr>
          <w:rStyle w:val="Refdenotaalpie"/>
          <w:rFonts w:ascii="Trebuchet MS" w:hAnsi="Trebuchet MS"/>
        </w:rPr>
        <w:footnoteRef/>
      </w:r>
      <w:r w:rsidRPr="00973583">
        <w:rPr>
          <w:rFonts w:ascii="Trebuchet MS" w:hAnsi="Trebuchet MS"/>
        </w:rPr>
        <w:t xml:space="preserve"> </w:t>
      </w:r>
      <w:r w:rsidRPr="00973583">
        <w:rPr>
          <w:rFonts w:ascii="Trebuchet MS" w:hAnsi="Trebuchet MS"/>
          <w:lang w:val="es-ES_tradnl"/>
        </w:rPr>
        <w:t>De acuerdo a lo establecido en el artículo Tercero Transitorio del Decreto por el que se declara reformadas y adicionadas diversas disposiciones de la Constitución Política de los Estados Unidos Mexicanos, en materia de desindexación del salario mínimo, publicado en el Diario Oficial de la Federación el veintisiete de enero de dos mil dieciséis.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9B40F" w14:textId="1CD247FD" w:rsidR="007A3695" w:rsidRDefault="00A6496F">
    <w:pPr>
      <w:pStyle w:val="Encabezado"/>
    </w:pPr>
    <w:r>
      <w:rPr>
        <w:noProof/>
      </w:rPr>
      <w:pict w14:anchorId="2F7F7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716563" o:spid="_x0000_s2051" type="#_x0000_t136" alt="" style="position:absolute;margin-left:0;margin-top:0;width:453.1pt;height:16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03E99" w14:textId="16250923" w:rsidR="007A3695" w:rsidRDefault="007A3695">
    <w:pPr>
      <w:pStyle w:val="Encabezado"/>
    </w:pPr>
    <w:r w:rsidRPr="007567B0">
      <w:rPr>
        <w:rFonts w:ascii="Trebuchet MS" w:eastAsia="Lucida Sans Unicode" w:hAnsi="Trebuchet MS" w:cs="Arial"/>
        <w:noProof/>
        <w:kern w:val="1"/>
        <w:lang w:eastAsia="es-MX"/>
      </w:rPr>
      <w:drawing>
        <wp:inline distT="0" distB="0" distL="0" distR="0" wp14:anchorId="7649F405" wp14:editId="565D5741">
          <wp:extent cx="1828800" cy="10547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54735"/>
                  </a:xfrm>
                  <a:prstGeom prst="rect">
                    <a:avLst/>
                  </a:prstGeom>
                  <a:noFill/>
                </pic:spPr>
              </pic:pic>
            </a:graphicData>
          </a:graphic>
        </wp:inline>
      </w:drawing>
    </w:r>
    <w:r>
      <w:tab/>
    </w:r>
    <w:r>
      <w:tab/>
    </w:r>
    <w:r w:rsidRPr="00381031">
      <w:rPr>
        <w:rFonts w:ascii="Trebuchet MS" w:hAnsi="Trebuchet MS"/>
        <w:b/>
      </w:rPr>
      <w:t>IEPC-ACG-044/2022</w:t>
    </w:r>
  </w:p>
  <w:p w14:paraId="3FBA0BB4" w14:textId="665D9168" w:rsidR="007A3695" w:rsidRPr="00412ADD" w:rsidRDefault="007A3695">
    <w:pPr>
      <w:pStyle w:val="Encabezado"/>
      <w:rPr>
        <w:rFonts w:ascii="Trebuchet MS" w:hAnsi="Trebuchet MS"/>
        <w:b/>
      </w:rPr>
    </w:pP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DE7CC" w14:textId="10991047" w:rsidR="007A3695" w:rsidRDefault="00A6496F">
    <w:pPr>
      <w:pStyle w:val="Encabezado"/>
    </w:pPr>
    <w:r>
      <w:rPr>
        <w:noProof/>
      </w:rPr>
      <w:pict w14:anchorId="53CD1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716562" o:spid="_x0000_s2049" type="#_x0000_t136" alt="" style="position:absolute;margin-left:0;margin-top:0;width:453.1pt;height:16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E7A"/>
    <w:multiLevelType w:val="hybridMultilevel"/>
    <w:tmpl w:val="984E5EF2"/>
    <w:lvl w:ilvl="0" w:tplc="B7A84A3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D927AA"/>
    <w:multiLevelType w:val="hybridMultilevel"/>
    <w:tmpl w:val="6D4C820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FA2CD9"/>
    <w:multiLevelType w:val="hybridMultilevel"/>
    <w:tmpl w:val="5E8C9DC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B749E9"/>
    <w:multiLevelType w:val="hybridMultilevel"/>
    <w:tmpl w:val="E5C2F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3E4128"/>
    <w:multiLevelType w:val="hybridMultilevel"/>
    <w:tmpl w:val="1E0C1C5E"/>
    <w:lvl w:ilvl="0" w:tplc="5642AE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E1203C"/>
    <w:multiLevelType w:val="hybridMultilevel"/>
    <w:tmpl w:val="CDE0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8903BF"/>
    <w:multiLevelType w:val="hybridMultilevel"/>
    <w:tmpl w:val="7702063C"/>
    <w:lvl w:ilvl="0" w:tplc="080A000F">
      <w:start w:val="1"/>
      <w:numFmt w:val="decimal"/>
      <w:lvlText w:val="%1."/>
      <w:lvlJc w:val="left"/>
      <w:pPr>
        <w:ind w:left="67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7302C3"/>
    <w:multiLevelType w:val="hybridMultilevel"/>
    <w:tmpl w:val="7326FE3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D30DE7"/>
    <w:multiLevelType w:val="hybridMultilevel"/>
    <w:tmpl w:val="FD4E5CA8"/>
    <w:lvl w:ilvl="0" w:tplc="6F3821E6">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2F45DE8"/>
    <w:multiLevelType w:val="hybridMultilevel"/>
    <w:tmpl w:val="269213BC"/>
    <w:lvl w:ilvl="0" w:tplc="9C62D4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8F6A4E"/>
    <w:multiLevelType w:val="hybridMultilevel"/>
    <w:tmpl w:val="DFE88B72"/>
    <w:lvl w:ilvl="0" w:tplc="766C690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5"/>
  </w:num>
  <w:num w:numId="5">
    <w:abstractNumId w:val="9"/>
  </w:num>
  <w:num w:numId="6">
    <w:abstractNumId w:val="0"/>
  </w:num>
  <w:num w:numId="7">
    <w:abstractNumId w:val="4"/>
  </w:num>
  <w:num w:numId="8">
    <w:abstractNumId w:val="2"/>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3A"/>
    <w:rsid w:val="0000446D"/>
    <w:rsid w:val="00007EAE"/>
    <w:rsid w:val="00010951"/>
    <w:rsid w:val="000122A5"/>
    <w:rsid w:val="00012677"/>
    <w:rsid w:val="00014AF0"/>
    <w:rsid w:val="0002557B"/>
    <w:rsid w:val="000401FE"/>
    <w:rsid w:val="00046377"/>
    <w:rsid w:val="000525F6"/>
    <w:rsid w:val="00054D90"/>
    <w:rsid w:val="00056EAF"/>
    <w:rsid w:val="000575DF"/>
    <w:rsid w:val="00062593"/>
    <w:rsid w:val="000657B4"/>
    <w:rsid w:val="00081DF5"/>
    <w:rsid w:val="0008593A"/>
    <w:rsid w:val="000871AD"/>
    <w:rsid w:val="000904FF"/>
    <w:rsid w:val="00090797"/>
    <w:rsid w:val="00093B39"/>
    <w:rsid w:val="000A144E"/>
    <w:rsid w:val="000A1914"/>
    <w:rsid w:val="000B73DD"/>
    <w:rsid w:val="000D26DC"/>
    <w:rsid w:val="000D5AC6"/>
    <w:rsid w:val="000D5B07"/>
    <w:rsid w:val="000D750A"/>
    <w:rsid w:val="000D7E7C"/>
    <w:rsid w:val="000E28AF"/>
    <w:rsid w:val="000E6758"/>
    <w:rsid w:val="00103A07"/>
    <w:rsid w:val="0010415C"/>
    <w:rsid w:val="001051EE"/>
    <w:rsid w:val="001062A8"/>
    <w:rsid w:val="0011117A"/>
    <w:rsid w:val="0011765A"/>
    <w:rsid w:val="00127B47"/>
    <w:rsid w:val="001464E4"/>
    <w:rsid w:val="00157A61"/>
    <w:rsid w:val="00157DD8"/>
    <w:rsid w:val="00164398"/>
    <w:rsid w:val="00165585"/>
    <w:rsid w:val="00173D96"/>
    <w:rsid w:val="00186AA0"/>
    <w:rsid w:val="001873E4"/>
    <w:rsid w:val="00193AC3"/>
    <w:rsid w:val="0019637C"/>
    <w:rsid w:val="001A0130"/>
    <w:rsid w:val="001A23D3"/>
    <w:rsid w:val="001A37CD"/>
    <w:rsid w:val="001A6C5F"/>
    <w:rsid w:val="001B00A9"/>
    <w:rsid w:val="001B5039"/>
    <w:rsid w:val="001C125F"/>
    <w:rsid w:val="001C2012"/>
    <w:rsid w:val="001C5C93"/>
    <w:rsid w:val="001C6826"/>
    <w:rsid w:val="001C689A"/>
    <w:rsid w:val="001D04A7"/>
    <w:rsid w:val="001F183C"/>
    <w:rsid w:val="001F2126"/>
    <w:rsid w:val="001F4C3C"/>
    <w:rsid w:val="001F6558"/>
    <w:rsid w:val="001F717B"/>
    <w:rsid w:val="00203EFC"/>
    <w:rsid w:val="00204244"/>
    <w:rsid w:val="002044A9"/>
    <w:rsid w:val="00206039"/>
    <w:rsid w:val="0021362D"/>
    <w:rsid w:val="00220B35"/>
    <w:rsid w:val="00220E93"/>
    <w:rsid w:val="00221DDA"/>
    <w:rsid w:val="0022320C"/>
    <w:rsid w:val="002235FD"/>
    <w:rsid w:val="00230C35"/>
    <w:rsid w:val="00240CFE"/>
    <w:rsid w:val="00242547"/>
    <w:rsid w:val="0024489A"/>
    <w:rsid w:val="002610AB"/>
    <w:rsid w:val="00265337"/>
    <w:rsid w:val="00266A70"/>
    <w:rsid w:val="002711B8"/>
    <w:rsid w:val="00276C44"/>
    <w:rsid w:val="0028278E"/>
    <w:rsid w:val="00286756"/>
    <w:rsid w:val="0029053F"/>
    <w:rsid w:val="00292DCB"/>
    <w:rsid w:val="00293837"/>
    <w:rsid w:val="0029413F"/>
    <w:rsid w:val="00294A73"/>
    <w:rsid w:val="002A7ECC"/>
    <w:rsid w:val="002B0F2B"/>
    <w:rsid w:val="002B1374"/>
    <w:rsid w:val="002B1CA9"/>
    <w:rsid w:val="002B3724"/>
    <w:rsid w:val="002B750E"/>
    <w:rsid w:val="002C1416"/>
    <w:rsid w:val="002C2D0F"/>
    <w:rsid w:val="002C404D"/>
    <w:rsid w:val="002C4CF4"/>
    <w:rsid w:val="002C540D"/>
    <w:rsid w:val="002C5F66"/>
    <w:rsid w:val="002D3737"/>
    <w:rsid w:val="002D4648"/>
    <w:rsid w:val="002D73FF"/>
    <w:rsid w:val="002D74C5"/>
    <w:rsid w:val="002E7CFF"/>
    <w:rsid w:val="002F03BC"/>
    <w:rsid w:val="002F1ACF"/>
    <w:rsid w:val="00303ADF"/>
    <w:rsid w:val="003117DB"/>
    <w:rsid w:val="003120FD"/>
    <w:rsid w:val="00314402"/>
    <w:rsid w:val="00321C38"/>
    <w:rsid w:val="003224E9"/>
    <w:rsid w:val="00324146"/>
    <w:rsid w:val="00324E13"/>
    <w:rsid w:val="00330D10"/>
    <w:rsid w:val="00332497"/>
    <w:rsid w:val="00343C1A"/>
    <w:rsid w:val="00346B10"/>
    <w:rsid w:val="00347760"/>
    <w:rsid w:val="00350009"/>
    <w:rsid w:val="0035202E"/>
    <w:rsid w:val="00364B49"/>
    <w:rsid w:val="00364DF6"/>
    <w:rsid w:val="003667F1"/>
    <w:rsid w:val="00373797"/>
    <w:rsid w:val="00376417"/>
    <w:rsid w:val="00381031"/>
    <w:rsid w:val="003874C6"/>
    <w:rsid w:val="003936A2"/>
    <w:rsid w:val="00394C9D"/>
    <w:rsid w:val="00395827"/>
    <w:rsid w:val="003A2975"/>
    <w:rsid w:val="003A3A90"/>
    <w:rsid w:val="003A3AEB"/>
    <w:rsid w:val="003A6A6F"/>
    <w:rsid w:val="003B0157"/>
    <w:rsid w:val="003B214D"/>
    <w:rsid w:val="003B5C9B"/>
    <w:rsid w:val="003C7923"/>
    <w:rsid w:val="003D56F7"/>
    <w:rsid w:val="003D7CCA"/>
    <w:rsid w:val="003E3428"/>
    <w:rsid w:val="003F4EC3"/>
    <w:rsid w:val="003F721D"/>
    <w:rsid w:val="00401446"/>
    <w:rsid w:val="00412ADD"/>
    <w:rsid w:val="00412CB4"/>
    <w:rsid w:val="004155C5"/>
    <w:rsid w:val="00420DE8"/>
    <w:rsid w:val="00421EBC"/>
    <w:rsid w:val="00423696"/>
    <w:rsid w:val="00423BF4"/>
    <w:rsid w:val="0042692D"/>
    <w:rsid w:val="00427548"/>
    <w:rsid w:val="00427F11"/>
    <w:rsid w:val="00433592"/>
    <w:rsid w:val="00444CA0"/>
    <w:rsid w:val="00451B07"/>
    <w:rsid w:val="004531D3"/>
    <w:rsid w:val="004561E4"/>
    <w:rsid w:val="00460345"/>
    <w:rsid w:val="00465556"/>
    <w:rsid w:val="0046662E"/>
    <w:rsid w:val="00470CE7"/>
    <w:rsid w:val="0047439E"/>
    <w:rsid w:val="00474AE6"/>
    <w:rsid w:val="0047649B"/>
    <w:rsid w:val="004837E2"/>
    <w:rsid w:val="004839C1"/>
    <w:rsid w:val="00495F5C"/>
    <w:rsid w:val="0049602F"/>
    <w:rsid w:val="004A017C"/>
    <w:rsid w:val="004A2DA2"/>
    <w:rsid w:val="004A7F8B"/>
    <w:rsid w:val="004B1296"/>
    <w:rsid w:val="004B18CA"/>
    <w:rsid w:val="004C1544"/>
    <w:rsid w:val="004C5F83"/>
    <w:rsid w:val="004C692A"/>
    <w:rsid w:val="004D254C"/>
    <w:rsid w:val="004D4BD0"/>
    <w:rsid w:val="004E39C1"/>
    <w:rsid w:val="004E3E22"/>
    <w:rsid w:val="004E498D"/>
    <w:rsid w:val="004F3320"/>
    <w:rsid w:val="004F4C61"/>
    <w:rsid w:val="004F7D76"/>
    <w:rsid w:val="005019ED"/>
    <w:rsid w:val="00502610"/>
    <w:rsid w:val="00505D7E"/>
    <w:rsid w:val="00506A6B"/>
    <w:rsid w:val="00521A4E"/>
    <w:rsid w:val="00527C87"/>
    <w:rsid w:val="00542621"/>
    <w:rsid w:val="005471DA"/>
    <w:rsid w:val="00553533"/>
    <w:rsid w:val="0057056C"/>
    <w:rsid w:val="0057319F"/>
    <w:rsid w:val="00574BE6"/>
    <w:rsid w:val="00582E38"/>
    <w:rsid w:val="00586700"/>
    <w:rsid w:val="005A04CB"/>
    <w:rsid w:val="005A213D"/>
    <w:rsid w:val="005A642B"/>
    <w:rsid w:val="005A7CE5"/>
    <w:rsid w:val="005B14C1"/>
    <w:rsid w:val="005B4847"/>
    <w:rsid w:val="005C0732"/>
    <w:rsid w:val="005C56F6"/>
    <w:rsid w:val="005C6031"/>
    <w:rsid w:val="005C61AC"/>
    <w:rsid w:val="005D3132"/>
    <w:rsid w:val="005D44CE"/>
    <w:rsid w:val="005D5261"/>
    <w:rsid w:val="005D57C0"/>
    <w:rsid w:val="005D5DC8"/>
    <w:rsid w:val="005E0C89"/>
    <w:rsid w:val="005E1EC7"/>
    <w:rsid w:val="005E1FE5"/>
    <w:rsid w:val="005E2A4A"/>
    <w:rsid w:val="005E2C4B"/>
    <w:rsid w:val="005E3BD5"/>
    <w:rsid w:val="005F6E77"/>
    <w:rsid w:val="0060208A"/>
    <w:rsid w:val="0060474A"/>
    <w:rsid w:val="006059F5"/>
    <w:rsid w:val="00617129"/>
    <w:rsid w:val="006176C3"/>
    <w:rsid w:val="00622543"/>
    <w:rsid w:val="006262EB"/>
    <w:rsid w:val="0062680B"/>
    <w:rsid w:val="00635068"/>
    <w:rsid w:val="006458D8"/>
    <w:rsid w:val="00647AE5"/>
    <w:rsid w:val="006510D8"/>
    <w:rsid w:val="006578E6"/>
    <w:rsid w:val="00660126"/>
    <w:rsid w:val="00661BA3"/>
    <w:rsid w:val="0066708A"/>
    <w:rsid w:val="006673BF"/>
    <w:rsid w:val="006761CB"/>
    <w:rsid w:val="0068359D"/>
    <w:rsid w:val="00684648"/>
    <w:rsid w:val="00685284"/>
    <w:rsid w:val="00691D5F"/>
    <w:rsid w:val="006A3884"/>
    <w:rsid w:val="006A3CE0"/>
    <w:rsid w:val="006A453A"/>
    <w:rsid w:val="006A45DD"/>
    <w:rsid w:val="006C2AAF"/>
    <w:rsid w:val="006C7412"/>
    <w:rsid w:val="006C756F"/>
    <w:rsid w:val="006D07AD"/>
    <w:rsid w:val="006E2B3F"/>
    <w:rsid w:val="006F0B9A"/>
    <w:rsid w:val="006F78B9"/>
    <w:rsid w:val="006F7A13"/>
    <w:rsid w:val="00703E4A"/>
    <w:rsid w:val="00711477"/>
    <w:rsid w:val="00711FF4"/>
    <w:rsid w:val="00714ADB"/>
    <w:rsid w:val="00721221"/>
    <w:rsid w:val="0072434B"/>
    <w:rsid w:val="00735F4A"/>
    <w:rsid w:val="00737C3A"/>
    <w:rsid w:val="007406A3"/>
    <w:rsid w:val="0074231A"/>
    <w:rsid w:val="00742B9F"/>
    <w:rsid w:val="007442A7"/>
    <w:rsid w:val="00745378"/>
    <w:rsid w:val="007474EA"/>
    <w:rsid w:val="00750404"/>
    <w:rsid w:val="007532C0"/>
    <w:rsid w:val="0075524B"/>
    <w:rsid w:val="00757F99"/>
    <w:rsid w:val="00761FCA"/>
    <w:rsid w:val="00763913"/>
    <w:rsid w:val="007663B2"/>
    <w:rsid w:val="00770F3E"/>
    <w:rsid w:val="00771710"/>
    <w:rsid w:val="007722A3"/>
    <w:rsid w:val="00775612"/>
    <w:rsid w:val="00777D63"/>
    <w:rsid w:val="00781BAC"/>
    <w:rsid w:val="00783B43"/>
    <w:rsid w:val="00787CD7"/>
    <w:rsid w:val="00791DF4"/>
    <w:rsid w:val="0079671C"/>
    <w:rsid w:val="00796AA5"/>
    <w:rsid w:val="007A3695"/>
    <w:rsid w:val="007A386C"/>
    <w:rsid w:val="007A3936"/>
    <w:rsid w:val="007A6688"/>
    <w:rsid w:val="007A6F54"/>
    <w:rsid w:val="007B0875"/>
    <w:rsid w:val="007B1A6E"/>
    <w:rsid w:val="007B4B61"/>
    <w:rsid w:val="007C099E"/>
    <w:rsid w:val="007C37BE"/>
    <w:rsid w:val="007C7AD3"/>
    <w:rsid w:val="007D5217"/>
    <w:rsid w:val="007D5249"/>
    <w:rsid w:val="007E3B2E"/>
    <w:rsid w:val="007E44CE"/>
    <w:rsid w:val="007E4A08"/>
    <w:rsid w:val="007F204A"/>
    <w:rsid w:val="007F3C83"/>
    <w:rsid w:val="00801A43"/>
    <w:rsid w:val="008039FC"/>
    <w:rsid w:val="00804543"/>
    <w:rsid w:val="008066AA"/>
    <w:rsid w:val="008152E1"/>
    <w:rsid w:val="00815D15"/>
    <w:rsid w:val="008239F9"/>
    <w:rsid w:val="00823D9E"/>
    <w:rsid w:val="00824522"/>
    <w:rsid w:val="00824BAC"/>
    <w:rsid w:val="00834C0A"/>
    <w:rsid w:val="0083548F"/>
    <w:rsid w:val="00841485"/>
    <w:rsid w:val="00853EE2"/>
    <w:rsid w:val="0085536D"/>
    <w:rsid w:val="008565CD"/>
    <w:rsid w:val="008606D8"/>
    <w:rsid w:val="008616DB"/>
    <w:rsid w:val="00861F8B"/>
    <w:rsid w:val="00871BCA"/>
    <w:rsid w:val="00873CCE"/>
    <w:rsid w:val="00875D53"/>
    <w:rsid w:val="00877A0E"/>
    <w:rsid w:val="0088343D"/>
    <w:rsid w:val="00884667"/>
    <w:rsid w:val="008923C5"/>
    <w:rsid w:val="00893CFD"/>
    <w:rsid w:val="00895850"/>
    <w:rsid w:val="00896FDC"/>
    <w:rsid w:val="008970DB"/>
    <w:rsid w:val="008A6832"/>
    <w:rsid w:val="008B3681"/>
    <w:rsid w:val="008B63EA"/>
    <w:rsid w:val="008B7689"/>
    <w:rsid w:val="008D045D"/>
    <w:rsid w:val="008D230A"/>
    <w:rsid w:val="008D5210"/>
    <w:rsid w:val="008D5625"/>
    <w:rsid w:val="008D63BB"/>
    <w:rsid w:val="008D7D9A"/>
    <w:rsid w:val="008E06EB"/>
    <w:rsid w:val="008E1369"/>
    <w:rsid w:val="008E3070"/>
    <w:rsid w:val="008E3BAE"/>
    <w:rsid w:val="008E3E57"/>
    <w:rsid w:val="008E67B4"/>
    <w:rsid w:val="00904B3A"/>
    <w:rsid w:val="00912811"/>
    <w:rsid w:val="00914A01"/>
    <w:rsid w:val="00917959"/>
    <w:rsid w:val="009228A4"/>
    <w:rsid w:val="00931535"/>
    <w:rsid w:val="0093349D"/>
    <w:rsid w:val="00947881"/>
    <w:rsid w:val="009552A6"/>
    <w:rsid w:val="009555E4"/>
    <w:rsid w:val="0096045B"/>
    <w:rsid w:val="00961880"/>
    <w:rsid w:val="00962CCF"/>
    <w:rsid w:val="00966053"/>
    <w:rsid w:val="00970698"/>
    <w:rsid w:val="00970805"/>
    <w:rsid w:val="00972E86"/>
    <w:rsid w:val="009732A3"/>
    <w:rsid w:val="00973583"/>
    <w:rsid w:val="00974228"/>
    <w:rsid w:val="009744DD"/>
    <w:rsid w:val="00975B6A"/>
    <w:rsid w:val="00976313"/>
    <w:rsid w:val="00982996"/>
    <w:rsid w:val="00984E8F"/>
    <w:rsid w:val="00986D63"/>
    <w:rsid w:val="009913C3"/>
    <w:rsid w:val="0099161C"/>
    <w:rsid w:val="00994536"/>
    <w:rsid w:val="00997446"/>
    <w:rsid w:val="009A1E55"/>
    <w:rsid w:val="009A22FF"/>
    <w:rsid w:val="009A4A6F"/>
    <w:rsid w:val="009A5046"/>
    <w:rsid w:val="009C02B1"/>
    <w:rsid w:val="009C27D5"/>
    <w:rsid w:val="009C3E27"/>
    <w:rsid w:val="009C418C"/>
    <w:rsid w:val="009C5955"/>
    <w:rsid w:val="009D1188"/>
    <w:rsid w:val="009D700E"/>
    <w:rsid w:val="009E3043"/>
    <w:rsid w:val="009E3452"/>
    <w:rsid w:val="009E769B"/>
    <w:rsid w:val="009F088E"/>
    <w:rsid w:val="009F17CA"/>
    <w:rsid w:val="009F3038"/>
    <w:rsid w:val="00A04585"/>
    <w:rsid w:val="00A069A9"/>
    <w:rsid w:val="00A14AF0"/>
    <w:rsid w:val="00A151DF"/>
    <w:rsid w:val="00A21319"/>
    <w:rsid w:val="00A23A62"/>
    <w:rsid w:val="00A26906"/>
    <w:rsid w:val="00A31865"/>
    <w:rsid w:val="00A344EE"/>
    <w:rsid w:val="00A40866"/>
    <w:rsid w:val="00A47F1D"/>
    <w:rsid w:val="00A503FF"/>
    <w:rsid w:val="00A56DC3"/>
    <w:rsid w:val="00A62967"/>
    <w:rsid w:val="00A63C2A"/>
    <w:rsid w:val="00A6496F"/>
    <w:rsid w:val="00A64C12"/>
    <w:rsid w:val="00A7121E"/>
    <w:rsid w:val="00A76EF4"/>
    <w:rsid w:val="00A82F57"/>
    <w:rsid w:val="00A83D8F"/>
    <w:rsid w:val="00A85775"/>
    <w:rsid w:val="00A85A2A"/>
    <w:rsid w:val="00A85BDF"/>
    <w:rsid w:val="00A91E51"/>
    <w:rsid w:val="00AA49D2"/>
    <w:rsid w:val="00AB641D"/>
    <w:rsid w:val="00AC0ABF"/>
    <w:rsid w:val="00AC40BF"/>
    <w:rsid w:val="00AC4B5F"/>
    <w:rsid w:val="00AC6282"/>
    <w:rsid w:val="00AC7263"/>
    <w:rsid w:val="00AC7AB7"/>
    <w:rsid w:val="00AC7DB6"/>
    <w:rsid w:val="00AD06AC"/>
    <w:rsid w:val="00AD564A"/>
    <w:rsid w:val="00AD59F8"/>
    <w:rsid w:val="00AD7261"/>
    <w:rsid w:val="00AE01C0"/>
    <w:rsid w:val="00AE1293"/>
    <w:rsid w:val="00AE55CF"/>
    <w:rsid w:val="00AF58F1"/>
    <w:rsid w:val="00AF61D0"/>
    <w:rsid w:val="00B006E5"/>
    <w:rsid w:val="00B061EA"/>
    <w:rsid w:val="00B15F6F"/>
    <w:rsid w:val="00B20373"/>
    <w:rsid w:val="00B22D98"/>
    <w:rsid w:val="00B23211"/>
    <w:rsid w:val="00B2579D"/>
    <w:rsid w:val="00B26529"/>
    <w:rsid w:val="00B268D3"/>
    <w:rsid w:val="00B45E91"/>
    <w:rsid w:val="00B464D9"/>
    <w:rsid w:val="00B46970"/>
    <w:rsid w:val="00B51693"/>
    <w:rsid w:val="00B60523"/>
    <w:rsid w:val="00B65872"/>
    <w:rsid w:val="00B71527"/>
    <w:rsid w:val="00B72B34"/>
    <w:rsid w:val="00B73396"/>
    <w:rsid w:val="00B80E46"/>
    <w:rsid w:val="00B82553"/>
    <w:rsid w:val="00B870D6"/>
    <w:rsid w:val="00B90D55"/>
    <w:rsid w:val="00BA0621"/>
    <w:rsid w:val="00BA267B"/>
    <w:rsid w:val="00BB17B7"/>
    <w:rsid w:val="00BB37BD"/>
    <w:rsid w:val="00BB6536"/>
    <w:rsid w:val="00BC0DA6"/>
    <w:rsid w:val="00BC2207"/>
    <w:rsid w:val="00BC25B8"/>
    <w:rsid w:val="00BC29FD"/>
    <w:rsid w:val="00BC3689"/>
    <w:rsid w:val="00BD0166"/>
    <w:rsid w:val="00BD225E"/>
    <w:rsid w:val="00BD24DE"/>
    <w:rsid w:val="00BE393A"/>
    <w:rsid w:val="00BE7A39"/>
    <w:rsid w:val="00BF4C30"/>
    <w:rsid w:val="00BF555C"/>
    <w:rsid w:val="00BF5FD3"/>
    <w:rsid w:val="00C01F9E"/>
    <w:rsid w:val="00C0782C"/>
    <w:rsid w:val="00C11DCC"/>
    <w:rsid w:val="00C13C5C"/>
    <w:rsid w:val="00C15DE5"/>
    <w:rsid w:val="00C17F0F"/>
    <w:rsid w:val="00C208EC"/>
    <w:rsid w:val="00C251E9"/>
    <w:rsid w:val="00C459EF"/>
    <w:rsid w:val="00C45C0A"/>
    <w:rsid w:val="00C47E87"/>
    <w:rsid w:val="00C52D01"/>
    <w:rsid w:val="00C53332"/>
    <w:rsid w:val="00C546BA"/>
    <w:rsid w:val="00C63FE5"/>
    <w:rsid w:val="00C64DCC"/>
    <w:rsid w:val="00C6648A"/>
    <w:rsid w:val="00C72337"/>
    <w:rsid w:val="00C72509"/>
    <w:rsid w:val="00C7419F"/>
    <w:rsid w:val="00C746B9"/>
    <w:rsid w:val="00C767DB"/>
    <w:rsid w:val="00C81BB9"/>
    <w:rsid w:val="00C828A6"/>
    <w:rsid w:val="00C86A30"/>
    <w:rsid w:val="00C87867"/>
    <w:rsid w:val="00C90A77"/>
    <w:rsid w:val="00C93A85"/>
    <w:rsid w:val="00C93D3C"/>
    <w:rsid w:val="00C954B8"/>
    <w:rsid w:val="00C9612F"/>
    <w:rsid w:val="00CA0924"/>
    <w:rsid w:val="00CA2653"/>
    <w:rsid w:val="00CA3F76"/>
    <w:rsid w:val="00CA4DFD"/>
    <w:rsid w:val="00CA750E"/>
    <w:rsid w:val="00CC3C43"/>
    <w:rsid w:val="00CC41BA"/>
    <w:rsid w:val="00CC5669"/>
    <w:rsid w:val="00CC66CF"/>
    <w:rsid w:val="00CC690F"/>
    <w:rsid w:val="00CE0F95"/>
    <w:rsid w:val="00CE4288"/>
    <w:rsid w:val="00CF1CBF"/>
    <w:rsid w:val="00CF5011"/>
    <w:rsid w:val="00D00EB6"/>
    <w:rsid w:val="00D04A46"/>
    <w:rsid w:val="00D06A77"/>
    <w:rsid w:val="00D14C44"/>
    <w:rsid w:val="00D20A6A"/>
    <w:rsid w:val="00D20A7F"/>
    <w:rsid w:val="00D214A8"/>
    <w:rsid w:val="00D27AC7"/>
    <w:rsid w:val="00D31227"/>
    <w:rsid w:val="00D3193E"/>
    <w:rsid w:val="00D329E1"/>
    <w:rsid w:val="00D32CB8"/>
    <w:rsid w:val="00D34B1E"/>
    <w:rsid w:val="00D353A6"/>
    <w:rsid w:val="00D41FAD"/>
    <w:rsid w:val="00D43103"/>
    <w:rsid w:val="00D560C3"/>
    <w:rsid w:val="00D56737"/>
    <w:rsid w:val="00D625C5"/>
    <w:rsid w:val="00D63450"/>
    <w:rsid w:val="00D641EC"/>
    <w:rsid w:val="00D73B89"/>
    <w:rsid w:val="00D75021"/>
    <w:rsid w:val="00D85E58"/>
    <w:rsid w:val="00D9226A"/>
    <w:rsid w:val="00D9668A"/>
    <w:rsid w:val="00D97FC9"/>
    <w:rsid w:val="00DA208E"/>
    <w:rsid w:val="00DA53F9"/>
    <w:rsid w:val="00DA6208"/>
    <w:rsid w:val="00DB4129"/>
    <w:rsid w:val="00DB448E"/>
    <w:rsid w:val="00DC1F36"/>
    <w:rsid w:val="00DC2002"/>
    <w:rsid w:val="00DC2E4F"/>
    <w:rsid w:val="00DC35A8"/>
    <w:rsid w:val="00DC47E7"/>
    <w:rsid w:val="00DD10DE"/>
    <w:rsid w:val="00DD4A18"/>
    <w:rsid w:val="00DF2819"/>
    <w:rsid w:val="00DF2DFD"/>
    <w:rsid w:val="00DF3ABE"/>
    <w:rsid w:val="00DF6321"/>
    <w:rsid w:val="00E02417"/>
    <w:rsid w:val="00E03AC2"/>
    <w:rsid w:val="00E0500C"/>
    <w:rsid w:val="00E10016"/>
    <w:rsid w:val="00E1001B"/>
    <w:rsid w:val="00E10710"/>
    <w:rsid w:val="00E113E4"/>
    <w:rsid w:val="00E14A35"/>
    <w:rsid w:val="00E1651F"/>
    <w:rsid w:val="00E1652C"/>
    <w:rsid w:val="00E1752C"/>
    <w:rsid w:val="00E22B7A"/>
    <w:rsid w:val="00E239D6"/>
    <w:rsid w:val="00E23DFE"/>
    <w:rsid w:val="00E3467E"/>
    <w:rsid w:val="00E368A0"/>
    <w:rsid w:val="00E45BD3"/>
    <w:rsid w:val="00E45E1C"/>
    <w:rsid w:val="00E53538"/>
    <w:rsid w:val="00E55AEF"/>
    <w:rsid w:val="00E6743E"/>
    <w:rsid w:val="00E72C90"/>
    <w:rsid w:val="00E763A4"/>
    <w:rsid w:val="00E80C05"/>
    <w:rsid w:val="00E8285A"/>
    <w:rsid w:val="00E9576E"/>
    <w:rsid w:val="00E96433"/>
    <w:rsid w:val="00E97388"/>
    <w:rsid w:val="00EA1A59"/>
    <w:rsid w:val="00EA2780"/>
    <w:rsid w:val="00EA4035"/>
    <w:rsid w:val="00EB6F0A"/>
    <w:rsid w:val="00EC033C"/>
    <w:rsid w:val="00EC2326"/>
    <w:rsid w:val="00ED16F2"/>
    <w:rsid w:val="00ED2CE9"/>
    <w:rsid w:val="00ED5985"/>
    <w:rsid w:val="00ED6090"/>
    <w:rsid w:val="00EE091A"/>
    <w:rsid w:val="00EE3CD3"/>
    <w:rsid w:val="00EE57BF"/>
    <w:rsid w:val="00EF3DDE"/>
    <w:rsid w:val="00EF593F"/>
    <w:rsid w:val="00EF7412"/>
    <w:rsid w:val="00F040EE"/>
    <w:rsid w:val="00F051C7"/>
    <w:rsid w:val="00F115B8"/>
    <w:rsid w:val="00F12034"/>
    <w:rsid w:val="00F124EC"/>
    <w:rsid w:val="00F23F1B"/>
    <w:rsid w:val="00F25FDD"/>
    <w:rsid w:val="00F30F4F"/>
    <w:rsid w:val="00F311D0"/>
    <w:rsid w:val="00F31B19"/>
    <w:rsid w:val="00F32CBD"/>
    <w:rsid w:val="00F41081"/>
    <w:rsid w:val="00F41F93"/>
    <w:rsid w:val="00F42829"/>
    <w:rsid w:val="00F46A0B"/>
    <w:rsid w:val="00F47F9D"/>
    <w:rsid w:val="00F62C9E"/>
    <w:rsid w:val="00F63E34"/>
    <w:rsid w:val="00F650D7"/>
    <w:rsid w:val="00F6623C"/>
    <w:rsid w:val="00F6722D"/>
    <w:rsid w:val="00F74692"/>
    <w:rsid w:val="00F82332"/>
    <w:rsid w:val="00F82EC8"/>
    <w:rsid w:val="00F85244"/>
    <w:rsid w:val="00F85532"/>
    <w:rsid w:val="00F85F2D"/>
    <w:rsid w:val="00F860F5"/>
    <w:rsid w:val="00F9000B"/>
    <w:rsid w:val="00F935BC"/>
    <w:rsid w:val="00F969EB"/>
    <w:rsid w:val="00F97084"/>
    <w:rsid w:val="00FA5F34"/>
    <w:rsid w:val="00FA5F83"/>
    <w:rsid w:val="00FB65D9"/>
    <w:rsid w:val="00FB798D"/>
    <w:rsid w:val="00FC04F5"/>
    <w:rsid w:val="00FC1151"/>
    <w:rsid w:val="00FC47CF"/>
    <w:rsid w:val="00FC6D72"/>
    <w:rsid w:val="00FC7043"/>
    <w:rsid w:val="00FC7058"/>
    <w:rsid w:val="00FD0557"/>
    <w:rsid w:val="00FD2181"/>
    <w:rsid w:val="00FD3E96"/>
    <w:rsid w:val="00FD691B"/>
    <w:rsid w:val="00FE27B1"/>
    <w:rsid w:val="00FF1276"/>
    <w:rsid w:val="00FF22FC"/>
    <w:rsid w:val="00FF55FC"/>
    <w:rsid w:val="00FF70A9"/>
    <w:rsid w:val="00FF7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705FE2"/>
  <w15:docId w15:val="{EECB9DCA-044A-49C5-913D-C45F2A5C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D9A"/>
    <w:pPr>
      <w:ind w:left="720"/>
      <w:contextualSpacing/>
    </w:pPr>
  </w:style>
  <w:style w:type="paragraph" w:styleId="Piedepgina">
    <w:name w:val="footer"/>
    <w:basedOn w:val="Normal"/>
    <w:link w:val="PiedepginaCar"/>
    <w:uiPriority w:val="99"/>
    <w:unhideWhenUsed/>
    <w:rsid w:val="00FA5F83"/>
    <w:pPr>
      <w:tabs>
        <w:tab w:val="center" w:pos="4419"/>
        <w:tab w:val="right" w:pos="8838"/>
      </w:tabs>
    </w:pPr>
  </w:style>
  <w:style w:type="character" w:customStyle="1" w:styleId="PiedepginaCar">
    <w:name w:val="Pie de página Car"/>
    <w:basedOn w:val="Fuentedeprrafopredeter"/>
    <w:link w:val="Piedepgina"/>
    <w:uiPriority w:val="99"/>
    <w:rsid w:val="00FA5F83"/>
  </w:style>
  <w:style w:type="character" w:styleId="Nmerodepgina">
    <w:name w:val="page number"/>
    <w:basedOn w:val="Fuentedeprrafopredeter"/>
    <w:uiPriority w:val="99"/>
    <w:semiHidden/>
    <w:unhideWhenUsed/>
    <w:rsid w:val="00FA5F83"/>
  </w:style>
  <w:style w:type="paragraph" w:styleId="Sinespaciado">
    <w:name w:val="No Spacing"/>
    <w:link w:val="SinespaciadoCar"/>
    <w:uiPriority w:val="1"/>
    <w:qFormat/>
    <w:rsid w:val="007C099E"/>
    <w:rPr>
      <w:sz w:val="22"/>
      <w:szCs w:val="22"/>
    </w:rPr>
  </w:style>
  <w:style w:type="character" w:customStyle="1" w:styleId="SinespaciadoCar">
    <w:name w:val="Sin espaciado Car"/>
    <w:link w:val="Sinespaciado"/>
    <w:uiPriority w:val="1"/>
    <w:qFormat/>
    <w:locked/>
    <w:rsid w:val="007C099E"/>
    <w:rPr>
      <w:sz w:val="22"/>
      <w:szCs w:val="22"/>
    </w:rPr>
  </w:style>
  <w:style w:type="paragraph" w:styleId="Textonotapie">
    <w:name w:val="footnote text"/>
    <w:basedOn w:val="Normal"/>
    <w:link w:val="TextonotapieCar"/>
    <w:uiPriority w:val="99"/>
    <w:semiHidden/>
    <w:unhideWhenUsed/>
    <w:rsid w:val="00C47E87"/>
    <w:rPr>
      <w:sz w:val="20"/>
      <w:szCs w:val="20"/>
    </w:rPr>
  </w:style>
  <w:style w:type="character" w:customStyle="1" w:styleId="TextonotapieCar">
    <w:name w:val="Texto nota pie Car"/>
    <w:basedOn w:val="Fuentedeprrafopredeter"/>
    <w:link w:val="Textonotapie"/>
    <w:uiPriority w:val="99"/>
    <w:semiHidden/>
    <w:rsid w:val="00C47E87"/>
    <w:rPr>
      <w:sz w:val="20"/>
      <w:szCs w:val="20"/>
    </w:rPr>
  </w:style>
  <w:style w:type="character" w:styleId="Refdenotaalpie">
    <w:name w:val="footnote reference"/>
    <w:basedOn w:val="Fuentedeprrafopredeter"/>
    <w:uiPriority w:val="99"/>
    <w:semiHidden/>
    <w:unhideWhenUsed/>
    <w:rsid w:val="00C47E87"/>
    <w:rPr>
      <w:vertAlign w:val="superscript"/>
    </w:rPr>
  </w:style>
  <w:style w:type="paragraph" w:styleId="Encabezado">
    <w:name w:val="header"/>
    <w:basedOn w:val="Normal"/>
    <w:link w:val="EncabezadoCar"/>
    <w:uiPriority w:val="99"/>
    <w:unhideWhenUsed/>
    <w:rsid w:val="00BC29FD"/>
    <w:pPr>
      <w:tabs>
        <w:tab w:val="center" w:pos="4419"/>
        <w:tab w:val="right" w:pos="8838"/>
      </w:tabs>
    </w:pPr>
  </w:style>
  <w:style w:type="character" w:customStyle="1" w:styleId="EncabezadoCar">
    <w:name w:val="Encabezado Car"/>
    <w:basedOn w:val="Fuentedeprrafopredeter"/>
    <w:link w:val="Encabezado"/>
    <w:uiPriority w:val="99"/>
    <w:rsid w:val="00BC29FD"/>
  </w:style>
  <w:style w:type="paragraph" w:styleId="Textodeglobo">
    <w:name w:val="Balloon Text"/>
    <w:basedOn w:val="Normal"/>
    <w:link w:val="TextodegloboCar"/>
    <w:uiPriority w:val="99"/>
    <w:semiHidden/>
    <w:unhideWhenUsed/>
    <w:rsid w:val="00A62967"/>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967"/>
    <w:rPr>
      <w:rFonts w:ascii="Tahoma" w:hAnsi="Tahoma" w:cs="Tahoma"/>
      <w:sz w:val="16"/>
      <w:szCs w:val="16"/>
    </w:rPr>
  </w:style>
  <w:style w:type="paragraph" w:styleId="Revisin">
    <w:name w:val="Revision"/>
    <w:hidden/>
    <w:uiPriority w:val="99"/>
    <w:semiHidden/>
    <w:rsid w:val="006761CB"/>
  </w:style>
  <w:style w:type="character" w:styleId="Refdecomentario">
    <w:name w:val="annotation reference"/>
    <w:basedOn w:val="Fuentedeprrafopredeter"/>
    <w:uiPriority w:val="99"/>
    <w:semiHidden/>
    <w:unhideWhenUsed/>
    <w:rsid w:val="00E45BD3"/>
    <w:rPr>
      <w:sz w:val="16"/>
      <w:szCs w:val="16"/>
    </w:rPr>
  </w:style>
  <w:style w:type="paragraph" w:styleId="Textocomentario">
    <w:name w:val="annotation text"/>
    <w:basedOn w:val="Normal"/>
    <w:link w:val="TextocomentarioCar"/>
    <w:uiPriority w:val="99"/>
    <w:semiHidden/>
    <w:unhideWhenUsed/>
    <w:rsid w:val="00E45BD3"/>
    <w:rPr>
      <w:sz w:val="20"/>
      <w:szCs w:val="20"/>
    </w:rPr>
  </w:style>
  <w:style w:type="character" w:customStyle="1" w:styleId="TextocomentarioCar">
    <w:name w:val="Texto comentario Car"/>
    <w:basedOn w:val="Fuentedeprrafopredeter"/>
    <w:link w:val="Textocomentario"/>
    <w:uiPriority w:val="99"/>
    <w:semiHidden/>
    <w:rsid w:val="00E45BD3"/>
    <w:rPr>
      <w:sz w:val="20"/>
      <w:szCs w:val="20"/>
    </w:rPr>
  </w:style>
  <w:style w:type="paragraph" w:styleId="Asuntodelcomentario">
    <w:name w:val="annotation subject"/>
    <w:basedOn w:val="Textocomentario"/>
    <w:next w:val="Textocomentario"/>
    <w:link w:val="AsuntodelcomentarioCar"/>
    <w:uiPriority w:val="99"/>
    <w:semiHidden/>
    <w:unhideWhenUsed/>
    <w:rsid w:val="00E45BD3"/>
    <w:rPr>
      <w:b/>
      <w:bCs/>
    </w:rPr>
  </w:style>
  <w:style w:type="character" w:customStyle="1" w:styleId="AsuntodelcomentarioCar">
    <w:name w:val="Asunto del comentario Car"/>
    <w:basedOn w:val="TextocomentarioCar"/>
    <w:link w:val="Asuntodelcomentario"/>
    <w:uiPriority w:val="99"/>
    <w:semiHidden/>
    <w:rsid w:val="00E45BD3"/>
    <w:rPr>
      <w:b/>
      <w:bCs/>
      <w:sz w:val="20"/>
      <w:szCs w:val="20"/>
    </w:rPr>
  </w:style>
  <w:style w:type="paragraph" w:styleId="Textoindependiente">
    <w:name w:val="Body Text"/>
    <w:basedOn w:val="Normal"/>
    <w:link w:val="TextoindependienteCar"/>
    <w:uiPriority w:val="99"/>
    <w:unhideWhenUsed/>
    <w:rsid w:val="00381031"/>
    <w:pPr>
      <w:spacing w:after="120"/>
    </w:pPr>
    <w:rPr>
      <w:rFonts w:ascii="Tahoma" w:eastAsia="Times New Roman" w:hAnsi="Tahoma" w:cs="Times New Roman"/>
      <w:szCs w:val="20"/>
      <w:lang w:eastAsia="es-ES"/>
    </w:rPr>
  </w:style>
  <w:style w:type="character" w:customStyle="1" w:styleId="TextoindependienteCar">
    <w:name w:val="Texto independiente Car"/>
    <w:basedOn w:val="Fuentedeprrafopredeter"/>
    <w:link w:val="Textoindependiente"/>
    <w:uiPriority w:val="99"/>
    <w:rsid w:val="00381031"/>
    <w:rPr>
      <w:rFonts w:ascii="Tahoma" w:eastAsia="Times New Roman" w:hAnsi="Tahoma"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099">
      <w:bodyDiv w:val="1"/>
      <w:marLeft w:val="0"/>
      <w:marRight w:val="0"/>
      <w:marTop w:val="0"/>
      <w:marBottom w:val="0"/>
      <w:divBdr>
        <w:top w:val="none" w:sz="0" w:space="0" w:color="auto"/>
        <w:left w:val="none" w:sz="0" w:space="0" w:color="auto"/>
        <w:bottom w:val="none" w:sz="0" w:space="0" w:color="auto"/>
        <w:right w:val="none" w:sz="0" w:space="0" w:color="auto"/>
      </w:divBdr>
    </w:div>
    <w:div w:id="39743158">
      <w:bodyDiv w:val="1"/>
      <w:marLeft w:val="0"/>
      <w:marRight w:val="0"/>
      <w:marTop w:val="0"/>
      <w:marBottom w:val="0"/>
      <w:divBdr>
        <w:top w:val="none" w:sz="0" w:space="0" w:color="auto"/>
        <w:left w:val="none" w:sz="0" w:space="0" w:color="auto"/>
        <w:bottom w:val="none" w:sz="0" w:space="0" w:color="auto"/>
        <w:right w:val="none" w:sz="0" w:space="0" w:color="auto"/>
      </w:divBdr>
    </w:div>
    <w:div w:id="60910529">
      <w:bodyDiv w:val="1"/>
      <w:marLeft w:val="0"/>
      <w:marRight w:val="0"/>
      <w:marTop w:val="0"/>
      <w:marBottom w:val="0"/>
      <w:divBdr>
        <w:top w:val="none" w:sz="0" w:space="0" w:color="auto"/>
        <w:left w:val="none" w:sz="0" w:space="0" w:color="auto"/>
        <w:bottom w:val="none" w:sz="0" w:space="0" w:color="auto"/>
        <w:right w:val="none" w:sz="0" w:space="0" w:color="auto"/>
      </w:divBdr>
    </w:div>
    <w:div w:id="83235363">
      <w:bodyDiv w:val="1"/>
      <w:marLeft w:val="0"/>
      <w:marRight w:val="0"/>
      <w:marTop w:val="0"/>
      <w:marBottom w:val="0"/>
      <w:divBdr>
        <w:top w:val="none" w:sz="0" w:space="0" w:color="auto"/>
        <w:left w:val="none" w:sz="0" w:space="0" w:color="auto"/>
        <w:bottom w:val="none" w:sz="0" w:space="0" w:color="auto"/>
        <w:right w:val="none" w:sz="0" w:space="0" w:color="auto"/>
      </w:divBdr>
    </w:div>
    <w:div w:id="210850124">
      <w:bodyDiv w:val="1"/>
      <w:marLeft w:val="0"/>
      <w:marRight w:val="0"/>
      <w:marTop w:val="0"/>
      <w:marBottom w:val="0"/>
      <w:divBdr>
        <w:top w:val="none" w:sz="0" w:space="0" w:color="auto"/>
        <w:left w:val="none" w:sz="0" w:space="0" w:color="auto"/>
        <w:bottom w:val="none" w:sz="0" w:space="0" w:color="auto"/>
        <w:right w:val="none" w:sz="0" w:space="0" w:color="auto"/>
      </w:divBdr>
    </w:div>
    <w:div w:id="463159996">
      <w:bodyDiv w:val="1"/>
      <w:marLeft w:val="0"/>
      <w:marRight w:val="0"/>
      <w:marTop w:val="0"/>
      <w:marBottom w:val="0"/>
      <w:divBdr>
        <w:top w:val="none" w:sz="0" w:space="0" w:color="auto"/>
        <w:left w:val="none" w:sz="0" w:space="0" w:color="auto"/>
        <w:bottom w:val="none" w:sz="0" w:space="0" w:color="auto"/>
        <w:right w:val="none" w:sz="0" w:space="0" w:color="auto"/>
      </w:divBdr>
    </w:div>
    <w:div w:id="643849221">
      <w:bodyDiv w:val="1"/>
      <w:marLeft w:val="0"/>
      <w:marRight w:val="0"/>
      <w:marTop w:val="0"/>
      <w:marBottom w:val="0"/>
      <w:divBdr>
        <w:top w:val="none" w:sz="0" w:space="0" w:color="auto"/>
        <w:left w:val="none" w:sz="0" w:space="0" w:color="auto"/>
        <w:bottom w:val="none" w:sz="0" w:space="0" w:color="auto"/>
        <w:right w:val="none" w:sz="0" w:space="0" w:color="auto"/>
      </w:divBdr>
    </w:div>
    <w:div w:id="745615504">
      <w:bodyDiv w:val="1"/>
      <w:marLeft w:val="0"/>
      <w:marRight w:val="0"/>
      <w:marTop w:val="0"/>
      <w:marBottom w:val="0"/>
      <w:divBdr>
        <w:top w:val="none" w:sz="0" w:space="0" w:color="auto"/>
        <w:left w:val="none" w:sz="0" w:space="0" w:color="auto"/>
        <w:bottom w:val="none" w:sz="0" w:space="0" w:color="auto"/>
        <w:right w:val="none" w:sz="0" w:space="0" w:color="auto"/>
      </w:divBdr>
    </w:div>
    <w:div w:id="762993996">
      <w:bodyDiv w:val="1"/>
      <w:marLeft w:val="0"/>
      <w:marRight w:val="0"/>
      <w:marTop w:val="0"/>
      <w:marBottom w:val="0"/>
      <w:divBdr>
        <w:top w:val="none" w:sz="0" w:space="0" w:color="auto"/>
        <w:left w:val="none" w:sz="0" w:space="0" w:color="auto"/>
        <w:bottom w:val="none" w:sz="0" w:space="0" w:color="auto"/>
        <w:right w:val="none" w:sz="0" w:space="0" w:color="auto"/>
      </w:divBdr>
    </w:div>
    <w:div w:id="777531078">
      <w:bodyDiv w:val="1"/>
      <w:marLeft w:val="0"/>
      <w:marRight w:val="0"/>
      <w:marTop w:val="0"/>
      <w:marBottom w:val="0"/>
      <w:divBdr>
        <w:top w:val="none" w:sz="0" w:space="0" w:color="auto"/>
        <w:left w:val="none" w:sz="0" w:space="0" w:color="auto"/>
        <w:bottom w:val="none" w:sz="0" w:space="0" w:color="auto"/>
        <w:right w:val="none" w:sz="0" w:space="0" w:color="auto"/>
      </w:divBdr>
    </w:div>
    <w:div w:id="803542721">
      <w:bodyDiv w:val="1"/>
      <w:marLeft w:val="0"/>
      <w:marRight w:val="0"/>
      <w:marTop w:val="0"/>
      <w:marBottom w:val="0"/>
      <w:divBdr>
        <w:top w:val="none" w:sz="0" w:space="0" w:color="auto"/>
        <w:left w:val="none" w:sz="0" w:space="0" w:color="auto"/>
        <w:bottom w:val="none" w:sz="0" w:space="0" w:color="auto"/>
        <w:right w:val="none" w:sz="0" w:space="0" w:color="auto"/>
      </w:divBdr>
    </w:div>
    <w:div w:id="814377822">
      <w:bodyDiv w:val="1"/>
      <w:marLeft w:val="0"/>
      <w:marRight w:val="0"/>
      <w:marTop w:val="0"/>
      <w:marBottom w:val="0"/>
      <w:divBdr>
        <w:top w:val="none" w:sz="0" w:space="0" w:color="auto"/>
        <w:left w:val="none" w:sz="0" w:space="0" w:color="auto"/>
        <w:bottom w:val="none" w:sz="0" w:space="0" w:color="auto"/>
        <w:right w:val="none" w:sz="0" w:space="0" w:color="auto"/>
      </w:divBdr>
    </w:div>
    <w:div w:id="946473276">
      <w:bodyDiv w:val="1"/>
      <w:marLeft w:val="0"/>
      <w:marRight w:val="0"/>
      <w:marTop w:val="0"/>
      <w:marBottom w:val="0"/>
      <w:divBdr>
        <w:top w:val="none" w:sz="0" w:space="0" w:color="auto"/>
        <w:left w:val="none" w:sz="0" w:space="0" w:color="auto"/>
        <w:bottom w:val="none" w:sz="0" w:space="0" w:color="auto"/>
        <w:right w:val="none" w:sz="0" w:space="0" w:color="auto"/>
      </w:divBdr>
    </w:div>
    <w:div w:id="995108243">
      <w:bodyDiv w:val="1"/>
      <w:marLeft w:val="0"/>
      <w:marRight w:val="0"/>
      <w:marTop w:val="0"/>
      <w:marBottom w:val="0"/>
      <w:divBdr>
        <w:top w:val="none" w:sz="0" w:space="0" w:color="auto"/>
        <w:left w:val="none" w:sz="0" w:space="0" w:color="auto"/>
        <w:bottom w:val="none" w:sz="0" w:space="0" w:color="auto"/>
        <w:right w:val="none" w:sz="0" w:space="0" w:color="auto"/>
      </w:divBdr>
    </w:div>
    <w:div w:id="1145968577">
      <w:bodyDiv w:val="1"/>
      <w:marLeft w:val="0"/>
      <w:marRight w:val="0"/>
      <w:marTop w:val="0"/>
      <w:marBottom w:val="0"/>
      <w:divBdr>
        <w:top w:val="none" w:sz="0" w:space="0" w:color="auto"/>
        <w:left w:val="none" w:sz="0" w:space="0" w:color="auto"/>
        <w:bottom w:val="none" w:sz="0" w:space="0" w:color="auto"/>
        <w:right w:val="none" w:sz="0" w:space="0" w:color="auto"/>
      </w:divBdr>
    </w:div>
    <w:div w:id="1175069384">
      <w:bodyDiv w:val="1"/>
      <w:marLeft w:val="0"/>
      <w:marRight w:val="0"/>
      <w:marTop w:val="0"/>
      <w:marBottom w:val="0"/>
      <w:divBdr>
        <w:top w:val="none" w:sz="0" w:space="0" w:color="auto"/>
        <w:left w:val="none" w:sz="0" w:space="0" w:color="auto"/>
        <w:bottom w:val="none" w:sz="0" w:space="0" w:color="auto"/>
        <w:right w:val="none" w:sz="0" w:space="0" w:color="auto"/>
      </w:divBdr>
    </w:div>
    <w:div w:id="1186597322">
      <w:bodyDiv w:val="1"/>
      <w:marLeft w:val="0"/>
      <w:marRight w:val="0"/>
      <w:marTop w:val="0"/>
      <w:marBottom w:val="0"/>
      <w:divBdr>
        <w:top w:val="none" w:sz="0" w:space="0" w:color="auto"/>
        <w:left w:val="none" w:sz="0" w:space="0" w:color="auto"/>
        <w:bottom w:val="none" w:sz="0" w:space="0" w:color="auto"/>
        <w:right w:val="none" w:sz="0" w:space="0" w:color="auto"/>
      </w:divBdr>
    </w:div>
    <w:div w:id="1189829876">
      <w:bodyDiv w:val="1"/>
      <w:marLeft w:val="0"/>
      <w:marRight w:val="0"/>
      <w:marTop w:val="0"/>
      <w:marBottom w:val="0"/>
      <w:divBdr>
        <w:top w:val="none" w:sz="0" w:space="0" w:color="auto"/>
        <w:left w:val="none" w:sz="0" w:space="0" w:color="auto"/>
        <w:bottom w:val="none" w:sz="0" w:space="0" w:color="auto"/>
        <w:right w:val="none" w:sz="0" w:space="0" w:color="auto"/>
      </w:divBdr>
    </w:div>
    <w:div w:id="1212574925">
      <w:bodyDiv w:val="1"/>
      <w:marLeft w:val="0"/>
      <w:marRight w:val="0"/>
      <w:marTop w:val="0"/>
      <w:marBottom w:val="0"/>
      <w:divBdr>
        <w:top w:val="none" w:sz="0" w:space="0" w:color="auto"/>
        <w:left w:val="none" w:sz="0" w:space="0" w:color="auto"/>
        <w:bottom w:val="none" w:sz="0" w:space="0" w:color="auto"/>
        <w:right w:val="none" w:sz="0" w:space="0" w:color="auto"/>
      </w:divBdr>
    </w:div>
    <w:div w:id="1277563007">
      <w:bodyDiv w:val="1"/>
      <w:marLeft w:val="0"/>
      <w:marRight w:val="0"/>
      <w:marTop w:val="0"/>
      <w:marBottom w:val="0"/>
      <w:divBdr>
        <w:top w:val="none" w:sz="0" w:space="0" w:color="auto"/>
        <w:left w:val="none" w:sz="0" w:space="0" w:color="auto"/>
        <w:bottom w:val="none" w:sz="0" w:space="0" w:color="auto"/>
        <w:right w:val="none" w:sz="0" w:space="0" w:color="auto"/>
      </w:divBdr>
    </w:div>
    <w:div w:id="1326663651">
      <w:bodyDiv w:val="1"/>
      <w:marLeft w:val="0"/>
      <w:marRight w:val="0"/>
      <w:marTop w:val="0"/>
      <w:marBottom w:val="0"/>
      <w:divBdr>
        <w:top w:val="none" w:sz="0" w:space="0" w:color="auto"/>
        <w:left w:val="none" w:sz="0" w:space="0" w:color="auto"/>
        <w:bottom w:val="none" w:sz="0" w:space="0" w:color="auto"/>
        <w:right w:val="none" w:sz="0" w:space="0" w:color="auto"/>
      </w:divBdr>
    </w:div>
    <w:div w:id="1446582192">
      <w:bodyDiv w:val="1"/>
      <w:marLeft w:val="0"/>
      <w:marRight w:val="0"/>
      <w:marTop w:val="0"/>
      <w:marBottom w:val="0"/>
      <w:divBdr>
        <w:top w:val="none" w:sz="0" w:space="0" w:color="auto"/>
        <w:left w:val="none" w:sz="0" w:space="0" w:color="auto"/>
        <w:bottom w:val="none" w:sz="0" w:space="0" w:color="auto"/>
        <w:right w:val="none" w:sz="0" w:space="0" w:color="auto"/>
      </w:divBdr>
    </w:div>
    <w:div w:id="1458375266">
      <w:bodyDiv w:val="1"/>
      <w:marLeft w:val="0"/>
      <w:marRight w:val="0"/>
      <w:marTop w:val="0"/>
      <w:marBottom w:val="0"/>
      <w:divBdr>
        <w:top w:val="none" w:sz="0" w:space="0" w:color="auto"/>
        <w:left w:val="none" w:sz="0" w:space="0" w:color="auto"/>
        <w:bottom w:val="none" w:sz="0" w:space="0" w:color="auto"/>
        <w:right w:val="none" w:sz="0" w:space="0" w:color="auto"/>
      </w:divBdr>
    </w:div>
    <w:div w:id="1477138868">
      <w:bodyDiv w:val="1"/>
      <w:marLeft w:val="0"/>
      <w:marRight w:val="0"/>
      <w:marTop w:val="0"/>
      <w:marBottom w:val="0"/>
      <w:divBdr>
        <w:top w:val="none" w:sz="0" w:space="0" w:color="auto"/>
        <w:left w:val="none" w:sz="0" w:space="0" w:color="auto"/>
        <w:bottom w:val="none" w:sz="0" w:space="0" w:color="auto"/>
        <w:right w:val="none" w:sz="0" w:space="0" w:color="auto"/>
      </w:divBdr>
    </w:div>
    <w:div w:id="1687949660">
      <w:bodyDiv w:val="1"/>
      <w:marLeft w:val="0"/>
      <w:marRight w:val="0"/>
      <w:marTop w:val="0"/>
      <w:marBottom w:val="0"/>
      <w:divBdr>
        <w:top w:val="none" w:sz="0" w:space="0" w:color="auto"/>
        <w:left w:val="none" w:sz="0" w:space="0" w:color="auto"/>
        <w:bottom w:val="none" w:sz="0" w:space="0" w:color="auto"/>
        <w:right w:val="none" w:sz="0" w:space="0" w:color="auto"/>
      </w:divBdr>
    </w:div>
    <w:div w:id="1690638163">
      <w:bodyDiv w:val="1"/>
      <w:marLeft w:val="0"/>
      <w:marRight w:val="0"/>
      <w:marTop w:val="0"/>
      <w:marBottom w:val="0"/>
      <w:divBdr>
        <w:top w:val="none" w:sz="0" w:space="0" w:color="auto"/>
        <w:left w:val="none" w:sz="0" w:space="0" w:color="auto"/>
        <w:bottom w:val="none" w:sz="0" w:space="0" w:color="auto"/>
        <w:right w:val="none" w:sz="0" w:space="0" w:color="auto"/>
      </w:divBdr>
    </w:div>
    <w:div w:id="1700400295">
      <w:bodyDiv w:val="1"/>
      <w:marLeft w:val="0"/>
      <w:marRight w:val="0"/>
      <w:marTop w:val="0"/>
      <w:marBottom w:val="0"/>
      <w:divBdr>
        <w:top w:val="none" w:sz="0" w:space="0" w:color="auto"/>
        <w:left w:val="none" w:sz="0" w:space="0" w:color="auto"/>
        <w:bottom w:val="none" w:sz="0" w:space="0" w:color="auto"/>
        <w:right w:val="none" w:sz="0" w:space="0" w:color="auto"/>
      </w:divBdr>
    </w:div>
    <w:div w:id="1775206358">
      <w:bodyDiv w:val="1"/>
      <w:marLeft w:val="0"/>
      <w:marRight w:val="0"/>
      <w:marTop w:val="0"/>
      <w:marBottom w:val="0"/>
      <w:divBdr>
        <w:top w:val="none" w:sz="0" w:space="0" w:color="auto"/>
        <w:left w:val="none" w:sz="0" w:space="0" w:color="auto"/>
        <w:bottom w:val="none" w:sz="0" w:space="0" w:color="auto"/>
        <w:right w:val="none" w:sz="0" w:space="0" w:color="auto"/>
      </w:divBdr>
    </w:div>
    <w:div w:id="1880509543">
      <w:bodyDiv w:val="1"/>
      <w:marLeft w:val="0"/>
      <w:marRight w:val="0"/>
      <w:marTop w:val="0"/>
      <w:marBottom w:val="0"/>
      <w:divBdr>
        <w:top w:val="none" w:sz="0" w:space="0" w:color="auto"/>
        <w:left w:val="none" w:sz="0" w:space="0" w:color="auto"/>
        <w:bottom w:val="none" w:sz="0" w:space="0" w:color="auto"/>
        <w:right w:val="none" w:sz="0" w:space="0" w:color="auto"/>
      </w:divBdr>
    </w:div>
    <w:div w:id="1925913404">
      <w:bodyDiv w:val="1"/>
      <w:marLeft w:val="0"/>
      <w:marRight w:val="0"/>
      <w:marTop w:val="0"/>
      <w:marBottom w:val="0"/>
      <w:divBdr>
        <w:top w:val="none" w:sz="0" w:space="0" w:color="auto"/>
        <w:left w:val="none" w:sz="0" w:space="0" w:color="auto"/>
        <w:bottom w:val="none" w:sz="0" w:space="0" w:color="auto"/>
        <w:right w:val="none" w:sz="0" w:space="0" w:color="auto"/>
      </w:divBdr>
    </w:div>
    <w:div w:id="20851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A3B7-92D2-46D1-A2CC-71316264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41</Pages>
  <Words>14051</Words>
  <Characters>77283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encarnaciongonzalezeduardo@outlook.com</dc:creator>
  <cp:lastModifiedBy>Ricardo Escobar Cibrian</cp:lastModifiedBy>
  <cp:revision>6</cp:revision>
  <cp:lastPrinted>2022-07-19T22:31:00Z</cp:lastPrinted>
  <dcterms:created xsi:type="dcterms:W3CDTF">2022-08-02T17:37:00Z</dcterms:created>
  <dcterms:modified xsi:type="dcterms:W3CDTF">2022-08-02T18:47:00Z</dcterms:modified>
</cp:coreProperties>
</file>