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E0" w:rsidRPr="006807F9" w:rsidRDefault="00493CAF" w:rsidP="00464566">
      <w:pPr>
        <w:spacing w:after="0" w:line="240" w:lineRule="auto"/>
        <w:jc w:val="both"/>
        <w:rPr>
          <w:rFonts w:ascii="Trebuchet MS" w:hAnsi="Trebuchet MS"/>
          <w:b/>
          <w:sz w:val="23"/>
          <w:szCs w:val="23"/>
        </w:rPr>
      </w:pPr>
      <w:r w:rsidRPr="006807F9">
        <w:rPr>
          <w:rFonts w:ascii="Trebuchet MS" w:eastAsia="Times New Roman" w:hAnsi="Trebuchet MS" w:cs="Times New Roman"/>
          <w:b/>
          <w:sz w:val="23"/>
          <w:szCs w:val="23"/>
          <w:lang w:val="es-ES" w:eastAsia="es-ES"/>
        </w:rPr>
        <w:t xml:space="preserve">INFORME QUE </w:t>
      </w:r>
      <w:r w:rsidR="00B42707">
        <w:rPr>
          <w:rFonts w:ascii="Trebuchet MS" w:eastAsia="Times New Roman" w:hAnsi="Trebuchet MS" w:cs="Times New Roman"/>
          <w:b/>
          <w:sz w:val="23"/>
          <w:szCs w:val="23"/>
          <w:lang w:val="es-ES" w:eastAsia="es-ES"/>
        </w:rPr>
        <w:t>PRESENTA</w:t>
      </w:r>
      <w:r w:rsidRPr="006807F9">
        <w:rPr>
          <w:rFonts w:ascii="Trebuchet MS" w:eastAsia="Times New Roman" w:hAnsi="Trebuchet MS" w:cs="Times New Roman"/>
          <w:b/>
          <w:sz w:val="23"/>
          <w:szCs w:val="23"/>
          <w:lang w:val="es-ES" w:eastAsia="es-ES"/>
        </w:rPr>
        <w:t xml:space="preserve"> </w:t>
      </w:r>
      <w:r w:rsidR="005A20E0" w:rsidRPr="006807F9">
        <w:rPr>
          <w:rFonts w:ascii="Trebuchet MS" w:eastAsia="Times New Roman" w:hAnsi="Trebuchet MS" w:cs="Times New Roman"/>
          <w:b/>
          <w:sz w:val="23"/>
          <w:szCs w:val="23"/>
          <w:lang w:val="es-ES" w:eastAsia="es-ES"/>
        </w:rPr>
        <w:t xml:space="preserve">LA </w:t>
      </w:r>
      <w:r w:rsidRPr="006807F9">
        <w:rPr>
          <w:rFonts w:ascii="Trebuchet MS" w:eastAsia="Times New Roman" w:hAnsi="Trebuchet MS" w:cs="Times New Roman"/>
          <w:b/>
          <w:sz w:val="23"/>
          <w:szCs w:val="23"/>
          <w:lang w:val="es-ES" w:eastAsia="es-ES"/>
        </w:rPr>
        <w:t>CONSEJER</w:t>
      </w:r>
      <w:r w:rsidR="005A20E0" w:rsidRPr="006807F9">
        <w:rPr>
          <w:rFonts w:ascii="Trebuchet MS" w:eastAsia="Times New Roman" w:hAnsi="Trebuchet MS" w:cs="Times New Roman"/>
          <w:b/>
          <w:sz w:val="23"/>
          <w:szCs w:val="23"/>
          <w:lang w:val="es-ES" w:eastAsia="es-ES"/>
        </w:rPr>
        <w:t>A</w:t>
      </w:r>
      <w:r w:rsidRPr="006807F9">
        <w:rPr>
          <w:rFonts w:ascii="Trebuchet MS" w:eastAsia="Times New Roman" w:hAnsi="Trebuchet MS" w:cs="Times New Roman"/>
          <w:b/>
          <w:sz w:val="23"/>
          <w:szCs w:val="23"/>
          <w:lang w:val="es-ES" w:eastAsia="es-ES"/>
        </w:rPr>
        <w:t xml:space="preserve"> PRESIDENT</w:t>
      </w:r>
      <w:r w:rsidR="005A20E0" w:rsidRPr="006807F9">
        <w:rPr>
          <w:rFonts w:ascii="Trebuchet MS" w:eastAsia="Times New Roman" w:hAnsi="Trebuchet MS" w:cs="Times New Roman"/>
          <w:b/>
          <w:sz w:val="23"/>
          <w:szCs w:val="23"/>
          <w:lang w:val="es-ES" w:eastAsia="es-ES"/>
        </w:rPr>
        <w:t>A</w:t>
      </w:r>
      <w:r w:rsidRPr="006807F9">
        <w:rPr>
          <w:rFonts w:ascii="Trebuchet MS" w:eastAsia="Times New Roman" w:hAnsi="Trebuchet MS" w:cs="Times New Roman"/>
          <w:b/>
          <w:sz w:val="23"/>
          <w:szCs w:val="23"/>
          <w:lang w:val="es-ES" w:eastAsia="es-ES"/>
        </w:rPr>
        <w:t xml:space="preserve"> DEL INSTITUTO ELECTORAL Y DE PARTICIPACIÓN CIUDADANA DEL ESTADO DE JALISCO</w:t>
      </w:r>
      <w:r w:rsidR="00D20A35" w:rsidRPr="006807F9">
        <w:rPr>
          <w:rFonts w:ascii="Trebuchet MS" w:eastAsia="Times New Roman" w:hAnsi="Trebuchet MS" w:cs="Times New Roman"/>
          <w:b/>
          <w:sz w:val="23"/>
          <w:szCs w:val="23"/>
          <w:lang w:val="es-ES" w:eastAsia="es-ES"/>
        </w:rPr>
        <w:t>,</w:t>
      </w:r>
      <w:r w:rsidRPr="006807F9">
        <w:rPr>
          <w:rFonts w:ascii="Trebuchet MS" w:eastAsia="Times New Roman" w:hAnsi="Trebuchet MS" w:cs="Times New Roman"/>
          <w:b/>
          <w:sz w:val="23"/>
          <w:szCs w:val="23"/>
          <w:lang w:val="es-ES" w:eastAsia="es-ES"/>
        </w:rPr>
        <w:t xml:space="preserve"> A LOS INTEGRANTES DEL CONSEJO GENERAL, </w:t>
      </w:r>
      <w:r w:rsidR="00D20A35" w:rsidRPr="006807F9">
        <w:rPr>
          <w:rFonts w:ascii="Trebuchet MS" w:eastAsia="Times New Roman" w:hAnsi="Trebuchet MS" w:cs="Times New Roman"/>
          <w:b/>
          <w:sz w:val="23"/>
          <w:szCs w:val="23"/>
          <w:lang w:val="es-ES" w:eastAsia="es-ES"/>
        </w:rPr>
        <w:t xml:space="preserve">RESPECTO DE </w:t>
      </w:r>
      <w:r w:rsidR="00B03F3C" w:rsidRPr="006807F9">
        <w:rPr>
          <w:rFonts w:ascii="Trebuchet MS" w:eastAsia="Times New Roman" w:hAnsi="Trebuchet MS" w:cs="Times New Roman"/>
          <w:b/>
          <w:sz w:val="23"/>
          <w:szCs w:val="23"/>
          <w:lang w:val="es-ES" w:eastAsia="es-ES"/>
        </w:rPr>
        <w:t>LAS CONDICIONES QUE GUARDA LA BODEGA</w:t>
      </w:r>
      <w:r w:rsidR="005A20E0" w:rsidRPr="006807F9">
        <w:rPr>
          <w:rFonts w:ascii="Trebuchet MS" w:eastAsia="Times New Roman" w:hAnsi="Trebuchet MS" w:cs="Times New Roman"/>
          <w:b/>
          <w:sz w:val="23"/>
          <w:szCs w:val="23"/>
          <w:lang w:val="es-ES" w:eastAsia="es-ES"/>
        </w:rPr>
        <w:t xml:space="preserve"> ELECTORAL</w:t>
      </w:r>
      <w:r w:rsidR="00B03F3C" w:rsidRPr="006807F9">
        <w:rPr>
          <w:rFonts w:ascii="Trebuchet MS" w:eastAsia="Times New Roman" w:hAnsi="Trebuchet MS" w:cs="Times New Roman"/>
          <w:b/>
          <w:sz w:val="23"/>
          <w:szCs w:val="23"/>
          <w:lang w:val="es-ES" w:eastAsia="es-ES"/>
        </w:rPr>
        <w:t xml:space="preserve">, </w:t>
      </w:r>
      <w:r w:rsidR="005A20E0" w:rsidRPr="006807F9">
        <w:rPr>
          <w:rFonts w:ascii="Trebuchet MS" w:hAnsi="Trebuchet MS"/>
          <w:b/>
          <w:sz w:val="23"/>
          <w:szCs w:val="23"/>
        </w:rPr>
        <w:t>PARA EL PROCESO ELECTORAL EXTRAORDINARIO DOS MIL VEINTIUNO EN EL MUNICIPIO DE SAN PEDRO TLAQUEPAQUE, JALISCO</w:t>
      </w:r>
      <w:r w:rsidR="00B42707">
        <w:rPr>
          <w:rFonts w:ascii="Trebuchet MS" w:hAnsi="Trebuchet MS"/>
          <w:b/>
          <w:sz w:val="23"/>
          <w:szCs w:val="23"/>
        </w:rPr>
        <w:t>, RENDIDO POR EL CONSEJO MUNICIPAL DEL MISMO MUNICIPIO</w:t>
      </w:r>
      <w:r w:rsidR="005A20E0" w:rsidRPr="006807F9">
        <w:rPr>
          <w:rFonts w:ascii="Trebuchet MS" w:hAnsi="Trebuchet MS"/>
          <w:b/>
          <w:sz w:val="23"/>
          <w:szCs w:val="23"/>
        </w:rPr>
        <w:t>.</w:t>
      </w:r>
    </w:p>
    <w:p w:rsidR="00D20A35" w:rsidRPr="006807F9" w:rsidRDefault="00D20A35" w:rsidP="00464566">
      <w:pPr>
        <w:spacing w:after="0" w:line="240" w:lineRule="auto"/>
        <w:jc w:val="both"/>
        <w:rPr>
          <w:rFonts w:ascii="Trebuchet MS" w:eastAsia="Times New Roman" w:hAnsi="Trebuchet MS" w:cs="Times New Roman"/>
          <w:b/>
          <w:sz w:val="23"/>
          <w:szCs w:val="23"/>
          <w:lang w:val="es-ES" w:eastAsia="es-ES"/>
        </w:rPr>
      </w:pPr>
    </w:p>
    <w:p w:rsidR="00464566" w:rsidRPr="006807F9" w:rsidRDefault="00464566" w:rsidP="00464566">
      <w:pPr>
        <w:spacing w:after="0" w:line="240" w:lineRule="auto"/>
        <w:jc w:val="center"/>
        <w:rPr>
          <w:rFonts w:ascii="Trebuchet MS" w:eastAsia="Times New Roman" w:hAnsi="Trebuchet MS" w:cs="Times New Roman"/>
          <w:b/>
          <w:sz w:val="23"/>
          <w:szCs w:val="23"/>
          <w:lang w:val="es-ES" w:eastAsia="es-ES"/>
        </w:rPr>
      </w:pPr>
      <w:r w:rsidRPr="006807F9">
        <w:rPr>
          <w:rFonts w:ascii="Trebuchet MS" w:eastAsia="Times New Roman" w:hAnsi="Trebuchet MS" w:cs="Times New Roman"/>
          <w:b/>
          <w:sz w:val="23"/>
          <w:szCs w:val="23"/>
          <w:lang w:val="es-ES" w:eastAsia="es-ES"/>
        </w:rPr>
        <w:t>ANTECEDENTES</w:t>
      </w:r>
    </w:p>
    <w:p w:rsidR="003929F9" w:rsidRPr="006807F9" w:rsidRDefault="003929F9" w:rsidP="00464566">
      <w:pPr>
        <w:spacing w:after="0" w:line="240" w:lineRule="auto"/>
        <w:jc w:val="center"/>
        <w:rPr>
          <w:rFonts w:ascii="Trebuchet MS" w:eastAsia="Times New Roman" w:hAnsi="Trebuchet MS" w:cs="Times New Roman"/>
          <w:sz w:val="23"/>
          <w:szCs w:val="23"/>
          <w:lang w:val="es-ES" w:eastAsia="es-ES"/>
        </w:rPr>
      </w:pPr>
    </w:p>
    <w:p w:rsidR="003929F9" w:rsidRPr="006807F9" w:rsidRDefault="003929F9" w:rsidP="003929F9">
      <w:pPr>
        <w:spacing w:after="0" w:line="240" w:lineRule="auto"/>
        <w:jc w:val="both"/>
        <w:rPr>
          <w:rFonts w:ascii="Trebuchet MS" w:eastAsia="Times New Roman" w:hAnsi="Trebuchet MS" w:cs="Times New Roman"/>
          <w:b/>
          <w:sz w:val="23"/>
          <w:szCs w:val="23"/>
          <w:lang w:val="es-ES" w:eastAsia="es-ES"/>
        </w:rPr>
      </w:pPr>
      <w:r w:rsidRPr="006807F9">
        <w:rPr>
          <w:rFonts w:ascii="Trebuchet MS" w:eastAsia="Times New Roman" w:hAnsi="Trebuchet MS" w:cs="Times New Roman"/>
          <w:b/>
          <w:sz w:val="23"/>
          <w:szCs w:val="23"/>
          <w:lang w:val="es-ES" w:eastAsia="es-ES"/>
        </w:rPr>
        <w:t>CORRESPONDIENTES AL AÑO DOS MIL VEINTIUNO.</w:t>
      </w:r>
    </w:p>
    <w:p w:rsidR="003929F9" w:rsidRPr="006807F9" w:rsidRDefault="003929F9" w:rsidP="003929F9">
      <w:pPr>
        <w:spacing w:after="0" w:line="240" w:lineRule="auto"/>
        <w:jc w:val="both"/>
        <w:rPr>
          <w:rFonts w:ascii="Trebuchet MS" w:eastAsia="Times New Roman" w:hAnsi="Trebuchet MS" w:cs="Times New Roman"/>
          <w:sz w:val="23"/>
          <w:szCs w:val="23"/>
          <w:lang w:val="es-ES" w:eastAsia="es-ES"/>
        </w:rPr>
      </w:pPr>
    </w:p>
    <w:p w:rsidR="00464566" w:rsidRPr="006807F9" w:rsidRDefault="003929F9" w:rsidP="003929F9">
      <w:pPr>
        <w:spacing w:after="0" w:line="240" w:lineRule="auto"/>
        <w:jc w:val="both"/>
        <w:rPr>
          <w:rFonts w:ascii="Trebuchet MS" w:hAnsi="Trebuchet MS" w:cs="Arial"/>
          <w:bCs/>
          <w:sz w:val="23"/>
          <w:szCs w:val="23"/>
        </w:rPr>
      </w:pPr>
      <w:r w:rsidRPr="006807F9">
        <w:rPr>
          <w:rFonts w:ascii="Trebuchet MS" w:hAnsi="Trebuchet MS" w:cs="Arial"/>
          <w:b/>
          <w:bCs/>
          <w:sz w:val="23"/>
          <w:szCs w:val="23"/>
        </w:rPr>
        <w:t>1</w:t>
      </w:r>
      <w:r w:rsidR="00464566" w:rsidRPr="006807F9">
        <w:rPr>
          <w:rFonts w:ascii="Trebuchet MS" w:hAnsi="Trebuchet MS" w:cs="Arial"/>
          <w:bCs/>
          <w:sz w:val="23"/>
          <w:szCs w:val="23"/>
        </w:rPr>
        <w:t xml:space="preserve">. </w:t>
      </w:r>
      <w:r w:rsidR="00464566" w:rsidRPr="006807F9">
        <w:rPr>
          <w:rFonts w:ascii="Trebuchet MS" w:hAnsi="Trebuchet MS" w:cs="Arial"/>
          <w:b/>
          <w:kern w:val="2"/>
          <w:sz w:val="23"/>
          <w:szCs w:val="23"/>
          <w:lang w:val="es-ES_tradnl" w:eastAsia="ar-SA"/>
        </w:rPr>
        <w:t>RESOLUCIÓN DE LA SALA SUPERIOR DEL TRIBUNAL ELECTORAL DEL PODER JUDICIAL DE LA FEDERACIÓN</w:t>
      </w:r>
      <w:r w:rsidR="00464566" w:rsidRPr="006807F9">
        <w:rPr>
          <w:rFonts w:ascii="Trebuchet MS" w:hAnsi="Trebuchet MS" w:cs="Arial"/>
          <w:b/>
          <w:bCs/>
          <w:sz w:val="23"/>
          <w:szCs w:val="23"/>
        </w:rPr>
        <w:t xml:space="preserve">. </w:t>
      </w:r>
      <w:r w:rsidR="00464566" w:rsidRPr="006807F9">
        <w:rPr>
          <w:rFonts w:ascii="Trebuchet MS" w:hAnsi="Trebuchet MS" w:cs="Arial"/>
          <w:bCs/>
          <w:sz w:val="23"/>
          <w:szCs w:val="23"/>
        </w:rPr>
        <w:t xml:space="preserve">El día uno de octubre se recibió en este Instituto la resolución emitida el día anterior, por la Sala Superior del Tribunal Electoral del Poder Judicial de la Federación, en </w:t>
      </w:r>
      <w:r w:rsidR="00464566" w:rsidRPr="006807F9">
        <w:rPr>
          <w:rFonts w:ascii="Trebuchet MS" w:hAnsi="Trebuchet MS"/>
          <w:sz w:val="23"/>
          <w:szCs w:val="23"/>
          <w:lang w:val="es-ES_tradnl"/>
        </w:rPr>
        <w:t>el recurso de reconsideración registrado bajo número de expediente SUP-REC-1874/2021 y su acumulado SUP-REC-1876/2021</w:t>
      </w:r>
      <w:r w:rsidR="00464566" w:rsidRPr="006807F9">
        <w:rPr>
          <w:rFonts w:ascii="Trebuchet MS" w:hAnsi="Trebuchet MS" w:cs="Arial"/>
          <w:bCs/>
          <w:sz w:val="23"/>
          <w:szCs w:val="23"/>
        </w:rPr>
        <w:t xml:space="preserve">,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3929F9" w:rsidRPr="006807F9" w:rsidRDefault="003929F9" w:rsidP="003929F9">
      <w:pPr>
        <w:spacing w:after="0" w:line="240" w:lineRule="auto"/>
        <w:jc w:val="both"/>
        <w:rPr>
          <w:rFonts w:ascii="Trebuchet MS" w:eastAsia="Trebuchet MS" w:hAnsi="Trebuchet MS" w:cs="Trebuchet MS"/>
          <w:b/>
          <w:sz w:val="23"/>
          <w:szCs w:val="23"/>
        </w:rPr>
      </w:pPr>
    </w:p>
    <w:p w:rsidR="00464566" w:rsidRPr="006807F9" w:rsidRDefault="003929F9" w:rsidP="003929F9">
      <w:pPr>
        <w:pStyle w:val="Sinespaciado"/>
        <w:jc w:val="both"/>
        <w:rPr>
          <w:rFonts w:ascii="Trebuchet MS" w:hAnsi="Trebuchet MS"/>
          <w:sz w:val="23"/>
          <w:szCs w:val="23"/>
        </w:rPr>
      </w:pPr>
      <w:r w:rsidRPr="006807F9">
        <w:rPr>
          <w:rFonts w:ascii="Trebuchet MS" w:hAnsi="Trebuchet MS"/>
          <w:b/>
          <w:sz w:val="23"/>
          <w:szCs w:val="23"/>
        </w:rPr>
        <w:t>2</w:t>
      </w:r>
      <w:r w:rsidR="00464566" w:rsidRPr="006807F9">
        <w:rPr>
          <w:rFonts w:ascii="Trebuchet MS" w:hAnsi="Trebuchet MS"/>
          <w:b/>
          <w:sz w:val="23"/>
          <w:szCs w:val="23"/>
        </w:rPr>
        <w:t xml:space="preserve">. CONVOCATORIA </w:t>
      </w:r>
      <w:r w:rsidR="00464566" w:rsidRPr="006807F9">
        <w:rPr>
          <w:rFonts w:ascii="Trebuchet MS" w:hAnsi="Trebuchet MS"/>
          <w:b/>
          <w:sz w:val="23"/>
          <w:szCs w:val="23"/>
          <w:lang w:val="es-ES"/>
        </w:rPr>
        <w:t xml:space="preserve">PARA EL PROCESO ELECTORAL EXTRAORDINARIO DOS MIL VEINTIUNO, </w:t>
      </w:r>
      <w:r w:rsidR="00464566" w:rsidRPr="006807F9">
        <w:rPr>
          <w:rFonts w:ascii="Trebuchet MS" w:hAnsi="Trebuchet MS"/>
          <w:b/>
          <w:sz w:val="23"/>
          <w:szCs w:val="23"/>
        </w:rPr>
        <w:t xml:space="preserve">PARA LA ELECCIÓN DE LA PRESIDENCIA MUNICIPAL, REGIDURIAS Y SINDICATURA, DEL MUNICIPIO DE SAN PEDRO TLAQUEPAQUE, JALISCO. </w:t>
      </w:r>
      <w:r w:rsidR="00464566" w:rsidRPr="006807F9">
        <w:rPr>
          <w:rFonts w:ascii="Trebuchet MS" w:hAnsi="Trebuchet MS"/>
          <w:sz w:val="23"/>
          <w:szCs w:val="23"/>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3929F9" w:rsidRPr="006807F9" w:rsidRDefault="003929F9" w:rsidP="003929F9">
      <w:pPr>
        <w:pStyle w:val="Sinespaciado"/>
        <w:jc w:val="both"/>
        <w:rPr>
          <w:rFonts w:ascii="Trebuchet MS" w:eastAsia="Trebuchet MS" w:hAnsi="Trebuchet MS" w:cs="Trebuchet MS"/>
          <w:b/>
          <w:sz w:val="23"/>
          <w:szCs w:val="23"/>
        </w:rPr>
      </w:pPr>
    </w:p>
    <w:p w:rsidR="00464566" w:rsidRPr="006807F9" w:rsidRDefault="003929F9" w:rsidP="00464566">
      <w:pPr>
        <w:spacing w:line="240" w:lineRule="auto"/>
        <w:jc w:val="both"/>
        <w:rPr>
          <w:rFonts w:ascii="Trebuchet MS" w:hAnsi="Trebuchet MS" w:cs="Arial"/>
          <w:sz w:val="23"/>
          <w:szCs w:val="23"/>
        </w:rPr>
      </w:pPr>
      <w:r w:rsidRPr="006807F9">
        <w:rPr>
          <w:rFonts w:ascii="Trebuchet MS" w:hAnsi="Trebuchet MS" w:cs="Arial"/>
          <w:b/>
          <w:sz w:val="23"/>
          <w:szCs w:val="23"/>
        </w:rPr>
        <w:t>3</w:t>
      </w:r>
      <w:r w:rsidR="00464566" w:rsidRPr="006807F9">
        <w:rPr>
          <w:rFonts w:ascii="Trebuchet MS" w:hAnsi="Trebuchet MS" w:cs="Arial"/>
          <w:b/>
          <w:sz w:val="23"/>
          <w:szCs w:val="23"/>
        </w:rPr>
        <w:t xml:space="preserve">. DECLARACIÓN DEL INICIO DE FUNCIONES CON EL OBJETO DE PREPARAR, ORGANIZAR, DESARROLLAR Y VIGILAR EL PROCESO ELECTORAL EXTRAORDINARIO DOS MIL VEINTIUNO, PARA LA ELECCIÓN DE LA PRESIDENCIA MUNICIPAL, REGIDORAS Y SINDICATURA DEL MUNICIPIO DE SAN PEDRO TLAQUEPAQUE, JALISCO. </w:t>
      </w:r>
      <w:r w:rsidR="00464566" w:rsidRPr="006807F9">
        <w:rPr>
          <w:rFonts w:ascii="Trebuchet MS" w:hAnsi="Trebuchet MS" w:cs="Arial"/>
          <w:sz w:val="23"/>
          <w:szCs w:val="23"/>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BC2D9A" w:rsidRPr="006807F9" w:rsidRDefault="00BC2D9A" w:rsidP="00BC2D9A">
      <w:pPr>
        <w:spacing w:after="0" w:line="240" w:lineRule="auto"/>
        <w:jc w:val="both"/>
        <w:rPr>
          <w:rFonts w:ascii="Trebuchet MS" w:eastAsia="Times New Roman" w:hAnsi="Trebuchet MS" w:cs="Arial"/>
          <w:sz w:val="23"/>
          <w:szCs w:val="23"/>
          <w:lang w:val="es-ES_tradnl" w:eastAsia="es-ES"/>
        </w:rPr>
      </w:pPr>
      <w:r w:rsidRPr="006807F9">
        <w:rPr>
          <w:rFonts w:ascii="Trebuchet MS" w:eastAsia="Times New Roman" w:hAnsi="Trebuchet MS" w:cs="Times New Roman"/>
          <w:b/>
          <w:sz w:val="23"/>
          <w:szCs w:val="23"/>
          <w:lang w:val="es-ES" w:eastAsia="es-ES"/>
        </w:rPr>
        <w:lastRenderedPageBreak/>
        <w:t>4.</w:t>
      </w:r>
      <w:r w:rsidRPr="006807F9">
        <w:rPr>
          <w:rFonts w:ascii="Trebuchet MS" w:eastAsia="Times New Roman" w:hAnsi="Trebuchet MS" w:cs="Arial"/>
          <w:sz w:val="23"/>
          <w:szCs w:val="23"/>
          <w:lang w:val="es-ES_tradnl" w:eastAsia="es-ES"/>
        </w:rPr>
        <w:t xml:space="preserve"> </w:t>
      </w:r>
      <w:r w:rsidRPr="006807F9">
        <w:rPr>
          <w:rFonts w:ascii="Trebuchet MS" w:eastAsia="Times New Roman" w:hAnsi="Trebuchet MS" w:cs="Arial"/>
          <w:b/>
          <w:sz w:val="23"/>
          <w:szCs w:val="23"/>
          <w:lang w:val="es-ES_tradnl" w:eastAsia="es-ES"/>
        </w:rPr>
        <w:t xml:space="preserve">DETERMINACIÓN DE LA INTEGRACIÓN Y DOMICILIO SEDE DEL CONSEJO MUNICIPAL ELECTORAL DE SAN PEDRO TLAQUEPAQUE, JALISCO, PARA EL PROCESO ELECTORAL EXTRAORDINARIO DOS MIL VEINTIUNO. </w:t>
      </w:r>
      <w:r w:rsidRPr="006807F9">
        <w:rPr>
          <w:rFonts w:ascii="Trebuchet MS" w:eastAsia="Times New Roman" w:hAnsi="Trebuchet MS" w:cs="Arial"/>
          <w:sz w:val="23"/>
          <w:szCs w:val="23"/>
          <w:lang w:val="es-ES_tradnl" w:eastAsia="es-ES"/>
        </w:rPr>
        <w:t>En sesión extraordinaria celebrada el día quince de octubre de dos mil veintiuno, el Consejo General, aprobó el acuerdo identificado con la clave IEPC-ACG-340/2021, mediante el cual se aprobó la integración y domicilio sede del Consejo Municipal Electoral de San Pedro Tlaquepaque, Jalisco para el Proceso Electoral Extraordinario dos mil veintiuno.</w:t>
      </w:r>
    </w:p>
    <w:p w:rsidR="00464566" w:rsidRPr="006807F9" w:rsidRDefault="00464566" w:rsidP="00464566">
      <w:pPr>
        <w:spacing w:after="0" w:line="240" w:lineRule="auto"/>
        <w:jc w:val="both"/>
        <w:rPr>
          <w:rFonts w:ascii="Trebuchet MS" w:eastAsia="Times New Roman" w:hAnsi="Trebuchet MS" w:cs="Times New Roman"/>
          <w:sz w:val="23"/>
          <w:szCs w:val="23"/>
          <w:lang w:val="es-ES" w:eastAsia="es-ES"/>
        </w:rPr>
      </w:pPr>
    </w:p>
    <w:p w:rsidR="00464566" w:rsidRPr="006807F9" w:rsidRDefault="003B4DCD" w:rsidP="00464566">
      <w:pPr>
        <w:spacing w:after="0" w:line="240" w:lineRule="auto"/>
        <w:jc w:val="both"/>
        <w:rPr>
          <w:rFonts w:ascii="Trebuchet MS" w:eastAsia="Times New Roman" w:hAnsi="Trebuchet MS" w:cs="Times New Roman"/>
          <w:sz w:val="23"/>
          <w:szCs w:val="23"/>
          <w:lang w:val="es-ES" w:eastAsia="es-ES"/>
        </w:rPr>
      </w:pPr>
      <w:r w:rsidRPr="006807F9">
        <w:rPr>
          <w:rFonts w:ascii="Trebuchet MS" w:eastAsia="Times New Roman" w:hAnsi="Trebuchet MS" w:cs="Times New Roman"/>
          <w:b/>
          <w:sz w:val="23"/>
          <w:szCs w:val="23"/>
          <w:lang w:val="es-ES" w:eastAsia="es-ES"/>
        </w:rPr>
        <w:t>5.</w:t>
      </w:r>
      <w:r w:rsidR="00074FCC" w:rsidRPr="006807F9">
        <w:rPr>
          <w:rFonts w:ascii="Trebuchet MS" w:eastAsia="Times New Roman" w:hAnsi="Trebuchet MS" w:cs="Times New Roman"/>
          <w:b/>
          <w:sz w:val="23"/>
          <w:szCs w:val="23"/>
          <w:lang w:val="es-ES" w:eastAsia="es-ES"/>
        </w:rPr>
        <w:t xml:space="preserve"> VERIFICACIÓN CONJUNTA DE LA BODEGA ELECTORAL DEL CONSEJO MUNICIPAL DE SAN PEDRO TLAQUEPAQUE, JALISCO; </w:t>
      </w:r>
      <w:r w:rsidR="00A720DB" w:rsidRPr="006807F9">
        <w:rPr>
          <w:rFonts w:ascii="Trebuchet MS" w:eastAsia="Times New Roman" w:hAnsi="Trebuchet MS" w:cs="Times New Roman"/>
          <w:b/>
          <w:sz w:val="23"/>
          <w:szCs w:val="23"/>
          <w:lang w:val="es-ES" w:eastAsia="es-ES"/>
        </w:rPr>
        <w:t>REALIZADA</w:t>
      </w:r>
      <w:r w:rsidR="00074FCC" w:rsidRPr="006807F9">
        <w:rPr>
          <w:rFonts w:ascii="Trebuchet MS" w:eastAsia="Times New Roman" w:hAnsi="Trebuchet MS" w:cs="Times New Roman"/>
          <w:b/>
          <w:sz w:val="23"/>
          <w:szCs w:val="23"/>
          <w:lang w:val="es-ES" w:eastAsia="es-ES"/>
        </w:rPr>
        <w:t xml:space="preserve"> POR PERSONAL DEL INSTITUTO NACIONAL ELECTORAL Y DE ESTE ORGANISMO ELECTORAL.</w:t>
      </w:r>
      <w:r w:rsidR="00074FCC" w:rsidRPr="006807F9">
        <w:rPr>
          <w:rFonts w:ascii="Trebuchet MS" w:eastAsia="Times New Roman" w:hAnsi="Trebuchet MS" w:cs="Times New Roman"/>
          <w:sz w:val="23"/>
          <w:szCs w:val="23"/>
          <w:lang w:val="es-ES" w:eastAsia="es-ES"/>
        </w:rPr>
        <w:t xml:space="preserve"> Que el veintidós de octubre, personal del Instituto Nacional Electoral y de este organismo electoral, realizaron la verificación conjunta de la bodega electoral del Con</w:t>
      </w:r>
      <w:r w:rsidR="00A720DB" w:rsidRPr="006807F9">
        <w:rPr>
          <w:rFonts w:ascii="Trebuchet MS" w:eastAsia="Times New Roman" w:hAnsi="Trebuchet MS" w:cs="Times New Roman"/>
          <w:sz w:val="23"/>
          <w:szCs w:val="23"/>
          <w:lang w:val="es-ES" w:eastAsia="es-ES"/>
        </w:rPr>
        <w:t>sejo Municipal de San Pedro Tlaquepaque, Jalisco</w:t>
      </w:r>
      <w:r w:rsidR="00887F78" w:rsidRPr="006807F9">
        <w:rPr>
          <w:rFonts w:ascii="Trebuchet MS" w:eastAsia="Times New Roman" w:hAnsi="Trebuchet MS" w:cs="Times New Roman"/>
          <w:sz w:val="23"/>
          <w:szCs w:val="23"/>
          <w:lang w:val="es-ES" w:eastAsia="es-ES"/>
        </w:rPr>
        <w:t>.</w:t>
      </w:r>
    </w:p>
    <w:p w:rsidR="0079622C" w:rsidRPr="006807F9" w:rsidRDefault="0079622C" w:rsidP="00464566">
      <w:pPr>
        <w:spacing w:after="0" w:line="240" w:lineRule="auto"/>
        <w:jc w:val="both"/>
        <w:rPr>
          <w:rFonts w:ascii="Trebuchet MS" w:eastAsia="Times New Roman" w:hAnsi="Trebuchet MS" w:cs="Times New Roman"/>
          <w:sz w:val="23"/>
          <w:szCs w:val="23"/>
          <w:lang w:val="es-ES" w:eastAsia="es-ES"/>
        </w:rPr>
      </w:pPr>
    </w:p>
    <w:p w:rsidR="0079622C" w:rsidRPr="006807F9" w:rsidRDefault="0079622C" w:rsidP="00464566">
      <w:pPr>
        <w:spacing w:after="0" w:line="240" w:lineRule="auto"/>
        <w:jc w:val="both"/>
        <w:rPr>
          <w:rFonts w:ascii="Trebuchet MS" w:eastAsia="Times New Roman" w:hAnsi="Trebuchet MS" w:cs="Times New Roman"/>
          <w:sz w:val="23"/>
          <w:szCs w:val="23"/>
          <w:lang w:val="es-ES" w:eastAsia="es-ES"/>
        </w:rPr>
      </w:pPr>
      <w:r w:rsidRPr="006807F9">
        <w:rPr>
          <w:rFonts w:ascii="Trebuchet MS" w:eastAsia="Times New Roman" w:hAnsi="Trebuchet MS" w:cs="Times New Roman"/>
          <w:b/>
          <w:sz w:val="23"/>
          <w:szCs w:val="23"/>
          <w:lang w:val="es-ES" w:eastAsia="es-ES"/>
        </w:rPr>
        <w:t>6. INFORME RENDIDO POR LA PRESIDENTA DEL CONSEJO MUNICIPAL ELECTORAL DE SAN PEDRO TLAQUEPAQUE, JALISCO;</w:t>
      </w:r>
      <w:r w:rsidR="00D13DDA" w:rsidRPr="006807F9">
        <w:rPr>
          <w:rFonts w:ascii="Trebuchet MS" w:eastAsia="Times New Roman" w:hAnsi="Trebuchet MS" w:cs="Times New Roman"/>
          <w:b/>
          <w:sz w:val="23"/>
          <w:szCs w:val="23"/>
          <w:lang w:val="es-ES" w:eastAsia="es-ES"/>
        </w:rPr>
        <w:t xml:space="preserve"> SOBRE </w:t>
      </w:r>
      <w:r w:rsidR="007A31BF" w:rsidRPr="006807F9">
        <w:rPr>
          <w:rFonts w:ascii="Trebuchet MS" w:eastAsia="Times New Roman" w:hAnsi="Trebuchet MS" w:cs="Times New Roman"/>
          <w:b/>
          <w:sz w:val="23"/>
          <w:szCs w:val="23"/>
          <w:lang w:val="es-ES" w:eastAsia="es-ES"/>
        </w:rPr>
        <w:t xml:space="preserve">EL </w:t>
      </w:r>
      <w:r w:rsidR="00D13DDA" w:rsidRPr="006807F9">
        <w:rPr>
          <w:rFonts w:ascii="Trebuchet MS" w:eastAsia="Times New Roman" w:hAnsi="Trebuchet MS" w:cs="Times New Roman"/>
          <w:b/>
          <w:sz w:val="23"/>
          <w:szCs w:val="23"/>
          <w:lang w:val="es-ES" w:eastAsia="es-ES"/>
        </w:rPr>
        <w:t>ACONDICIONAMIENTO, MECANISMOS DE OPERACIÓN Y MEDIDAS DE SEGURIDAD DE LA BODEGA ELECTORAL.</w:t>
      </w:r>
      <w:r w:rsidR="00D13DDA" w:rsidRPr="006807F9">
        <w:rPr>
          <w:rFonts w:ascii="Trebuchet MS" w:eastAsia="Times New Roman" w:hAnsi="Trebuchet MS" w:cs="Times New Roman"/>
          <w:sz w:val="23"/>
          <w:szCs w:val="23"/>
          <w:lang w:val="es-ES" w:eastAsia="es-ES"/>
        </w:rPr>
        <w:t xml:space="preserve"> En sesión ordinaria de veintiséis de octubre, se aprob</w:t>
      </w:r>
      <w:r w:rsidR="007A31BF" w:rsidRPr="006807F9">
        <w:rPr>
          <w:rFonts w:ascii="Trebuchet MS" w:eastAsia="Times New Roman" w:hAnsi="Trebuchet MS" w:cs="Times New Roman"/>
          <w:sz w:val="23"/>
          <w:szCs w:val="23"/>
          <w:lang w:val="es-ES" w:eastAsia="es-ES"/>
        </w:rPr>
        <w:t>ó e</w:t>
      </w:r>
      <w:r w:rsidR="00D13DDA" w:rsidRPr="006807F9">
        <w:rPr>
          <w:rFonts w:ascii="Trebuchet MS" w:eastAsia="Times New Roman" w:hAnsi="Trebuchet MS" w:cs="Times New Roman"/>
          <w:sz w:val="23"/>
          <w:szCs w:val="23"/>
          <w:lang w:val="es-ES" w:eastAsia="es-ES"/>
        </w:rPr>
        <w:t xml:space="preserve">l </w:t>
      </w:r>
      <w:r w:rsidR="007A31BF" w:rsidRPr="006807F9">
        <w:rPr>
          <w:rFonts w:ascii="Trebuchet MS" w:eastAsia="Times New Roman" w:hAnsi="Trebuchet MS" w:cs="Times New Roman"/>
          <w:sz w:val="23"/>
          <w:szCs w:val="23"/>
          <w:lang w:val="es-ES" w:eastAsia="es-ES"/>
        </w:rPr>
        <w:t>informe rendido por la presidenta del Consejo Municipal Electoral de San Pedro Tlaquepaque, Jalisco; sobre el acondicionamiento, mecanismos de operación y medidas de seguridad de la bodega electoral.</w:t>
      </w:r>
    </w:p>
    <w:p w:rsidR="006807F9" w:rsidRPr="00091973" w:rsidRDefault="006807F9" w:rsidP="002B676A">
      <w:pPr>
        <w:spacing w:after="0" w:line="240" w:lineRule="auto"/>
        <w:jc w:val="center"/>
        <w:rPr>
          <w:rFonts w:ascii="Trebuchet MS" w:eastAsia="Times New Roman" w:hAnsi="Trebuchet MS" w:cs="Times New Roman"/>
          <w:b/>
          <w:sz w:val="16"/>
          <w:szCs w:val="16"/>
          <w:lang w:val="es-ES" w:eastAsia="es-ES"/>
        </w:rPr>
      </w:pPr>
    </w:p>
    <w:p w:rsidR="002B676A" w:rsidRPr="006807F9" w:rsidRDefault="002B676A" w:rsidP="002B676A">
      <w:pPr>
        <w:spacing w:after="0" w:line="240" w:lineRule="auto"/>
        <w:jc w:val="center"/>
        <w:rPr>
          <w:rFonts w:ascii="Trebuchet MS" w:eastAsia="Times New Roman" w:hAnsi="Trebuchet MS" w:cs="Times New Roman"/>
          <w:b/>
          <w:sz w:val="23"/>
          <w:szCs w:val="23"/>
          <w:lang w:val="es-ES" w:eastAsia="es-ES"/>
        </w:rPr>
      </w:pPr>
      <w:r w:rsidRPr="006807F9">
        <w:rPr>
          <w:rFonts w:ascii="Trebuchet MS" w:eastAsia="Times New Roman" w:hAnsi="Trebuchet MS" w:cs="Times New Roman"/>
          <w:b/>
          <w:sz w:val="23"/>
          <w:szCs w:val="23"/>
          <w:lang w:val="es-ES" w:eastAsia="es-ES"/>
        </w:rPr>
        <w:t>INFORME</w:t>
      </w:r>
    </w:p>
    <w:p w:rsidR="002B676A" w:rsidRPr="006807F9" w:rsidRDefault="002B676A" w:rsidP="00464566">
      <w:pPr>
        <w:spacing w:after="0" w:line="240" w:lineRule="auto"/>
        <w:jc w:val="both"/>
        <w:rPr>
          <w:rFonts w:ascii="Trebuchet MS" w:eastAsia="Times New Roman" w:hAnsi="Trebuchet MS" w:cs="Times New Roman"/>
          <w:sz w:val="16"/>
          <w:szCs w:val="16"/>
          <w:lang w:val="es-ES" w:eastAsia="es-ES"/>
        </w:rPr>
      </w:pPr>
    </w:p>
    <w:p w:rsidR="00675DD1" w:rsidRPr="006807F9" w:rsidRDefault="006807F9" w:rsidP="00464566">
      <w:pPr>
        <w:spacing w:after="0" w:line="240" w:lineRule="auto"/>
        <w:jc w:val="both"/>
        <w:rPr>
          <w:rFonts w:ascii="Trebuchet MS" w:eastAsia="Times New Roman" w:hAnsi="Trebuchet MS" w:cs="Arial"/>
          <w:sz w:val="23"/>
          <w:szCs w:val="23"/>
          <w:lang w:val="es-ES" w:eastAsia="es-ES"/>
        </w:rPr>
      </w:pPr>
      <w:r w:rsidRPr="006807F9">
        <w:rPr>
          <w:rFonts w:ascii="Trebuchet MS" w:eastAsia="Times New Roman" w:hAnsi="Trebuchet MS" w:cs="Times New Roman"/>
          <w:sz w:val="23"/>
          <w:szCs w:val="23"/>
          <w:lang w:val="es-ES" w:eastAsia="es-ES"/>
        </w:rPr>
        <w:t>Así las cosas, e</w:t>
      </w:r>
      <w:r w:rsidR="00675DD1" w:rsidRPr="006807F9">
        <w:rPr>
          <w:rFonts w:ascii="Trebuchet MS" w:eastAsia="Times New Roman" w:hAnsi="Trebuchet MS" w:cs="Times New Roman"/>
          <w:sz w:val="23"/>
          <w:szCs w:val="23"/>
          <w:lang w:val="es-ES" w:eastAsia="es-ES"/>
        </w:rPr>
        <w:t>n atención a lo establecido en los a</w:t>
      </w:r>
      <w:r w:rsidR="00675DD1" w:rsidRPr="006807F9">
        <w:rPr>
          <w:rFonts w:ascii="Trebuchet MS" w:eastAsia="Times New Roman" w:hAnsi="Trebuchet MS" w:cs="Arial"/>
          <w:sz w:val="23"/>
          <w:szCs w:val="23"/>
          <w:lang w:val="es-ES" w:eastAsia="es-ES"/>
        </w:rPr>
        <w:t xml:space="preserve">rtículos 166, 167 y 169 del Reglamento de Elecciones emitido por el Instituto Nacional Electoral y su Anexo 5, de título Bodegas Electorales y procedimiento para el conteo, sellado y agrupamiento de boletas electorales; es que se rinde el presente informe, respecto </w:t>
      </w:r>
      <w:r w:rsidR="00675DD1" w:rsidRPr="006807F9">
        <w:rPr>
          <w:rFonts w:ascii="Trebuchet MS" w:eastAsia="Times New Roman" w:hAnsi="Trebuchet MS" w:cs="Arial"/>
          <w:iCs/>
          <w:sz w:val="23"/>
          <w:szCs w:val="23"/>
          <w:lang w:val="es-ES" w:eastAsia="es-ES"/>
        </w:rPr>
        <w:t xml:space="preserve">a las condiciones de equipamiento de la bodega electoral, mecanismos de operación y medidas de seguridad, </w:t>
      </w:r>
      <w:r w:rsidR="00707602" w:rsidRPr="006807F9">
        <w:rPr>
          <w:rFonts w:ascii="Trebuchet MS" w:eastAsia="Times New Roman" w:hAnsi="Trebuchet MS" w:cs="Arial"/>
          <w:iCs/>
          <w:sz w:val="23"/>
          <w:szCs w:val="23"/>
          <w:lang w:val="es-ES" w:eastAsia="es-ES"/>
        </w:rPr>
        <w:t xml:space="preserve">en términos del </w:t>
      </w:r>
      <w:r w:rsidR="00707602" w:rsidRPr="00021D3D">
        <w:rPr>
          <w:rFonts w:ascii="Trebuchet MS" w:eastAsia="Times New Roman" w:hAnsi="Trebuchet MS" w:cs="Arial"/>
          <w:b/>
          <w:iCs/>
          <w:sz w:val="23"/>
          <w:szCs w:val="23"/>
          <w:lang w:val="es-ES" w:eastAsia="es-ES"/>
        </w:rPr>
        <w:t>ANEXO</w:t>
      </w:r>
      <w:r w:rsidR="00707602" w:rsidRPr="006807F9">
        <w:rPr>
          <w:rFonts w:ascii="Trebuchet MS" w:eastAsia="Times New Roman" w:hAnsi="Trebuchet MS" w:cs="Arial"/>
          <w:iCs/>
          <w:sz w:val="23"/>
          <w:szCs w:val="23"/>
          <w:lang w:val="es-ES" w:eastAsia="es-ES"/>
        </w:rPr>
        <w:t xml:space="preserve"> que </w:t>
      </w:r>
      <w:r w:rsidR="00E5294B" w:rsidRPr="006807F9">
        <w:rPr>
          <w:rFonts w:ascii="Trebuchet MS" w:eastAsia="Times New Roman" w:hAnsi="Trebuchet MS" w:cs="Arial"/>
          <w:iCs/>
          <w:sz w:val="23"/>
          <w:szCs w:val="23"/>
          <w:lang w:val="es-ES" w:eastAsia="es-ES"/>
        </w:rPr>
        <w:t xml:space="preserve">se </w:t>
      </w:r>
      <w:r w:rsidR="00707602" w:rsidRPr="006807F9">
        <w:rPr>
          <w:rFonts w:ascii="Trebuchet MS" w:eastAsia="Times New Roman" w:hAnsi="Trebuchet MS" w:cs="Arial"/>
          <w:iCs/>
          <w:sz w:val="23"/>
          <w:szCs w:val="23"/>
          <w:lang w:val="es-ES" w:eastAsia="es-ES"/>
        </w:rPr>
        <w:t xml:space="preserve">adjunta, </w:t>
      </w:r>
      <w:r w:rsidR="00675DD1" w:rsidRPr="006807F9">
        <w:rPr>
          <w:rFonts w:ascii="Trebuchet MS" w:eastAsia="Times New Roman" w:hAnsi="Trebuchet MS" w:cs="Arial"/>
          <w:iCs/>
          <w:sz w:val="23"/>
          <w:szCs w:val="23"/>
          <w:lang w:val="es-ES" w:eastAsia="es-ES"/>
        </w:rPr>
        <w:t xml:space="preserve">lo cual tiene como objetivo generar certeza y transparencia en </w:t>
      </w:r>
      <w:r w:rsidR="00E5294B" w:rsidRPr="006807F9">
        <w:rPr>
          <w:rFonts w:ascii="Trebuchet MS" w:eastAsia="Times New Roman" w:hAnsi="Trebuchet MS" w:cs="Arial"/>
          <w:iCs/>
          <w:sz w:val="23"/>
          <w:szCs w:val="23"/>
          <w:lang w:val="es-ES" w:eastAsia="es-ES"/>
        </w:rPr>
        <w:t xml:space="preserve">la </w:t>
      </w:r>
      <w:r w:rsidR="00675DD1" w:rsidRPr="006807F9">
        <w:rPr>
          <w:rFonts w:ascii="Trebuchet MS" w:eastAsia="Times New Roman" w:hAnsi="Trebuchet MS" w:cs="Arial"/>
          <w:iCs/>
          <w:sz w:val="23"/>
          <w:szCs w:val="23"/>
          <w:lang w:val="es-ES" w:eastAsia="es-ES"/>
        </w:rPr>
        <w:t>documentación y material electoral</w:t>
      </w:r>
      <w:r w:rsidR="004C0F4C" w:rsidRPr="006807F9">
        <w:rPr>
          <w:rFonts w:ascii="Trebuchet MS" w:eastAsia="Times New Roman" w:hAnsi="Trebuchet MS" w:cs="Arial"/>
          <w:iCs/>
          <w:sz w:val="23"/>
          <w:szCs w:val="23"/>
          <w:lang w:val="es-ES" w:eastAsia="es-ES"/>
        </w:rPr>
        <w:t xml:space="preserve"> en el Proceso Electoral </w:t>
      </w:r>
      <w:r w:rsidR="00707602" w:rsidRPr="006807F9">
        <w:rPr>
          <w:rFonts w:ascii="Trebuchet MS" w:eastAsia="Times New Roman" w:hAnsi="Trebuchet MS" w:cs="Arial"/>
          <w:iCs/>
          <w:sz w:val="23"/>
          <w:szCs w:val="23"/>
          <w:lang w:val="es-ES" w:eastAsia="es-ES"/>
        </w:rPr>
        <w:t>Extraordinario dos mil veintiuno en el municipio de San Pedro Tlaquepaque, Jalisco</w:t>
      </w:r>
      <w:r w:rsidR="00675DD1" w:rsidRPr="006807F9">
        <w:rPr>
          <w:rFonts w:ascii="Trebuchet MS" w:eastAsia="Times New Roman" w:hAnsi="Trebuchet MS" w:cs="Arial"/>
          <w:iCs/>
          <w:sz w:val="23"/>
          <w:szCs w:val="23"/>
          <w:lang w:val="es-ES" w:eastAsia="es-ES"/>
        </w:rPr>
        <w:t>.</w:t>
      </w:r>
    </w:p>
    <w:p w:rsidR="00493CAF" w:rsidRPr="00851B15" w:rsidRDefault="00493CAF" w:rsidP="00464566">
      <w:pPr>
        <w:spacing w:after="0" w:line="240" w:lineRule="auto"/>
        <w:jc w:val="both"/>
        <w:rPr>
          <w:rFonts w:ascii="Trebuchet MS" w:eastAsia="Times New Roman" w:hAnsi="Trebuchet MS" w:cs="Arial"/>
          <w:iCs/>
          <w:sz w:val="24"/>
          <w:szCs w:val="24"/>
          <w:lang w:val="es-ES" w:eastAsia="es-ES"/>
        </w:rPr>
      </w:pPr>
    </w:p>
    <w:p w:rsidR="00493CAF" w:rsidRPr="006807F9" w:rsidRDefault="00493CAF" w:rsidP="00464566">
      <w:pPr>
        <w:tabs>
          <w:tab w:val="left" w:pos="7464"/>
        </w:tabs>
        <w:spacing w:after="0" w:line="240" w:lineRule="auto"/>
        <w:jc w:val="center"/>
        <w:rPr>
          <w:rFonts w:ascii="Trebuchet MS" w:eastAsia="Times New Roman" w:hAnsi="Trebuchet MS" w:cs="Arial"/>
          <w:sz w:val="23"/>
          <w:szCs w:val="23"/>
          <w:lang w:val="es-ES_tradnl" w:eastAsia="es-ES"/>
        </w:rPr>
      </w:pPr>
      <w:r w:rsidRPr="006807F9">
        <w:rPr>
          <w:rFonts w:ascii="Trebuchet MS" w:eastAsia="Times New Roman" w:hAnsi="Trebuchet MS" w:cs="Arial"/>
          <w:sz w:val="23"/>
          <w:szCs w:val="23"/>
          <w:lang w:val="es-ES_tradnl" w:eastAsia="es-ES"/>
        </w:rPr>
        <w:t xml:space="preserve">Guadalajara, Jalisco, </w:t>
      </w:r>
      <w:r w:rsidR="00F50C87">
        <w:rPr>
          <w:rFonts w:ascii="Trebuchet MS" w:eastAsia="Times New Roman" w:hAnsi="Trebuchet MS" w:cs="Arial"/>
          <w:sz w:val="23"/>
          <w:szCs w:val="23"/>
          <w:lang w:val="es-ES_tradnl" w:eastAsia="es-ES"/>
        </w:rPr>
        <w:t>29</w:t>
      </w:r>
      <w:bookmarkStart w:id="0" w:name="_GoBack"/>
      <w:bookmarkEnd w:id="0"/>
      <w:r w:rsidR="005F763C" w:rsidRPr="006807F9">
        <w:rPr>
          <w:rFonts w:ascii="Trebuchet MS" w:eastAsia="Times New Roman" w:hAnsi="Trebuchet MS" w:cs="Arial"/>
          <w:sz w:val="23"/>
          <w:szCs w:val="23"/>
          <w:lang w:val="es-ES_tradnl" w:eastAsia="es-ES"/>
        </w:rPr>
        <w:t xml:space="preserve"> de </w:t>
      </w:r>
      <w:r w:rsidR="00707602" w:rsidRPr="006807F9">
        <w:rPr>
          <w:rFonts w:ascii="Trebuchet MS" w:eastAsia="Times New Roman" w:hAnsi="Trebuchet MS" w:cs="Arial"/>
          <w:sz w:val="23"/>
          <w:szCs w:val="23"/>
          <w:lang w:val="es-ES_tradnl" w:eastAsia="es-ES"/>
        </w:rPr>
        <w:t>octubre</w:t>
      </w:r>
      <w:r w:rsidRPr="006807F9">
        <w:rPr>
          <w:rFonts w:ascii="Trebuchet MS" w:eastAsia="Times New Roman" w:hAnsi="Trebuchet MS" w:cs="Arial"/>
          <w:sz w:val="23"/>
          <w:szCs w:val="23"/>
          <w:lang w:val="es-ES_tradnl" w:eastAsia="es-ES"/>
        </w:rPr>
        <w:t xml:space="preserve"> de 20</w:t>
      </w:r>
      <w:r w:rsidR="003B1B91" w:rsidRPr="006807F9">
        <w:rPr>
          <w:rFonts w:ascii="Trebuchet MS" w:eastAsia="Times New Roman" w:hAnsi="Trebuchet MS" w:cs="Arial"/>
          <w:sz w:val="23"/>
          <w:szCs w:val="23"/>
          <w:lang w:val="es-ES_tradnl" w:eastAsia="es-ES"/>
        </w:rPr>
        <w:t>21</w:t>
      </w:r>
      <w:r w:rsidRPr="006807F9">
        <w:rPr>
          <w:rFonts w:ascii="Trebuchet MS" w:eastAsia="Times New Roman" w:hAnsi="Trebuchet MS" w:cs="Arial"/>
          <w:sz w:val="23"/>
          <w:szCs w:val="23"/>
          <w:lang w:val="es-ES_tradnl" w:eastAsia="es-ES"/>
        </w:rPr>
        <w:t>.</w:t>
      </w:r>
    </w:p>
    <w:p w:rsidR="00707602" w:rsidRDefault="00707602" w:rsidP="00464566">
      <w:pPr>
        <w:spacing w:after="0" w:line="240" w:lineRule="auto"/>
        <w:jc w:val="center"/>
        <w:rPr>
          <w:rFonts w:ascii="Trebuchet MS" w:eastAsia="Times New Roman" w:hAnsi="Trebuchet MS" w:cs="Arial"/>
          <w:sz w:val="23"/>
          <w:szCs w:val="23"/>
          <w:lang w:val="es-ES_tradnl" w:eastAsia="es-ES"/>
        </w:rPr>
      </w:pPr>
    </w:p>
    <w:p w:rsidR="006807F9" w:rsidRPr="006807F9" w:rsidRDefault="006807F9" w:rsidP="00464566">
      <w:pPr>
        <w:spacing w:after="0" w:line="240" w:lineRule="auto"/>
        <w:jc w:val="center"/>
        <w:rPr>
          <w:rFonts w:ascii="Trebuchet MS" w:eastAsia="Times New Roman" w:hAnsi="Trebuchet MS" w:cs="Arial"/>
          <w:sz w:val="23"/>
          <w:szCs w:val="23"/>
          <w:lang w:val="es-ES_tradnl" w:eastAsia="es-ES"/>
        </w:rPr>
      </w:pPr>
    </w:p>
    <w:p w:rsidR="00707602" w:rsidRPr="006807F9" w:rsidRDefault="00707602" w:rsidP="00464566">
      <w:pPr>
        <w:spacing w:after="0" w:line="240" w:lineRule="auto"/>
        <w:jc w:val="center"/>
        <w:rPr>
          <w:rFonts w:ascii="Trebuchet MS" w:eastAsia="Times New Roman" w:hAnsi="Trebuchet MS" w:cs="Arial"/>
          <w:sz w:val="23"/>
          <w:szCs w:val="23"/>
          <w:lang w:val="es-ES_tradnl" w:eastAsia="es-ES"/>
        </w:rPr>
      </w:pPr>
      <w:r w:rsidRPr="006807F9">
        <w:rPr>
          <w:rFonts w:ascii="Trebuchet MS" w:hAnsi="Trebuchet MS"/>
          <w:sz w:val="23"/>
          <w:szCs w:val="23"/>
        </w:rPr>
        <w:t>Paula Ramírez Höhne</w:t>
      </w:r>
    </w:p>
    <w:p w:rsidR="00707602" w:rsidRPr="006807F9" w:rsidRDefault="00707602" w:rsidP="00707602">
      <w:pPr>
        <w:autoSpaceDE w:val="0"/>
        <w:spacing w:after="0" w:line="240" w:lineRule="auto"/>
        <w:jc w:val="center"/>
        <w:rPr>
          <w:rFonts w:ascii="Trebuchet MS" w:eastAsia="Times New Roman" w:hAnsi="Trebuchet MS" w:cs="Arial"/>
          <w:kern w:val="18"/>
          <w:sz w:val="23"/>
          <w:szCs w:val="23"/>
          <w:lang w:val="es-ES_tradnl" w:eastAsia="es-ES"/>
        </w:rPr>
      </w:pPr>
      <w:r w:rsidRPr="006807F9">
        <w:rPr>
          <w:rFonts w:ascii="Trebuchet MS" w:eastAsia="Times New Roman" w:hAnsi="Trebuchet MS" w:cs="Arial"/>
          <w:kern w:val="18"/>
          <w:sz w:val="23"/>
          <w:szCs w:val="23"/>
          <w:lang w:val="es-ES_tradnl" w:eastAsia="es-ES"/>
        </w:rPr>
        <w:t>Consejera presidenta</w:t>
      </w:r>
    </w:p>
    <w:p w:rsidR="00707602" w:rsidRPr="006807F9" w:rsidRDefault="00707602" w:rsidP="00707602">
      <w:pPr>
        <w:autoSpaceDE w:val="0"/>
        <w:spacing w:after="0" w:line="240" w:lineRule="auto"/>
        <w:jc w:val="center"/>
        <w:rPr>
          <w:rFonts w:ascii="Trebuchet MS" w:eastAsia="Arial" w:hAnsi="Trebuchet MS" w:cs="Times New Roman"/>
          <w:bCs/>
          <w:sz w:val="23"/>
          <w:szCs w:val="23"/>
          <w:lang w:val="pt-BR" w:eastAsia="es-ES"/>
        </w:rPr>
      </w:pPr>
    </w:p>
    <w:tbl>
      <w:tblPr>
        <w:tblW w:w="1418" w:type="dxa"/>
        <w:tblInd w:w="-459" w:type="dxa"/>
        <w:tblLayout w:type="fixed"/>
        <w:tblLook w:val="0400" w:firstRow="0" w:lastRow="0" w:firstColumn="0" w:lastColumn="0" w:noHBand="0" w:noVBand="1"/>
      </w:tblPr>
      <w:tblGrid>
        <w:gridCol w:w="709"/>
        <w:gridCol w:w="709"/>
      </w:tblGrid>
      <w:tr w:rsidR="00707602" w:rsidRPr="006807F9" w:rsidTr="00166427">
        <w:trPr>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7602" w:rsidRPr="006807F9" w:rsidRDefault="00707602" w:rsidP="00166427">
            <w:pPr>
              <w:pStyle w:val="Normal1"/>
              <w:spacing w:after="0" w:line="240" w:lineRule="auto"/>
              <w:jc w:val="center"/>
              <w:rPr>
                <w:rFonts w:ascii="Trebuchet MS" w:eastAsia="Trebuchet MS" w:hAnsi="Trebuchet MS" w:cs="Trebuchet MS"/>
                <w:sz w:val="14"/>
                <w:szCs w:val="14"/>
              </w:rPr>
            </w:pPr>
            <w:r w:rsidRPr="006807F9">
              <w:rPr>
                <w:rFonts w:ascii="Trebuchet MS" w:eastAsia="Trebuchet MS" w:hAnsi="Trebuchet MS" w:cs="Trebuchet MS"/>
                <w:sz w:val="14"/>
                <w:szCs w:val="14"/>
              </w:rPr>
              <w:t>CMT</w:t>
            </w:r>
          </w:p>
          <w:p w:rsidR="00707602" w:rsidRPr="006807F9" w:rsidRDefault="00707602" w:rsidP="00166427">
            <w:pPr>
              <w:pStyle w:val="Normal1"/>
              <w:spacing w:after="0" w:line="240" w:lineRule="auto"/>
              <w:jc w:val="center"/>
              <w:rPr>
                <w:rFonts w:ascii="Trebuchet MS" w:eastAsia="Trebuchet MS" w:hAnsi="Trebuchet MS" w:cs="Trebuchet MS"/>
                <w:sz w:val="14"/>
                <w:szCs w:val="14"/>
              </w:rPr>
            </w:pPr>
            <w:proofErr w:type="spellStart"/>
            <w:r w:rsidRPr="006807F9">
              <w:rPr>
                <w:rFonts w:ascii="Trebuchet MS" w:eastAsia="Trebuchet MS" w:hAnsi="Trebuchet MS" w:cs="Trebuchet MS"/>
                <w:sz w:val="14"/>
                <w:szCs w:val="14"/>
              </w:rPr>
              <w:t>VoBo</w:t>
            </w:r>
            <w:proofErr w:type="spellEnd"/>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07602" w:rsidRPr="006807F9" w:rsidRDefault="00707602" w:rsidP="00166427">
            <w:pPr>
              <w:pStyle w:val="Normal1"/>
              <w:spacing w:after="0" w:line="240" w:lineRule="auto"/>
              <w:jc w:val="center"/>
              <w:rPr>
                <w:rFonts w:ascii="Trebuchet MS" w:eastAsia="Trebuchet MS" w:hAnsi="Trebuchet MS" w:cs="Trebuchet MS"/>
                <w:sz w:val="14"/>
                <w:szCs w:val="14"/>
              </w:rPr>
            </w:pPr>
            <w:r w:rsidRPr="006807F9">
              <w:rPr>
                <w:rFonts w:ascii="Trebuchet MS" w:eastAsia="Trebuchet MS" w:hAnsi="Trebuchet MS" w:cs="Trebuchet MS"/>
                <w:sz w:val="14"/>
                <w:szCs w:val="14"/>
              </w:rPr>
              <w:t>TETC</w:t>
            </w:r>
          </w:p>
          <w:p w:rsidR="00707602" w:rsidRPr="006807F9" w:rsidRDefault="00707602" w:rsidP="00166427">
            <w:pPr>
              <w:pStyle w:val="Normal1"/>
              <w:spacing w:after="0" w:line="240" w:lineRule="auto"/>
              <w:jc w:val="center"/>
              <w:rPr>
                <w:rFonts w:ascii="Trebuchet MS" w:eastAsia="Trebuchet MS" w:hAnsi="Trebuchet MS" w:cs="Trebuchet MS"/>
                <w:sz w:val="14"/>
                <w:szCs w:val="14"/>
              </w:rPr>
            </w:pPr>
            <w:r w:rsidRPr="006807F9">
              <w:rPr>
                <w:rFonts w:ascii="Trebuchet MS" w:eastAsia="Trebuchet MS" w:hAnsi="Trebuchet MS" w:cs="Trebuchet MS"/>
                <w:sz w:val="14"/>
                <w:szCs w:val="14"/>
              </w:rPr>
              <w:t>Elaboró</w:t>
            </w:r>
          </w:p>
        </w:tc>
      </w:tr>
    </w:tbl>
    <w:p w:rsidR="00493CAF" w:rsidRPr="006807F9" w:rsidRDefault="00493CAF" w:rsidP="00BD015C">
      <w:pPr>
        <w:spacing w:after="0" w:line="240" w:lineRule="auto"/>
        <w:jc w:val="center"/>
        <w:rPr>
          <w:rFonts w:ascii="Trebuchet MS" w:eastAsia="Times New Roman" w:hAnsi="Trebuchet MS" w:cs="Arial"/>
          <w:sz w:val="23"/>
          <w:szCs w:val="23"/>
          <w:lang w:val="es-ES_tradnl" w:eastAsia="es-ES"/>
        </w:rPr>
      </w:pPr>
    </w:p>
    <w:sectPr w:rsidR="00493CAF" w:rsidRPr="006807F9" w:rsidSect="00D26576">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2E" w:rsidRDefault="00AA3E2E">
      <w:pPr>
        <w:spacing w:after="0" w:line="240" w:lineRule="auto"/>
      </w:pPr>
      <w:r>
        <w:separator/>
      </w:r>
    </w:p>
  </w:endnote>
  <w:endnote w:type="continuationSeparator" w:id="0">
    <w:p w:rsidR="00AA3E2E" w:rsidRDefault="00AA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6"/>
        <w:szCs w:val="16"/>
      </w:rPr>
      <w:id w:val="149644283"/>
      <w:docPartObj>
        <w:docPartGallery w:val="Page Numbers (Bottom of Page)"/>
        <w:docPartUnique/>
      </w:docPartObj>
    </w:sdtPr>
    <w:sdtEndPr/>
    <w:sdtContent>
      <w:sdt>
        <w:sdtPr>
          <w:rPr>
            <w:rFonts w:ascii="Trebuchet MS" w:hAnsi="Trebuchet MS"/>
            <w:sz w:val="16"/>
            <w:szCs w:val="16"/>
          </w:rPr>
          <w:id w:val="860082579"/>
          <w:docPartObj>
            <w:docPartGallery w:val="Page Numbers (Top of Page)"/>
            <w:docPartUnique/>
          </w:docPartObj>
        </w:sdtPr>
        <w:sdtEndPr/>
        <w:sdtContent>
          <w:p w:rsidR="009E5243" w:rsidRPr="00E071FE" w:rsidRDefault="00493CAF">
            <w:pPr>
              <w:pStyle w:val="Piedepgina1"/>
              <w:jc w:val="right"/>
              <w:rPr>
                <w:rFonts w:ascii="Trebuchet MS" w:hAnsi="Trebuchet MS"/>
                <w:sz w:val="16"/>
                <w:szCs w:val="16"/>
              </w:rPr>
            </w:pPr>
            <w:r w:rsidRPr="00E071FE">
              <w:rPr>
                <w:rFonts w:ascii="Trebuchet MS" w:hAnsi="Trebuchet MS"/>
                <w:sz w:val="16"/>
                <w:szCs w:val="16"/>
              </w:rPr>
              <w:t xml:space="preserve">Página </w:t>
            </w:r>
            <w:r w:rsidR="003C3B70" w:rsidRPr="00E071FE">
              <w:rPr>
                <w:rFonts w:ascii="Trebuchet MS" w:hAnsi="Trebuchet MS"/>
                <w:b/>
                <w:bCs/>
                <w:sz w:val="16"/>
                <w:szCs w:val="16"/>
              </w:rPr>
              <w:fldChar w:fldCharType="begin"/>
            </w:r>
            <w:r w:rsidRPr="00E071FE">
              <w:rPr>
                <w:rFonts w:ascii="Trebuchet MS" w:hAnsi="Trebuchet MS"/>
                <w:b/>
                <w:bCs/>
                <w:sz w:val="16"/>
                <w:szCs w:val="16"/>
              </w:rPr>
              <w:instrText>PAGE</w:instrText>
            </w:r>
            <w:r w:rsidR="003C3B70" w:rsidRPr="00E071FE">
              <w:rPr>
                <w:rFonts w:ascii="Trebuchet MS" w:hAnsi="Trebuchet MS"/>
                <w:b/>
                <w:bCs/>
                <w:sz w:val="16"/>
                <w:szCs w:val="16"/>
              </w:rPr>
              <w:fldChar w:fldCharType="separate"/>
            </w:r>
            <w:r w:rsidR="00F50C87">
              <w:rPr>
                <w:rFonts w:ascii="Trebuchet MS" w:hAnsi="Trebuchet MS"/>
                <w:b/>
                <w:bCs/>
                <w:noProof/>
                <w:sz w:val="16"/>
                <w:szCs w:val="16"/>
              </w:rPr>
              <w:t>1</w:t>
            </w:r>
            <w:r w:rsidR="003C3B70" w:rsidRPr="00E071FE">
              <w:rPr>
                <w:rFonts w:ascii="Trebuchet MS" w:hAnsi="Trebuchet MS"/>
                <w:b/>
                <w:bCs/>
                <w:sz w:val="16"/>
                <w:szCs w:val="16"/>
              </w:rPr>
              <w:fldChar w:fldCharType="end"/>
            </w:r>
            <w:r w:rsidRPr="00E071FE">
              <w:rPr>
                <w:rFonts w:ascii="Trebuchet MS" w:hAnsi="Trebuchet MS"/>
                <w:sz w:val="16"/>
                <w:szCs w:val="16"/>
              </w:rPr>
              <w:t xml:space="preserve"> de </w:t>
            </w:r>
            <w:r w:rsidR="003C3B70" w:rsidRPr="00E071FE">
              <w:rPr>
                <w:rFonts w:ascii="Trebuchet MS" w:hAnsi="Trebuchet MS"/>
                <w:b/>
                <w:bCs/>
                <w:sz w:val="16"/>
                <w:szCs w:val="16"/>
              </w:rPr>
              <w:fldChar w:fldCharType="begin"/>
            </w:r>
            <w:r w:rsidRPr="00E071FE">
              <w:rPr>
                <w:rFonts w:ascii="Trebuchet MS" w:hAnsi="Trebuchet MS"/>
                <w:b/>
                <w:bCs/>
                <w:sz w:val="16"/>
                <w:szCs w:val="16"/>
              </w:rPr>
              <w:instrText>NUMPAGES</w:instrText>
            </w:r>
            <w:r w:rsidR="003C3B70" w:rsidRPr="00E071FE">
              <w:rPr>
                <w:rFonts w:ascii="Trebuchet MS" w:hAnsi="Trebuchet MS"/>
                <w:b/>
                <w:bCs/>
                <w:sz w:val="16"/>
                <w:szCs w:val="16"/>
              </w:rPr>
              <w:fldChar w:fldCharType="separate"/>
            </w:r>
            <w:r w:rsidR="00F50C87">
              <w:rPr>
                <w:rFonts w:ascii="Trebuchet MS" w:hAnsi="Trebuchet MS"/>
                <w:b/>
                <w:bCs/>
                <w:noProof/>
                <w:sz w:val="16"/>
                <w:szCs w:val="16"/>
              </w:rPr>
              <w:t>2</w:t>
            </w:r>
            <w:r w:rsidR="003C3B70" w:rsidRPr="00E071FE">
              <w:rPr>
                <w:rFonts w:ascii="Trebuchet MS" w:hAnsi="Trebuchet MS"/>
                <w:b/>
                <w:bCs/>
                <w:sz w:val="16"/>
                <w:szCs w:val="16"/>
              </w:rPr>
              <w:fldChar w:fldCharType="end"/>
            </w:r>
          </w:p>
        </w:sdtContent>
      </w:sdt>
    </w:sdtContent>
  </w:sdt>
  <w:p w:rsidR="009E5243" w:rsidRDefault="00AA3E2E">
    <w:pPr>
      <w:pStyle w:val="Piedep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2E" w:rsidRDefault="00AA3E2E">
      <w:pPr>
        <w:spacing w:after="0" w:line="240" w:lineRule="auto"/>
      </w:pPr>
      <w:r>
        <w:separator/>
      </w:r>
    </w:p>
  </w:footnote>
  <w:footnote w:type="continuationSeparator" w:id="0">
    <w:p w:rsidR="00AA3E2E" w:rsidRDefault="00AA3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76" w:rsidRDefault="00D26576">
    <w:pPr>
      <w:pStyle w:val="Encabezado"/>
    </w:pPr>
    <w:r>
      <w:rPr>
        <w:noProof/>
      </w:rPr>
      <w:drawing>
        <wp:inline distT="0" distB="0" distL="0" distR="0" wp14:anchorId="7AF824B6" wp14:editId="1CA561D1">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9E5243" w:rsidRDefault="00AA3E2E" w:rsidP="009E5243">
    <w:pPr>
      <w:pStyle w:val="Encabezado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AF"/>
    <w:rsid w:val="00021D3D"/>
    <w:rsid w:val="00032D31"/>
    <w:rsid w:val="00040888"/>
    <w:rsid w:val="00060F93"/>
    <w:rsid w:val="00065A6F"/>
    <w:rsid w:val="00074FCC"/>
    <w:rsid w:val="00091973"/>
    <w:rsid w:val="00092783"/>
    <w:rsid w:val="000965B8"/>
    <w:rsid w:val="000C1E42"/>
    <w:rsid w:val="000F697F"/>
    <w:rsid w:val="000F7BD5"/>
    <w:rsid w:val="00116862"/>
    <w:rsid w:val="00152BEA"/>
    <w:rsid w:val="00196E02"/>
    <w:rsid w:val="001A05FB"/>
    <w:rsid w:val="001C7884"/>
    <w:rsid w:val="001F4606"/>
    <w:rsid w:val="001F6218"/>
    <w:rsid w:val="0021753B"/>
    <w:rsid w:val="002347C7"/>
    <w:rsid w:val="00253AF1"/>
    <w:rsid w:val="00274194"/>
    <w:rsid w:val="00293B83"/>
    <w:rsid w:val="002A290B"/>
    <w:rsid w:val="002B1340"/>
    <w:rsid w:val="002B676A"/>
    <w:rsid w:val="00335014"/>
    <w:rsid w:val="003929F9"/>
    <w:rsid w:val="003B1B91"/>
    <w:rsid w:val="003B4DCD"/>
    <w:rsid w:val="003C3B70"/>
    <w:rsid w:val="003E7443"/>
    <w:rsid w:val="004218A5"/>
    <w:rsid w:val="00431045"/>
    <w:rsid w:val="004505E8"/>
    <w:rsid w:val="00464566"/>
    <w:rsid w:val="00480623"/>
    <w:rsid w:val="00481AA3"/>
    <w:rsid w:val="004925BD"/>
    <w:rsid w:val="00493CAF"/>
    <w:rsid w:val="004945ED"/>
    <w:rsid w:val="004C0F4C"/>
    <w:rsid w:val="0053180B"/>
    <w:rsid w:val="00583181"/>
    <w:rsid w:val="005A20E0"/>
    <w:rsid w:val="005C3926"/>
    <w:rsid w:val="005F0784"/>
    <w:rsid w:val="005F763C"/>
    <w:rsid w:val="005F7698"/>
    <w:rsid w:val="006059E3"/>
    <w:rsid w:val="00630BAD"/>
    <w:rsid w:val="00650947"/>
    <w:rsid w:val="00672538"/>
    <w:rsid w:val="0067362B"/>
    <w:rsid w:val="00673F9F"/>
    <w:rsid w:val="00675DD1"/>
    <w:rsid w:val="006807F9"/>
    <w:rsid w:val="006B1CE1"/>
    <w:rsid w:val="006F4D9F"/>
    <w:rsid w:val="00707602"/>
    <w:rsid w:val="007527C6"/>
    <w:rsid w:val="00753D75"/>
    <w:rsid w:val="00755B4E"/>
    <w:rsid w:val="0079622C"/>
    <w:rsid w:val="007A31BF"/>
    <w:rsid w:val="007E28C5"/>
    <w:rsid w:val="007F7E97"/>
    <w:rsid w:val="00831E41"/>
    <w:rsid w:val="00851B15"/>
    <w:rsid w:val="00852BC9"/>
    <w:rsid w:val="00852D8D"/>
    <w:rsid w:val="00887F78"/>
    <w:rsid w:val="00887FC3"/>
    <w:rsid w:val="008C623D"/>
    <w:rsid w:val="008D3A3C"/>
    <w:rsid w:val="008D727F"/>
    <w:rsid w:val="00956AF9"/>
    <w:rsid w:val="00991CB3"/>
    <w:rsid w:val="00995314"/>
    <w:rsid w:val="00A10AA2"/>
    <w:rsid w:val="00A14194"/>
    <w:rsid w:val="00A720DB"/>
    <w:rsid w:val="00A83027"/>
    <w:rsid w:val="00AA3E2E"/>
    <w:rsid w:val="00AB53A5"/>
    <w:rsid w:val="00AC608D"/>
    <w:rsid w:val="00B03F3C"/>
    <w:rsid w:val="00B27B5F"/>
    <w:rsid w:val="00B42707"/>
    <w:rsid w:val="00B85CC4"/>
    <w:rsid w:val="00B87FB1"/>
    <w:rsid w:val="00BB7A0B"/>
    <w:rsid w:val="00BC2D9A"/>
    <w:rsid w:val="00BD015C"/>
    <w:rsid w:val="00BF67C2"/>
    <w:rsid w:val="00C06988"/>
    <w:rsid w:val="00C30DE5"/>
    <w:rsid w:val="00C615BC"/>
    <w:rsid w:val="00CA47C6"/>
    <w:rsid w:val="00CD0803"/>
    <w:rsid w:val="00D13DDA"/>
    <w:rsid w:val="00D20A35"/>
    <w:rsid w:val="00D26576"/>
    <w:rsid w:val="00D657D9"/>
    <w:rsid w:val="00DB3649"/>
    <w:rsid w:val="00DC2B33"/>
    <w:rsid w:val="00DC4D2C"/>
    <w:rsid w:val="00DD300D"/>
    <w:rsid w:val="00E5294B"/>
    <w:rsid w:val="00EB2DDE"/>
    <w:rsid w:val="00EE101F"/>
    <w:rsid w:val="00EE2AD5"/>
    <w:rsid w:val="00EE61D6"/>
    <w:rsid w:val="00EE7B76"/>
    <w:rsid w:val="00F50C87"/>
    <w:rsid w:val="00F650D7"/>
    <w:rsid w:val="00F82531"/>
    <w:rsid w:val="00FC5061"/>
    <w:rsid w:val="00FE2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depgina1">
    <w:name w:val="Pie de página1"/>
    <w:basedOn w:val="Normal"/>
    <w:next w:val="Piedepgina"/>
    <w:link w:val="PiedepginaCar"/>
    <w:uiPriority w:val="99"/>
    <w:unhideWhenUsed/>
    <w:rsid w:val="00493CAF"/>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493CAF"/>
  </w:style>
  <w:style w:type="paragraph" w:customStyle="1" w:styleId="Encabezado1">
    <w:name w:val="Encabezado1"/>
    <w:basedOn w:val="Normal"/>
    <w:next w:val="Encabezado"/>
    <w:link w:val="EncabezadoCar"/>
    <w:uiPriority w:val="99"/>
    <w:unhideWhenUsed/>
    <w:rsid w:val="00493CAF"/>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493CAF"/>
  </w:style>
  <w:style w:type="table" w:customStyle="1" w:styleId="Tablaconcuadrcula1">
    <w:name w:val="Tabla con cuadrícula1"/>
    <w:basedOn w:val="Tablanormal"/>
    <w:next w:val="Tablaconcuadrcula"/>
    <w:uiPriority w:val="39"/>
    <w:rsid w:val="0049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1"/>
    <w:uiPriority w:val="99"/>
    <w:semiHidden/>
    <w:unhideWhenUsed/>
    <w:rsid w:val="00493CAF"/>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493CAF"/>
  </w:style>
  <w:style w:type="paragraph" w:styleId="Encabezado">
    <w:name w:val="header"/>
    <w:basedOn w:val="Normal"/>
    <w:link w:val="EncabezadoCar1"/>
    <w:uiPriority w:val="99"/>
    <w:unhideWhenUsed/>
    <w:rsid w:val="00493CAF"/>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493CAF"/>
  </w:style>
  <w:style w:type="table" w:styleId="Tablaconcuadrcula">
    <w:name w:val="Table Grid"/>
    <w:basedOn w:val="Tablanormal"/>
    <w:uiPriority w:val="59"/>
    <w:rsid w:val="0049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1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CE1"/>
    <w:rPr>
      <w:rFonts w:ascii="Tahoma" w:hAnsi="Tahoma" w:cs="Tahoma"/>
      <w:sz w:val="16"/>
      <w:szCs w:val="16"/>
    </w:rPr>
  </w:style>
  <w:style w:type="paragraph" w:customStyle="1" w:styleId="Normal1">
    <w:name w:val="Normal1"/>
    <w:rsid w:val="00060F93"/>
    <w:pPr>
      <w:spacing w:after="160" w:line="259" w:lineRule="auto"/>
    </w:pPr>
    <w:rPr>
      <w:rFonts w:ascii="Calibri" w:eastAsia="Calibri" w:hAnsi="Calibri" w:cs="Calibri"/>
    </w:rPr>
  </w:style>
  <w:style w:type="paragraph" w:styleId="Sinespaciado">
    <w:name w:val="No Spacing"/>
    <w:link w:val="SinespaciadoCar"/>
    <w:uiPriority w:val="1"/>
    <w:qFormat/>
    <w:rsid w:val="00464566"/>
    <w:pPr>
      <w:spacing w:after="0" w:line="240" w:lineRule="auto"/>
    </w:pPr>
    <w:rPr>
      <w:rFonts w:ascii="Calibri" w:eastAsia="Calibri" w:hAnsi="Calibri" w:cs="Times New Roman"/>
      <w:lang w:eastAsia="en-US"/>
    </w:rPr>
  </w:style>
  <w:style w:type="character" w:customStyle="1" w:styleId="SinespaciadoCar">
    <w:name w:val="Sin espaciado Car"/>
    <w:link w:val="Sinespaciado"/>
    <w:uiPriority w:val="1"/>
    <w:locked/>
    <w:rsid w:val="00464566"/>
    <w:rPr>
      <w:rFonts w:ascii="Calibri" w:eastAsia="Calibri" w:hAnsi="Calibri" w:cs="Times New Roman"/>
      <w:lang w:eastAsia="en-US"/>
    </w:rPr>
  </w:style>
  <w:style w:type="paragraph" w:styleId="Prrafodelista">
    <w:name w:val="List Paragraph"/>
    <w:basedOn w:val="Normal"/>
    <w:uiPriority w:val="34"/>
    <w:qFormat/>
    <w:rsid w:val="003929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depgina1">
    <w:name w:val="Pie de página1"/>
    <w:basedOn w:val="Normal"/>
    <w:next w:val="Piedepgina"/>
    <w:link w:val="PiedepginaCar"/>
    <w:uiPriority w:val="99"/>
    <w:unhideWhenUsed/>
    <w:rsid w:val="00493CAF"/>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493CAF"/>
  </w:style>
  <w:style w:type="paragraph" w:customStyle="1" w:styleId="Encabezado1">
    <w:name w:val="Encabezado1"/>
    <w:basedOn w:val="Normal"/>
    <w:next w:val="Encabezado"/>
    <w:link w:val="EncabezadoCar"/>
    <w:uiPriority w:val="99"/>
    <w:unhideWhenUsed/>
    <w:rsid w:val="00493CAF"/>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493CAF"/>
  </w:style>
  <w:style w:type="table" w:customStyle="1" w:styleId="Tablaconcuadrcula1">
    <w:name w:val="Tabla con cuadrícula1"/>
    <w:basedOn w:val="Tablanormal"/>
    <w:next w:val="Tablaconcuadrcula"/>
    <w:uiPriority w:val="39"/>
    <w:rsid w:val="0049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1"/>
    <w:uiPriority w:val="99"/>
    <w:semiHidden/>
    <w:unhideWhenUsed/>
    <w:rsid w:val="00493CAF"/>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493CAF"/>
  </w:style>
  <w:style w:type="paragraph" w:styleId="Encabezado">
    <w:name w:val="header"/>
    <w:basedOn w:val="Normal"/>
    <w:link w:val="EncabezadoCar1"/>
    <w:uiPriority w:val="99"/>
    <w:unhideWhenUsed/>
    <w:rsid w:val="00493CAF"/>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493CAF"/>
  </w:style>
  <w:style w:type="table" w:styleId="Tablaconcuadrcula">
    <w:name w:val="Table Grid"/>
    <w:basedOn w:val="Tablanormal"/>
    <w:uiPriority w:val="59"/>
    <w:rsid w:val="0049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1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CE1"/>
    <w:rPr>
      <w:rFonts w:ascii="Tahoma" w:hAnsi="Tahoma" w:cs="Tahoma"/>
      <w:sz w:val="16"/>
      <w:szCs w:val="16"/>
    </w:rPr>
  </w:style>
  <w:style w:type="paragraph" w:customStyle="1" w:styleId="Normal1">
    <w:name w:val="Normal1"/>
    <w:rsid w:val="00060F93"/>
    <w:pPr>
      <w:spacing w:after="160" w:line="259" w:lineRule="auto"/>
    </w:pPr>
    <w:rPr>
      <w:rFonts w:ascii="Calibri" w:eastAsia="Calibri" w:hAnsi="Calibri" w:cs="Calibri"/>
    </w:rPr>
  </w:style>
  <w:style w:type="paragraph" w:styleId="Sinespaciado">
    <w:name w:val="No Spacing"/>
    <w:link w:val="SinespaciadoCar"/>
    <w:uiPriority w:val="1"/>
    <w:qFormat/>
    <w:rsid w:val="00464566"/>
    <w:pPr>
      <w:spacing w:after="0" w:line="240" w:lineRule="auto"/>
    </w:pPr>
    <w:rPr>
      <w:rFonts w:ascii="Calibri" w:eastAsia="Calibri" w:hAnsi="Calibri" w:cs="Times New Roman"/>
      <w:lang w:eastAsia="en-US"/>
    </w:rPr>
  </w:style>
  <w:style w:type="character" w:customStyle="1" w:styleId="SinespaciadoCar">
    <w:name w:val="Sin espaciado Car"/>
    <w:link w:val="Sinespaciado"/>
    <w:uiPriority w:val="1"/>
    <w:locked/>
    <w:rsid w:val="00464566"/>
    <w:rPr>
      <w:rFonts w:ascii="Calibri" w:eastAsia="Calibri" w:hAnsi="Calibri" w:cs="Times New Roman"/>
      <w:lang w:eastAsia="en-US"/>
    </w:rPr>
  </w:style>
  <w:style w:type="paragraph" w:styleId="Prrafodelista">
    <w:name w:val="List Paragraph"/>
    <w:basedOn w:val="Normal"/>
    <w:uiPriority w:val="34"/>
    <w:qFormat/>
    <w:rsid w:val="00392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8F18F-6DEF-410B-863C-B2D0938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Fernandez Melchor</dc:creator>
  <cp:lastModifiedBy>Tammy Erika Torres Cornejo</cp:lastModifiedBy>
  <cp:revision>3</cp:revision>
  <cp:lastPrinted>2021-10-29T00:42:00Z</cp:lastPrinted>
  <dcterms:created xsi:type="dcterms:W3CDTF">2021-10-30T17:17:00Z</dcterms:created>
  <dcterms:modified xsi:type="dcterms:W3CDTF">2021-10-30T17:39:00Z</dcterms:modified>
</cp:coreProperties>
</file>