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12" w:rsidRPr="00DE03FA" w:rsidRDefault="00327512" w:rsidP="00327512">
      <w:pPr>
        <w:jc w:val="both"/>
        <w:rPr>
          <w:rFonts w:ascii="Trebuchet MS" w:hAnsi="Trebuchet MS" w:cs="Arial"/>
          <w:b/>
          <w:bCs/>
          <w:sz w:val="23"/>
          <w:szCs w:val="23"/>
          <w:lang w:val="es-ES"/>
        </w:rPr>
      </w:pPr>
      <w:r w:rsidRPr="00DE03FA">
        <w:rPr>
          <w:rFonts w:ascii="Trebuchet MS" w:hAnsi="Trebuchet MS" w:cs="Arial"/>
          <w:b/>
          <w:bCs/>
          <w:sz w:val="23"/>
          <w:szCs w:val="23"/>
          <w:lang w:val="es-ES"/>
        </w:rPr>
        <w:t>ACUERDO DEL CONSEJO GENERAL DEL INSTITUTO ELECTORAL Y DE PARTICIPACIÓN CIUDADANA DEL ESTADO DE JALISCO, POR EL QUE SE DETERMINA NO UTILIZAR LA URNA ELECTRÓNICA EN LA JORNADA ELECTORAL DEL PROCESO ELECTORAL EXTRAORDINARIO DOS MIL VEINTIUNO, EN SAN PEDRO TLAQUEPAQUE, JALISCO.</w:t>
      </w:r>
    </w:p>
    <w:p w:rsidR="007B1901" w:rsidRPr="00DE03FA" w:rsidRDefault="007B1901" w:rsidP="002A0253">
      <w:pPr>
        <w:jc w:val="both"/>
        <w:rPr>
          <w:rFonts w:ascii="Trebuchet MS" w:hAnsi="Trebuchet MS" w:cs="Arial"/>
          <w:b/>
          <w:bCs/>
          <w:sz w:val="23"/>
          <w:szCs w:val="23"/>
          <w:lang w:val="es-ES"/>
        </w:rPr>
      </w:pPr>
    </w:p>
    <w:p w:rsidR="007B1901" w:rsidRPr="00DE03FA" w:rsidRDefault="007B1901" w:rsidP="002A0253">
      <w:pPr>
        <w:jc w:val="center"/>
        <w:rPr>
          <w:rFonts w:ascii="Trebuchet MS" w:hAnsi="Trebuchet MS" w:cs="Arial"/>
          <w:b/>
          <w:sz w:val="23"/>
          <w:szCs w:val="23"/>
          <w:lang w:val="pt-BR"/>
        </w:rPr>
      </w:pPr>
      <w:r w:rsidRPr="00DE03FA">
        <w:rPr>
          <w:rFonts w:ascii="Trebuchet MS" w:hAnsi="Trebuchet MS" w:cs="Arial"/>
          <w:b/>
          <w:sz w:val="23"/>
          <w:szCs w:val="23"/>
          <w:lang w:val="pt-BR"/>
        </w:rPr>
        <w:t>A N T E C E D E N T E S</w:t>
      </w:r>
    </w:p>
    <w:p w:rsidR="001418AF" w:rsidRPr="00DE03FA" w:rsidRDefault="001418AF" w:rsidP="002A0253">
      <w:pPr>
        <w:jc w:val="both"/>
        <w:rPr>
          <w:rFonts w:ascii="Trebuchet MS" w:eastAsia="Trebuchet MS" w:hAnsi="Trebuchet MS" w:cs="Trebuchet MS"/>
          <w:b/>
          <w:sz w:val="23"/>
          <w:szCs w:val="23"/>
        </w:rPr>
      </w:pPr>
    </w:p>
    <w:p w:rsidR="001418AF" w:rsidRPr="00DE03FA" w:rsidRDefault="001418AF" w:rsidP="002A0253">
      <w:pPr>
        <w:jc w:val="both"/>
        <w:rPr>
          <w:rFonts w:ascii="Trebuchet MS" w:hAnsi="Trebuchet MS"/>
          <w:b/>
          <w:sz w:val="23"/>
          <w:szCs w:val="23"/>
          <w:lang w:val="es-ES"/>
        </w:rPr>
      </w:pPr>
      <w:r w:rsidRPr="00DE03FA">
        <w:rPr>
          <w:rFonts w:ascii="Trebuchet MS" w:hAnsi="Trebuchet MS"/>
          <w:b/>
          <w:sz w:val="23"/>
          <w:szCs w:val="23"/>
          <w:lang w:val="es-ES"/>
        </w:rPr>
        <w:t>CORRESPONDIENTE</w:t>
      </w:r>
      <w:r w:rsidR="0070540A" w:rsidRPr="00DE03FA">
        <w:rPr>
          <w:rFonts w:ascii="Trebuchet MS" w:hAnsi="Trebuchet MS"/>
          <w:b/>
          <w:sz w:val="23"/>
          <w:szCs w:val="23"/>
          <w:lang w:val="es-ES"/>
        </w:rPr>
        <w:t>S</w:t>
      </w:r>
      <w:r w:rsidRPr="00DE03FA">
        <w:rPr>
          <w:rFonts w:ascii="Trebuchet MS" w:hAnsi="Trebuchet MS"/>
          <w:b/>
          <w:sz w:val="23"/>
          <w:szCs w:val="23"/>
          <w:lang w:val="es-ES"/>
        </w:rPr>
        <w:t xml:space="preserve"> AL AÑO DOS MIL VEI</w:t>
      </w:r>
      <w:r w:rsidR="00DC5A01" w:rsidRPr="00DE03FA">
        <w:rPr>
          <w:rFonts w:ascii="Trebuchet MS" w:hAnsi="Trebuchet MS"/>
          <w:b/>
          <w:sz w:val="23"/>
          <w:szCs w:val="23"/>
          <w:lang w:val="es-ES"/>
        </w:rPr>
        <w:t>N</w:t>
      </w:r>
      <w:r w:rsidRPr="00DE03FA">
        <w:rPr>
          <w:rFonts w:ascii="Trebuchet MS" w:hAnsi="Trebuchet MS"/>
          <w:b/>
          <w:sz w:val="23"/>
          <w:szCs w:val="23"/>
          <w:lang w:val="es-ES"/>
        </w:rPr>
        <w:t>TIUNO</w:t>
      </w:r>
    </w:p>
    <w:p w:rsidR="001418AF" w:rsidRPr="00DE03FA" w:rsidRDefault="001418AF" w:rsidP="002A0253">
      <w:pPr>
        <w:jc w:val="both"/>
        <w:rPr>
          <w:rFonts w:ascii="Trebuchet MS" w:hAnsi="Trebuchet MS"/>
          <w:b/>
          <w:sz w:val="23"/>
          <w:szCs w:val="23"/>
        </w:rPr>
      </w:pPr>
    </w:p>
    <w:p w:rsidR="001418AF" w:rsidRPr="00DE03FA" w:rsidRDefault="009932B8" w:rsidP="002A0253">
      <w:pPr>
        <w:jc w:val="both"/>
        <w:rPr>
          <w:rFonts w:ascii="Trebuchet MS" w:hAnsi="Trebuchet MS" w:cs="Arial"/>
          <w:bCs/>
          <w:sz w:val="23"/>
          <w:szCs w:val="23"/>
          <w:lang w:eastAsia="es-MX"/>
        </w:rPr>
      </w:pPr>
      <w:r w:rsidRPr="00DE03FA">
        <w:rPr>
          <w:rFonts w:ascii="Trebuchet MS" w:hAnsi="Trebuchet MS" w:cs="Arial"/>
          <w:b/>
          <w:bCs/>
          <w:sz w:val="23"/>
          <w:szCs w:val="23"/>
          <w:lang w:eastAsia="es-MX"/>
        </w:rPr>
        <w:t>1</w:t>
      </w:r>
      <w:r w:rsidR="001418AF" w:rsidRPr="00DE03FA">
        <w:rPr>
          <w:rFonts w:ascii="Trebuchet MS" w:hAnsi="Trebuchet MS" w:cs="Arial"/>
          <w:bCs/>
          <w:sz w:val="23"/>
          <w:szCs w:val="23"/>
          <w:lang w:eastAsia="es-MX"/>
        </w:rPr>
        <w:t xml:space="preserve">. </w:t>
      </w:r>
      <w:r w:rsidR="001418AF" w:rsidRPr="00DE03FA">
        <w:rPr>
          <w:rFonts w:ascii="Trebuchet MS" w:hAnsi="Trebuchet MS" w:cs="Arial"/>
          <w:b/>
          <w:kern w:val="2"/>
          <w:sz w:val="23"/>
          <w:szCs w:val="23"/>
          <w:lang w:val="es-ES_tradnl" w:eastAsia="ar-SA"/>
        </w:rPr>
        <w:t>RESOLUCIÓN DE LA SALA SUPERIOR DEL TRIBUNAL ELECTORAL DEL PODER JUDICIAL DE LA FEDERACIÓN</w:t>
      </w:r>
      <w:r w:rsidR="001418AF" w:rsidRPr="00DE03FA">
        <w:rPr>
          <w:rFonts w:ascii="Trebuchet MS" w:hAnsi="Trebuchet MS" w:cs="Arial"/>
          <w:b/>
          <w:bCs/>
          <w:sz w:val="23"/>
          <w:szCs w:val="23"/>
          <w:lang w:eastAsia="es-MX"/>
        </w:rPr>
        <w:t xml:space="preserve">. </w:t>
      </w:r>
      <w:r w:rsidR="001418AF" w:rsidRPr="00DE03FA">
        <w:rPr>
          <w:rFonts w:ascii="Trebuchet MS" w:hAnsi="Trebuchet MS" w:cs="Arial"/>
          <w:bCs/>
          <w:sz w:val="23"/>
          <w:szCs w:val="23"/>
          <w:lang w:eastAsia="es-MX"/>
        </w:rPr>
        <w:t xml:space="preserve">El día uno de octubre se recibió en este Instituto la resolución emitida el día anterior, por la Sala Superior del Tribunal Electoral del Poder Judicial de la Federación, en </w:t>
      </w:r>
      <w:r w:rsidR="000052EB" w:rsidRPr="00DE03FA">
        <w:rPr>
          <w:rFonts w:ascii="Trebuchet MS" w:hAnsi="Trebuchet MS"/>
          <w:sz w:val="23"/>
          <w:szCs w:val="23"/>
          <w:lang w:val="es-ES_tradnl"/>
        </w:rPr>
        <w:t>el recurso de reconsideración registrado bajo número de expediente SUP-REC-1874/2021 y su acumulado SUP-REC-1876/2021</w:t>
      </w:r>
      <w:r w:rsidR="001418AF" w:rsidRPr="00DE03FA">
        <w:rPr>
          <w:rFonts w:ascii="Trebuchet MS" w:hAnsi="Trebuchet MS" w:cs="Arial"/>
          <w:bCs/>
          <w:sz w:val="23"/>
          <w:szCs w:val="23"/>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1418AF" w:rsidRPr="00DE03FA" w:rsidRDefault="001418AF" w:rsidP="002A0253">
      <w:pPr>
        <w:jc w:val="both"/>
        <w:rPr>
          <w:rFonts w:ascii="Trebuchet MS" w:eastAsia="Trebuchet MS" w:hAnsi="Trebuchet MS" w:cs="Trebuchet MS"/>
          <w:b/>
          <w:sz w:val="23"/>
          <w:szCs w:val="23"/>
        </w:rPr>
      </w:pPr>
    </w:p>
    <w:p w:rsidR="001418AF" w:rsidRPr="00DE03FA" w:rsidRDefault="009932B8" w:rsidP="002A0253">
      <w:pPr>
        <w:pStyle w:val="Sinespaciado"/>
        <w:jc w:val="both"/>
        <w:rPr>
          <w:rFonts w:ascii="Trebuchet MS" w:hAnsi="Trebuchet MS"/>
          <w:sz w:val="23"/>
          <w:szCs w:val="23"/>
        </w:rPr>
      </w:pPr>
      <w:r w:rsidRPr="00DE03FA">
        <w:rPr>
          <w:rFonts w:ascii="Trebuchet MS" w:hAnsi="Trebuchet MS"/>
          <w:b/>
          <w:sz w:val="23"/>
          <w:szCs w:val="23"/>
        </w:rPr>
        <w:t>2</w:t>
      </w:r>
      <w:r w:rsidR="001418AF" w:rsidRPr="00DE03FA">
        <w:rPr>
          <w:rFonts w:ascii="Trebuchet MS" w:hAnsi="Trebuchet MS"/>
          <w:b/>
          <w:sz w:val="23"/>
          <w:szCs w:val="23"/>
        </w:rPr>
        <w:t xml:space="preserve">. CONVOCATORIA </w:t>
      </w:r>
      <w:r w:rsidR="001418AF" w:rsidRPr="00DE03FA">
        <w:rPr>
          <w:rFonts w:ascii="Trebuchet MS" w:hAnsi="Trebuchet MS"/>
          <w:b/>
          <w:sz w:val="23"/>
          <w:szCs w:val="23"/>
          <w:lang w:val="es-ES"/>
        </w:rPr>
        <w:t xml:space="preserve">PARA EL PROCESO ELECTORAL EXTRAORDINARIO DOS MIL VEINTIUNO, </w:t>
      </w:r>
      <w:r w:rsidR="001418AF" w:rsidRPr="00DE03FA">
        <w:rPr>
          <w:rFonts w:ascii="Trebuchet MS" w:hAnsi="Trebuchet MS"/>
          <w:b/>
          <w:sz w:val="23"/>
          <w:szCs w:val="23"/>
        </w:rPr>
        <w:t xml:space="preserve">PARA LA ELECCIÓN DE LA PRESIDENCIA MUNICIPAL, REGIDURIAS Y SINDICATURA, DEL MUNICIPIO DE SAN PEDRO TLAQUEPAQUE, JALISCO. </w:t>
      </w:r>
      <w:r w:rsidR="001418AF" w:rsidRPr="00DE03FA">
        <w:rPr>
          <w:rFonts w:ascii="Trebuchet MS" w:hAnsi="Trebuchet MS"/>
          <w:sz w:val="23"/>
          <w:szCs w:val="23"/>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1418AF" w:rsidRPr="00DE03FA" w:rsidRDefault="001418AF" w:rsidP="002A0253">
      <w:pPr>
        <w:jc w:val="both"/>
        <w:rPr>
          <w:rFonts w:ascii="Trebuchet MS" w:eastAsia="Trebuchet MS" w:hAnsi="Trebuchet MS" w:cs="Trebuchet MS"/>
          <w:b/>
          <w:sz w:val="23"/>
          <w:szCs w:val="23"/>
        </w:rPr>
      </w:pPr>
    </w:p>
    <w:p w:rsidR="00327512" w:rsidRPr="00DE03FA" w:rsidRDefault="009932B8" w:rsidP="00327512">
      <w:pPr>
        <w:jc w:val="both"/>
        <w:rPr>
          <w:rFonts w:ascii="Trebuchet MS" w:hAnsi="Trebuchet MS"/>
          <w:sz w:val="23"/>
          <w:szCs w:val="23"/>
        </w:rPr>
      </w:pPr>
      <w:r w:rsidRPr="00DE03FA">
        <w:rPr>
          <w:rFonts w:ascii="Trebuchet MS" w:hAnsi="Trebuchet MS" w:cs="Arial"/>
          <w:b/>
          <w:sz w:val="23"/>
          <w:szCs w:val="23"/>
        </w:rPr>
        <w:t>3</w:t>
      </w:r>
      <w:r w:rsidR="001418AF" w:rsidRPr="00DE03FA">
        <w:rPr>
          <w:rFonts w:ascii="Trebuchet MS" w:hAnsi="Trebuchet MS" w:cs="Arial"/>
          <w:b/>
          <w:sz w:val="23"/>
          <w:szCs w:val="23"/>
        </w:rPr>
        <w:t xml:space="preserve">. </w:t>
      </w:r>
      <w:r w:rsidR="00327512" w:rsidRPr="00DE03FA">
        <w:rPr>
          <w:rFonts w:ascii="Trebuchet MS" w:hAnsi="Trebuchet MS"/>
          <w:b/>
          <w:sz w:val="23"/>
          <w:szCs w:val="23"/>
        </w:rPr>
        <w:t xml:space="preserve">CONSULTA REALIZADA AL INSTITUTO NACIONAL ELECTORAL. </w:t>
      </w:r>
      <w:r w:rsidR="00327512" w:rsidRPr="00DE03FA">
        <w:rPr>
          <w:rFonts w:ascii="Trebuchet MS" w:hAnsi="Trebuchet MS"/>
          <w:sz w:val="23"/>
          <w:szCs w:val="23"/>
        </w:rPr>
        <w:t>El cuatro de octubre, mediante oficio 1243/2021 Presidencia, se consultó al Instituto Nacional Electoral, sobre la factibilidad y autorización a este organismo electoral, para utilizar la urna electrónica en la elección extraordinaria de San Pedro Tlaquepaque, Jalisco; en un porcentaje del 10% del total de casillas que se instalarán en dicha elección.</w:t>
      </w:r>
    </w:p>
    <w:p w:rsidR="00327512" w:rsidRPr="00DE03FA" w:rsidRDefault="00327512" w:rsidP="002A0253">
      <w:pPr>
        <w:jc w:val="both"/>
        <w:rPr>
          <w:rFonts w:ascii="Trebuchet MS" w:hAnsi="Trebuchet MS" w:cs="Arial"/>
          <w:b/>
          <w:sz w:val="23"/>
          <w:szCs w:val="23"/>
        </w:rPr>
      </w:pPr>
    </w:p>
    <w:p w:rsidR="00327512" w:rsidRPr="00DE03FA" w:rsidRDefault="00327512" w:rsidP="002A0253">
      <w:pPr>
        <w:jc w:val="both"/>
        <w:rPr>
          <w:rFonts w:ascii="Trebuchet MS" w:hAnsi="Trebuchet MS" w:cs="Arial"/>
          <w:b/>
          <w:sz w:val="23"/>
          <w:szCs w:val="23"/>
        </w:rPr>
      </w:pPr>
    </w:p>
    <w:p w:rsidR="001418AF" w:rsidRPr="00DE03FA" w:rsidRDefault="00327512" w:rsidP="002A0253">
      <w:pPr>
        <w:jc w:val="both"/>
        <w:rPr>
          <w:rFonts w:ascii="Trebuchet MS" w:hAnsi="Trebuchet MS" w:cs="Arial"/>
          <w:sz w:val="23"/>
          <w:szCs w:val="23"/>
        </w:rPr>
      </w:pPr>
      <w:r w:rsidRPr="00DE03FA">
        <w:rPr>
          <w:rFonts w:ascii="Trebuchet MS" w:hAnsi="Trebuchet MS" w:cs="Arial"/>
          <w:b/>
          <w:sz w:val="23"/>
          <w:szCs w:val="23"/>
        </w:rPr>
        <w:t xml:space="preserve">4. </w:t>
      </w:r>
      <w:r w:rsidR="00CE118A" w:rsidRPr="00DE03FA">
        <w:rPr>
          <w:rFonts w:ascii="Trebuchet MS" w:hAnsi="Trebuchet MS" w:cs="Arial"/>
          <w:b/>
          <w:sz w:val="23"/>
          <w:szCs w:val="23"/>
        </w:rPr>
        <w:t xml:space="preserve">DECLARACIÓN DEL </w:t>
      </w:r>
      <w:r w:rsidR="001418AF" w:rsidRPr="00DE03FA">
        <w:rPr>
          <w:rFonts w:ascii="Trebuchet MS" w:hAnsi="Trebuchet MS" w:cs="Arial"/>
          <w:b/>
          <w:sz w:val="23"/>
          <w:szCs w:val="23"/>
        </w:rPr>
        <w:t xml:space="preserve">INICIO DE FUNCIONES CON EL OBJETO DE PREPARAR, ORGANIZAR, DESARROLLAR Y VIGILAR EL PROCESO ELECTORAL EXTRAORDINARIO </w:t>
      </w:r>
      <w:r w:rsidR="001418AF" w:rsidRPr="00DE03FA">
        <w:rPr>
          <w:rFonts w:ascii="Trebuchet MS" w:hAnsi="Trebuchet MS" w:cs="Arial"/>
          <w:b/>
          <w:sz w:val="23"/>
          <w:szCs w:val="23"/>
        </w:rPr>
        <w:lastRenderedPageBreak/>
        <w:t xml:space="preserve">DOS MIL VEINTIUNO, PARA LA ELECCIÓN DE LA PRESIDENCIA MUNICIPAL, REGIDORAS Y SINDICATURA DEL MUNICIPIO DE SAN PEDRO TLAQUEPAQUE, JALISCO. </w:t>
      </w:r>
      <w:r w:rsidR="001418AF" w:rsidRPr="00DE03FA">
        <w:rPr>
          <w:rFonts w:ascii="Trebuchet MS" w:hAnsi="Trebuchet MS" w:cs="Arial"/>
          <w:sz w:val="23"/>
          <w:szCs w:val="23"/>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1418AF" w:rsidRPr="00DE03FA" w:rsidRDefault="001418AF" w:rsidP="002A0253">
      <w:pPr>
        <w:jc w:val="both"/>
        <w:rPr>
          <w:rFonts w:ascii="Trebuchet MS" w:hAnsi="Trebuchet MS" w:cs="Arial"/>
          <w:b/>
          <w:sz w:val="23"/>
          <w:szCs w:val="23"/>
        </w:rPr>
      </w:pPr>
    </w:p>
    <w:p w:rsidR="001418AF" w:rsidRPr="00DE03FA" w:rsidRDefault="00327512" w:rsidP="002A0253">
      <w:pPr>
        <w:jc w:val="both"/>
        <w:rPr>
          <w:rFonts w:ascii="Trebuchet MS" w:hAnsi="Trebuchet MS"/>
          <w:sz w:val="23"/>
          <w:szCs w:val="23"/>
        </w:rPr>
      </w:pPr>
      <w:r w:rsidRPr="00DE03FA">
        <w:rPr>
          <w:rFonts w:ascii="Trebuchet MS" w:hAnsi="Trebuchet MS"/>
          <w:b/>
          <w:sz w:val="23"/>
          <w:szCs w:val="23"/>
        </w:rPr>
        <w:t>5</w:t>
      </w:r>
      <w:r w:rsidR="001418AF" w:rsidRPr="00DE03FA">
        <w:rPr>
          <w:rFonts w:ascii="Trebuchet MS" w:hAnsi="Trebuchet MS"/>
          <w:b/>
          <w:sz w:val="23"/>
          <w:szCs w:val="23"/>
        </w:rPr>
        <w:t>. A</w:t>
      </w:r>
      <w:r w:rsidR="00CE118A" w:rsidRPr="00DE03FA">
        <w:rPr>
          <w:rFonts w:ascii="Trebuchet MS" w:hAnsi="Trebuchet MS"/>
          <w:b/>
          <w:sz w:val="23"/>
          <w:szCs w:val="23"/>
        </w:rPr>
        <w:t xml:space="preserve">PROBACIÓN DEL </w:t>
      </w:r>
      <w:r w:rsidR="001418AF" w:rsidRPr="00DE03FA">
        <w:rPr>
          <w:rFonts w:ascii="Trebuchet MS" w:hAnsi="Trebuchet MS"/>
          <w:b/>
          <w:sz w:val="23"/>
          <w:szCs w:val="23"/>
        </w:rPr>
        <w:t xml:space="preserve">CALENDARIO INTEGRAL DEL PROCESO ELECTORAL EXTRAORDINARIO DOS MIL VEINTIUNO PARA LA ELECCIÓN DE LA PRESIDENCIA MUNICIPAL, REGIDURÍAS Y SINDICATURA DEL MUNICIPIO DE SAN PEDRO TLAQUEPAQUE, JALISCO. </w:t>
      </w:r>
      <w:r w:rsidR="001418AF" w:rsidRPr="00DE03FA">
        <w:rPr>
          <w:rFonts w:ascii="Trebuchet MS" w:hAnsi="Trebuchet MS"/>
          <w:sz w:val="23"/>
          <w:szCs w:val="23"/>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1418AF" w:rsidRPr="00DE03FA" w:rsidRDefault="001418AF" w:rsidP="002A0253">
      <w:pPr>
        <w:jc w:val="both"/>
        <w:rPr>
          <w:rFonts w:ascii="Trebuchet MS" w:hAnsi="Trebuchet MS"/>
          <w:sz w:val="23"/>
          <w:szCs w:val="23"/>
        </w:rPr>
      </w:pPr>
    </w:p>
    <w:p w:rsidR="001418AF" w:rsidRPr="00DE03FA" w:rsidRDefault="00327512" w:rsidP="002A0253">
      <w:pPr>
        <w:jc w:val="both"/>
        <w:rPr>
          <w:rFonts w:ascii="Trebuchet MS" w:hAnsi="Trebuchet MS"/>
          <w:b/>
          <w:sz w:val="23"/>
          <w:szCs w:val="23"/>
        </w:rPr>
      </w:pPr>
      <w:r w:rsidRPr="00DE03FA">
        <w:rPr>
          <w:rFonts w:ascii="Trebuchet MS" w:hAnsi="Trebuchet MS"/>
          <w:b/>
          <w:sz w:val="23"/>
          <w:szCs w:val="23"/>
        </w:rPr>
        <w:t>6</w:t>
      </w:r>
      <w:r w:rsidR="001418AF" w:rsidRPr="00DE03FA">
        <w:rPr>
          <w:rFonts w:ascii="Trebuchet MS" w:hAnsi="Trebuchet MS"/>
          <w:b/>
          <w:sz w:val="23"/>
          <w:szCs w:val="23"/>
        </w:rPr>
        <w:t xml:space="preserve">. MODIFICACIÓN DEL CALENDARIO INTEGRAL DEL PROCESO ELECTORAL EXTRAORDINARIO DOS MIL VEINTIUNO. </w:t>
      </w:r>
      <w:r w:rsidR="001418AF" w:rsidRPr="00DE03FA">
        <w:rPr>
          <w:rFonts w:ascii="Trebuchet MS" w:hAnsi="Trebuchet MS"/>
          <w:sz w:val="23"/>
          <w:szCs w:val="23"/>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001418AF" w:rsidRPr="00DE03FA">
        <w:rPr>
          <w:rFonts w:ascii="Trebuchet MS" w:hAnsi="Trebuchet MS"/>
          <w:b/>
          <w:sz w:val="23"/>
          <w:szCs w:val="23"/>
        </w:rPr>
        <w:t>.</w:t>
      </w:r>
    </w:p>
    <w:p w:rsidR="00365F8A" w:rsidRPr="00DE03FA" w:rsidRDefault="00365F8A" w:rsidP="002A0253">
      <w:pPr>
        <w:jc w:val="both"/>
        <w:rPr>
          <w:rFonts w:ascii="Trebuchet MS" w:hAnsi="Trebuchet MS"/>
          <w:sz w:val="23"/>
          <w:szCs w:val="23"/>
        </w:rPr>
      </w:pPr>
    </w:p>
    <w:p w:rsidR="00365F8A" w:rsidRPr="00DE03FA" w:rsidRDefault="00365F8A" w:rsidP="002A0253">
      <w:pPr>
        <w:jc w:val="both"/>
        <w:rPr>
          <w:rFonts w:ascii="Trebuchet MS" w:hAnsi="Trebuchet MS"/>
          <w:sz w:val="23"/>
          <w:szCs w:val="23"/>
        </w:rPr>
      </w:pPr>
      <w:r w:rsidRPr="00DE03FA">
        <w:rPr>
          <w:rFonts w:ascii="Trebuchet MS" w:hAnsi="Trebuchet MS"/>
          <w:b/>
          <w:sz w:val="23"/>
          <w:szCs w:val="23"/>
        </w:rPr>
        <w:t>7. RESPUESTA A LA CONSULTA.</w:t>
      </w:r>
      <w:r w:rsidRPr="00DE03FA">
        <w:rPr>
          <w:rFonts w:ascii="Trebuchet MS" w:hAnsi="Trebuchet MS"/>
          <w:sz w:val="23"/>
          <w:szCs w:val="23"/>
        </w:rPr>
        <w:t xml:space="preserve"> Que el dieciocho de octubre se recibió en la Ofici</w:t>
      </w:r>
      <w:r w:rsidR="001003E8" w:rsidRPr="00DE03FA">
        <w:rPr>
          <w:rFonts w:ascii="Trebuchet MS" w:hAnsi="Trebuchet MS"/>
          <w:sz w:val="23"/>
          <w:szCs w:val="23"/>
        </w:rPr>
        <w:t>alía de Partes de este Instituto, el oficio INE/DEO/2522/2021, el cual fue registrado con el folio número</w:t>
      </w:r>
      <w:r w:rsidR="002D2352" w:rsidRPr="00DE03FA">
        <w:rPr>
          <w:rFonts w:ascii="Trebuchet MS" w:hAnsi="Trebuchet MS"/>
          <w:sz w:val="23"/>
          <w:szCs w:val="23"/>
        </w:rPr>
        <w:t xml:space="preserve"> 08726, con el que se dio respuesta a la consulta referida en </w:t>
      </w:r>
      <w:r w:rsidR="0055703D" w:rsidRPr="00DE03FA">
        <w:rPr>
          <w:rFonts w:ascii="Trebuchet MS" w:hAnsi="Trebuchet MS"/>
          <w:sz w:val="23"/>
          <w:szCs w:val="23"/>
        </w:rPr>
        <w:t>antecedente 3</w:t>
      </w:r>
      <w:r w:rsidR="002D2352" w:rsidRPr="00DE03FA">
        <w:rPr>
          <w:rFonts w:ascii="Trebuchet MS" w:hAnsi="Trebuchet MS"/>
          <w:sz w:val="23"/>
          <w:szCs w:val="23"/>
        </w:rPr>
        <w:t>.</w:t>
      </w:r>
    </w:p>
    <w:p w:rsidR="00B55FF1" w:rsidRPr="00DE03FA" w:rsidRDefault="00B55FF1" w:rsidP="002A0253">
      <w:pPr>
        <w:jc w:val="both"/>
        <w:rPr>
          <w:rFonts w:ascii="Trebuchet MS" w:hAnsi="Trebuchet MS"/>
          <w:sz w:val="23"/>
          <w:szCs w:val="23"/>
        </w:rPr>
      </w:pPr>
    </w:p>
    <w:p w:rsidR="007B1901" w:rsidRPr="00DE03FA" w:rsidRDefault="007B1901" w:rsidP="002A0253">
      <w:pPr>
        <w:jc w:val="center"/>
        <w:rPr>
          <w:rFonts w:ascii="Trebuchet MS" w:hAnsi="Trebuchet MS" w:cs="Arial"/>
          <w:b/>
          <w:sz w:val="23"/>
          <w:szCs w:val="23"/>
          <w:lang w:val="pt-BR"/>
        </w:rPr>
      </w:pPr>
      <w:r w:rsidRPr="00DE03FA">
        <w:rPr>
          <w:rFonts w:ascii="Trebuchet MS" w:hAnsi="Trebuchet MS" w:cs="Arial"/>
          <w:b/>
          <w:sz w:val="23"/>
          <w:szCs w:val="23"/>
          <w:lang w:val="pt-BR"/>
        </w:rPr>
        <w:t>C O N S I D E R A N D O</w:t>
      </w:r>
    </w:p>
    <w:p w:rsidR="007B1901" w:rsidRPr="00DE03FA" w:rsidRDefault="007B1901" w:rsidP="002A0253">
      <w:pPr>
        <w:jc w:val="both"/>
        <w:rPr>
          <w:rFonts w:ascii="Trebuchet MS" w:hAnsi="Trebuchet MS" w:cs="Arial"/>
          <w:b/>
          <w:sz w:val="23"/>
          <w:szCs w:val="23"/>
          <w:lang w:val="pt-BR"/>
        </w:rPr>
      </w:pPr>
    </w:p>
    <w:p w:rsidR="00C1574E" w:rsidRPr="00DE03FA" w:rsidRDefault="00C1574E" w:rsidP="002A0253">
      <w:pPr>
        <w:jc w:val="both"/>
        <w:rPr>
          <w:rFonts w:ascii="Trebuchet MS" w:eastAsia="Calibri" w:hAnsi="Trebuchet MS" w:cs="Arial"/>
          <w:sz w:val="23"/>
          <w:szCs w:val="23"/>
          <w:lang w:eastAsia="ar-SA"/>
        </w:rPr>
      </w:pPr>
      <w:r w:rsidRPr="00DE03FA">
        <w:rPr>
          <w:rFonts w:ascii="Trebuchet MS" w:eastAsia="Calibri" w:hAnsi="Trebuchet MS" w:cs="Arial"/>
          <w:b/>
          <w:sz w:val="23"/>
          <w:szCs w:val="23"/>
          <w:lang w:eastAsia="ar-SA"/>
        </w:rPr>
        <w:t xml:space="preserve">I. DEL INSTITUTO ELECTORAL Y DE PARTICIPACIÓN CIUDADANA DEL ESTADO DE JALISCO. </w:t>
      </w:r>
      <w:r w:rsidRPr="00DE03FA">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1574E" w:rsidRPr="00DE03FA" w:rsidRDefault="00C1574E" w:rsidP="002A0253">
      <w:pPr>
        <w:jc w:val="both"/>
        <w:rPr>
          <w:rFonts w:ascii="Trebuchet MS" w:hAnsi="Trebuchet MS" w:cs="Arial"/>
          <w:sz w:val="23"/>
          <w:szCs w:val="23"/>
          <w:lang w:eastAsia="ar-SA"/>
        </w:rPr>
      </w:pPr>
    </w:p>
    <w:p w:rsidR="00C1574E" w:rsidRPr="00DE03FA" w:rsidRDefault="00C1574E" w:rsidP="002A0253">
      <w:pPr>
        <w:jc w:val="both"/>
        <w:rPr>
          <w:rFonts w:ascii="Trebuchet MS" w:hAnsi="Trebuchet MS" w:cs="Arial"/>
          <w:sz w:val="23"/>
          <w:szCs w:val="23"/>
        </w:rPr>
      </w:pPr>
      <w:r w:rsidRPr="00DE03FA">
        <w:rPr>
          <w:rFonts w:ascii="Trebuchet MS" w:hAnsi="Trebuchet MS" w:cs="Arial"/>
          <w:b/>
          <w:bCs/>
          <w:sz w:val="23"/>
          <w:szCs w:val="23"/>
        </w:rPr>
        <w:lastRenderedPageBreak/>
        <w:t>II.</w:t>
      </w:r>
      <w:r w:rsidRPr="00DE03FA">
        <w:rPr>
          <w:rFonts w:ascii="Trebuchet MS" w:hAnsi="Trebuchet MS" w:cs="Arial"/>
          <w:bCs/>
          <w:sz w:val="23"/>
          <w:szCs w:val="23"/>
        </w:rPr>
        <w:t xml:space="preserve"> </w:t>
      </w:r>
      <w:r w:rsidRPr="00DE03FA">
        <w:rPr>
          <w:rFonts w:ascii="Trebuchet MS" w:hAnsi="Trebuchet MS"/>
          <w:b/>
          <w:bCs/>
          <w:sz w:val="23"/>
          <w:szCs w:val="23"/>
        </w:rPr>
        <w:t xml:space="preserve">DEL CONSEJO GENERAL. </w:t>
      </w:r>
      <w:r w:rsidRPr="00DE03FA">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E03FA">
        <w:rPr>
          <w:rFonts w:ascii="Trebuchet MS" w:hAnsi="Trebuchet MS" w:cs="Tahoma"/>
          <w:bCs/>
          <w:sz w:val="23"/>
          <w:szCs w:val="23"/>
          <w:lang w:val="es-ES_tradnl"/>
        </w:rPr>
        <w:t xml:space="preserve">atribuciones se encuentran: vigilar el cumplimiento de esta legislación y las disposiciones que con base en ella se dicten; </w:t>
      </w:r>
      <w:r w:rsidR="005D7FC9" w:rsidRPr="00DE03FA">
        <w:rPr>
          <w:rFonts w:ascii="Trebuchet MS" w:hAnsi="Trebuchet MS" w:cs="Tahoma"/>
          <w:bCs/>
          <w:sz w:val="23"/>
          <w:szCs w:val="23"/>
          <w:lang w:val="es-ES_tradnl"/>
        </w:rPr>
        <w:t xml:space="preserve">así </w:t>
      </w:r>
      <w:r w:rsidRPr="00DE03FA">
        <w:rPr>
          <w:rFonts w:ascii="Trebuchet MS" w:hAnsi="Trebuchet MS" w:cs="Tahoma"/>
          <w:bCs/>
          <w:sz w:val="23"/>
          <w:szCs w:val="23"/>
          <w:lang w:val="es-ES_tradnl"/>
        </w:rPr>
        <w:t>como dictar los acuerdos necesarios para hacer efectivas sus atribuciones, de conformidad con lo dispuesto por los artículos</w:t>
      </w:r>
      <w:r w:rsidRPr="00DE03FA">
        <w:rPr>
          <w:rFonts w:ascii="Trebuchet MS" w:hAnsi="Trebuchet MS"/>
          <w:sz w:val="23"/>
          <w:szCs w:val="23"/>
        </w:rPr>
        <w:t xml:space="preserve"> 12, Bases I y IV de la Constitución Política local; 120 y 134, </w:t>
      </w:r>
      <w:r w:rsidRPr="00DE03FA">
        <w:rPr>
          <w:rFonts w:ascii="Trebuchet MS" w:hAnsi="Trebuchet MS" w:cs="Arial"/>
          <w:sz w:val="23"/>
          <w:szCs w:val="23"/>
        </w:rPr>
        <w:t>párrafo 1, fracciones  LI y LII del Código Electoral del Estado de Jalisco.</w:t>
      </w:r>
    </w:p>
    <w:p w:rsidR="00C1574E" w:rsidRPr="00DE03FA" w:rsidRDefault="00C1574E" w:rsidP="002A0253">
      <w:pPr>
        <w:jc w:val="both"/>
        <w:rPr>
          <w:rFonts w:ascii="Trebuchet MS" w:hAnsi="Trebuchet MS" w:cs="Arial"/>
          <w:sz w:val="23"/>
          <w:szCs w:val="23"/>
        </w:rPr>
      </w:pPr>
    </w:p>
    <w:p w:rsidR="007D3609" w:rsidRPr="00DE03FA" w:rsidRDefault="007D3609" w:rsidP="002A0253">
      <w:pPr>
        <w:pStyle w:val="Sinespaciado"/>
        <w:jc w:val="both"/>
        <w:rPr>
          <w:rFonts w:ascii="Trebuchet MS" w:hAnsi="Trebuchet MS"/>
          <w:sz w:val="23"/>
          <w:szCs w:val="23"/>
          <w:lang w:val="es-ES_tradnl"/>
        </w:rPr>
      </w:pPr>
      <w:r w:rsidRPr="00DE03FA">
        <w:rPr>
          <w:rFonts w:ascii="Trebuchet MS" w:hAnsi="Trebuchet MS"/>
          <w:b/>
          <w:sz w:val="23"/>
          <w:szCs w:val="23"/>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DE03FA">
        <w:rPr>
          <w:rFonts w:ascii="Trebuchet MS" w:hAnsi="Trebuchet MS"/>
          <w:sz w:val="23"/>
          <w:szCs w:val="23"/>
          <w:lang w:val="es-ES_tradnl"/>
        </w:rPr>
        <w:t xml:space="preserve">Que tal como se estableció en el antecedente </w:t>
      </w:r>
      <w:r w:rsidR="00327512" w:rsidRPr="00DE03FA">
        <w:rPr>
          <w:rFonts w:ascii="Trebuchet MS" w:hAnsi="Trebuchet MS"/>
          <w:sz w:val="23"/>
          <w:szCs w:val="23"/>
          <w:lang w:val="es-ES_tradnl"/>
        </w:rPr>
        <w:t>1</w:t>
      </w:r>
      <w:r w:rsidRPr="00DE03FA">
        <w:rPr>
          <w:rFonts w:ascii="Trebuchet MS" w:hAnsi="Trebuchet MS"/>
          <w:sz w:val="23"/>
          <w:szCs w:val="23"/>
          <w:lang w:val="es-ES_tradnl"/>
        </w:rPr>
        <w:t xml:space="preserve"> de</w:t>
      </w:r>
      <w:r w:rsidR="00D61F2C" w:rsidRPr="00DE03FA">
        <w:rPr>
          <w:rFonts w:ascii="Trebuchet MS" w:hAnsi="Trebuchet MS"/>
          <w:sz w:val="23"/>
          <w:szCs w:val="23"/>
          <w:lang w:val="es-ES_tradnl"/>
        </w:rPr>
        <w:t xml:space="preserve"> este acuerdo</w:t>
      </w:r>
      <w:r w:rsidRPr="00DE03FA">
        <w:rPr>
          <w:rFonts w:ascii="Trebuchet MS" w:hAnsi="Trebuchet MS"/>
          <w:sz w:val="23"/>
          <w:szCs w:val="23"/>
          <w:lang w:val="es-ES_tradnl"/>
        </w:rPr>
        <w:t>,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7D3609" w:rsidRPr="00DE03FA" w:rsidRDefault="007D3609" w:rsidP="002A0253">
      <w:pPr>
        <w:pStyle w:val="Sinespaciado"/>
        <w:jc w:val="both"/>
        <w:rPr>
          <w:rFonts w:ascii="Trebuchet MS" w:hAnsi="Trebuchet MS"/>
          <w:sz w:val="23"/>
          <w:szCs w:val="23"/>
          <w:lang w:val="es-ES_tradnl"/>
        </w:rPr>
      </w:pPr>
    </w:p>
    <w:p w:rsidR="007D3609" w:rsidRPr="00DE03FA" w:rsidRDefault="007D3609" w:rsidP="002A0253">
      <w:pPr>
        <w:pStyle w:val="Sinespaciado"/>
        <w:numPr>
          <w:ilvl w:val="0"/>
          <w:numId w:val="10"/>
        </w:numPr>
        <w:jc w:val="both"/>
        <w:rPr>
          <w:rFonts w:ascii="Trebuchet MS" w:hAnsi="Trebuchet MS"/>
          <w:sz w:val="23"/>
          <w:szCs w:val="23"/>
        </w:rPr>
      </w:pPr>
      <w:r w:rsidRPr="00DE03FA">
        <w:rPr>
          <w:rFonts w:ascii="Trebuchet MS" w:hAnsi="Trebuchet MS"/>
          <w:sz w:val="23"/>
          <w:szCs w:val="23"/>
          <w:lang w:val="es-ES_tradnl"/>
        </w:rPr>
        <w:t xml:space="preserve">Se declara </w:t>
      </w:r>
      <w:r w:rsidRPr="00DE03FA">
        <w:rPr>
          <w:rFonts w:ascii="Trebuchet MS" w:hAnsi="Trebuchet MS"/>
          <w:sz w:val="23"/>
          <w:szCs w:val="23"/>
        </w:rPr>
        <w:t xml:space="preserve">la nulidad de la elección de integrantes del Ayuntamiento de San Pedro Tlaquepaque, Jalisco, celebrada en el marco del Proceso Electoral Local Ordinario 2020-2021. </w:t>
      </w:r>
    </w:p>
    <w:p w:rsidR="007D3609" w:rsidRPr="00DE03FA" w:rsidRDefault="007D3609" w:rsidP="002A0253">
      <w:pPr>
        <w:pStyle w:val="Sinespaciado"/>
        <w:jc w:val="both"/>
        <w:rPr>
          <w:rFonts w:ascii="Trebuchet MS" w:hAnsi="Trebuchet MS"/>
          <w:sz w:val="23"/>
          <w:szCs w:val="23"/>
        </w:rPr>
      </w:pPr>
    </w:p>
    <w:p w:rsidR="007D3609" w:rsidRPr="00DE03FA" w:rsidRDefault="007D3609" w:rsidP="002A0253">
      <w:pPr>
        <w:pStyle w:val="Sinespaciado"/>
        <w:numPr>
          <w:ilvl w:val="0"/>
          <w:numId w:val="10"/>
        </w:numPr>
        <w:jc w:val="both"/>
        <w:rPr>
          <w:rFonts w:ascii="Trebuchet MS" w:hAnsi="Trebuchet MS"/>
          <w:sz w:val="23"/>
          <w:szCs w:val="23"/>
        </w:rPr>
      </w:pPr>
      <w:r w:rsidRPr="00DE03FA">
        <w:rPr>
          <w:rFonts w:ascii="Trebuchet MS" w:hAnsi="Trebuchet MS"/>
          <w:sz w:val="23"/>
          <w:szCs w:val="23"/>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7D3609" w:rsidRPr="00DE03FA" w:rsidRDefault="007D3609" w:rsidP="002A0253">
      <w:pPr>
        <w:pStyle w:val="Sinespaciado"/>
        <w:jc w:val="both"/>
        <w:rPr>
          <w:rFonts w:ascii="Trebuchet MS" w:hAnsi="Trebuchet MS"/>
          <w:sz w:val="23"/>
          <w:szCs w:val="23"/>
        </w:rPr>
      </w:pPr>
    </w:p>
    <w:p w:rsidR="007D3609" w:rsidRPr="00DE03FA" w:rsidRDefault="007D3609" w:rsidP="002A0253">
      <w:pPr>
        <w:pStyle w:val="Sinespaciado"/>
        <w:numPr>
          <w:ilvl w:val="0"/>
          <w:numId w:val="10"/>
        </w:numPr>
        <w:jc w:val="both"/>
        <w:rPr>
          <w:rFonts w:ascii="Trebuchet MS" w:hAnsi="Trebuchet MS"/>
          <w:sz w:val="23"/>
          <w:szCs w:val="23"/>
        </w:rPr>
      </w:pPr>
      <w:r w:rsidRPr="00DE03FA">
        <w:rPr>
          <w:rFonts w:ascii="Trebuchet MS" w:hAnsi="Trebuchet MS"/>
          <w:sz w:val="23"/>
          <w:szCs w:val="23"/>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7D3609" w:rsidRPr="00DE03FA" w:rsidRDefault="007D3609" w:rsidP="002A0253">
      <w:pPr>
        <w:pStyle w:val="Sinespaciado"/>
        <w:jc w:val="both"/>
        <w:rPr>
          <w:rFonts w:ascii="Trebuchet MS" w:hAnsi="Trebuchet MS"/>
          <w:sz w:val="23"/>
          <w:szCs w:val="23"/>
        </w:rPr>
      </w:pPr>
    </w:p>
    <w:p w:rsidR="007D3609" w:rsidRPr="00DE03FA" w:rsidRDefault="007D3609" w:rsidP="002A0253">
      <w:pPr>
        <w:pStyle w:val="Sinespaciado"/>
        <w:numPr>
          <w:ilvl w:val="0"/>
          <w:numId w:val="10"/>
        </w:numPr>
        <w:jc w:val="both"/>
        <w:rPr>
          <w:rFonts w:ascii="Trebuchet MS" w:hAnsi="Trebuchet MS"/>
          <w:i/>
          <w:sz w:val="23"/>
          <w:szCs w:val="23"/>
        </w:rPr>
      </w:pPr>
      <w:r w:rsidRPr="00DE03FA">
        <w:rPr>
          <w:rFonts w:ascii="Trebuchet MS" w:hAnsi="Trebuchet MS"/>
          <w:sz w:val="23"/>
          <w:szCs w:val="23"/>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7D3609" w:rsidRPr="00DE03FA" w:rsidRDefault="007D3609" w:rsidP="002A0253">
      <w:pPr>
        <w:pStyle w:val="Sinespaciado"/>
        <w:jc w:val="both"/>
        <w:rPr>
          <w:rFonts w:ascii="Trebuchet MS" w:hAnsi="Trebuchet MS"/>
          <w:bCs/>
          <w:sz w:val="23"/>
          <w:szCs w:val="23"/>
        </w:rPr>
      </w:pPr>
    </w:p>
    <w:p w:rsidR="007D3609" w:rsidRPr="00DE03FA" w:rsidRDefault="007D3609" w:rsidP="002A0253">
      <w:pPr>
        <w:pStyle w:val="Sinespaciado"/>
        <w:jc w:val="both"/>
        <w:rPr>
          <w:rFonts w:ascii="Trebuchet MS" w:hAnsi="Trebuchet MS"/>
          <w:bCs/>
          <w:sz w:val="23"/>
          <w:szCs w:val="23"/>
        </w:rPr>
      </w:pPr>
      <w:r w:rsidRPr="00DE03FA">
        <w:rPr>
          <w:rFonts w:ascii="Trebuchet MS" w:hAnsi="Trebuchet MS"/>
          <w:b/>
          <w:bCs/>
          <w:sz w:val="23"/>
          <w:szCs w:val="23"/>
        </w:rPr>
        <w:t xml:space="preserve">IV. </w:t>
      </w:r>
      <w:r w:rsidR="0012799A" w:rsidRPr="00DE03FA">
        <w:rPr>
          <w:rFonts w:ascii="Trebuchet MS" w:hAnsi="Trebuchet MS"/>
          <w:b/>
          <w:bCs/>
          <w:kern w:val="2"/>
          <w:sz w:val="23"/>
          <w:szCs w:val="23"/>
        </w:rPr>
        <w:t>DE LA CELEBRACIÓN DE ELECCIONES EXTRAORDINARIAS EN EL MUNICIPIO DE SAN PEDRO TLAQUEPAQUE, JALISCO</w:t>
      </w:r>
      <w:r w:rsidRPr="00DE03FA">
        <w:rPr>
          <w:rFonts w:ascii="Trebuchet MS" w:hAnsi="Trebuchet MS"/>
          <w:bCs/>
          <w:sz w:val="23"/>
          <w:szCs w:val="23"/>
        </w:rPr>
        <w:t xml:space="preserve">. Que tal como fue señalado en el antecedente </w:t>
      </w:r>
      <w:r w:rsidR="00327512" w:rsidRPr="00DE03FA">
        <w:rPr>
          <w:rFonts w:ascii="Trebuchet MS" w:hAnsi="Trebuchet MS"/>
          <w:bCs/>
          <w:sz w:val="23"/>
          <w:szCs w:val="23"/>
        </w:rPr>
        <w:t>2</w:t>
      </w:r>
      <w:r w:rsidRPr="00DE03FA">
        <w:rPr>
          <w:rFonts w:ascii="Trebuchet MS" w:hAnsi="Trebuchet MS"/>
          <w:bCs/>
          <w:sz w:val="23"/>
          <w:szCs w:val="23"/>
        </w:rPr>
        <w:t xml:space="preserve"> 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w:t>
      </w:r>
      <w:r w:rsidR="00327512" w:rsidRPr="00DE03FA">
        <w:rPr>
          <w:rFonts w:ascii="Trebuchet MS" w:hAnsi="Trebuchet MS"/>
          <w:bCs/>
          <w:sz w:val="23"/>
          <w:szCs w:val="23"/>
        </w:rPr>
        <w:t xml:space="preserve">isco. En dicha convocatoria se estableció </w:t>
      </w:r>
      <w:r w:rsidR="00D90806" w:rsidRPr="00DE03FA">
        <w:rPr>
          <w:rFonts w:ascii="Trebuchet MS" w:hAnsi="Trebuchet MS"/>
          <w:bCs/>
          <w:sz w:val="23"/>
          <w:szCs w:val="23"/>
        </w:rPr>
        <w:t xml:space="preserve">en la base cuarta, que </w:t>
      </w:r>
      <w:r w:rsidR="00D90806" w:rsidRPr="00DE03FA">
        <w:rPr>
          <w:rFonts w:ascii="Trebuchet MS" w:hAnsi="Trebuchet MS"/>
          <w:bCs/>
          <w:i/>
          <w:sz w:val="23"/>
          <w:szCs w:val="23"/>
        </w:rPr>
        <w:t>“se faculta al Instituto Electoral y de Participación Ciudadana del Estado de Jalisco, para que implemente la votación a través de la urna electrónica si las condiciones lo permiten”.</w:t>
      </w:r>
      <w:r w:rsidR="00327512" w:rsidRPr="00DE03FA">
        <w:rPr>
          <w:rFonts w:ascii="Trebuchet MS" w:hAnsi="Trebuchet MS"/>
          <w:bCs/>
          <w:sz w:val="23"/>
          <w:szCs w:val="23"/>
        </w:rPr>
        <w:t xml:space="preserve"> </w:t>
      </w:r>
    </w:p>
    <w:p w:rsidR="007D3609" w:rsidRPr="00DE03FA" w:rsidRDefault="007D3609" w:rsidP="002A0253">
      <w:pPr>
        <w:pStyle w:val="Sinespaciado"/>
        <w:jc w:val="both"/>
        <w:rPr>
          <w:rFonts w:ascii="Trebuchet MS" w:hAnsi="Trebuchet MS"/>
          <w:bCs/>
          <w:sz w:val="23"/>
          <w:szCs w:val="23"/>
        </w:rPr>
      </w:pPr>
    </w:p>
    <w:p w:rsidR="007D3609" w:rsidRPr="00DE03FA" w:rsidRDefault="007D3609" w:rsidP="002A0253">
      <w:pPr>
        <w:pStyle w:val="Sinespaciado"/>
        <w:jc w:val="both"/>
        <w:rPr>
          <w:rFonts w:ascii="Trebuchet MS" w:hAnsi="Trebuchet MS"/>
          <w:bCs/>
          <w:sz w:val="23"/>
          <w:szCs w:val="23"/>
        </w:rPr>
      </w:pPr>
      <w:r w:rsidRPr="00DE03FA">
        <w:rPr>
          <w:rFonts w:ascii="Trebuchet MS" w:hAnsi="Trebuchet MS"/>
          <w:bCs/>
          <w:sz w:val="23"/>
          <w:szCs w:val="23"/>
        </w:rPr>
        <w:t>En cumplimiento a lo señalado en el párrafo que antecede, este Consejo General del Instituto Electoral y de Participación Ciudadana del Estado de Jalisco,</w:t>
      </w:r>
      <w:r w:rsidR="0032219D" w:rsidRPr="00DE03FA">
        <w:rPr>
          <w:rFonts w:ascii="Trebuchet MS" w:hAnsi="Trebuchet MS"/>
          <w:bCs/>
          <w:sz w:val="23"/>
          <w:szCs w:val="23"/>
        </w:rPr>
        <w:t xml:space="preserve"> mediante acuerdo IEPC-ACG-326/2021,</w:t>
      </w:r>
      <w:r w:rsidRPr="00DE03FA">
        <w:rPr>
          <w:rFonts w:ascii="Trebuchet MS" w:hAnsi="Trebuchet MS"/>
          <w:bCs/>
          <w:sz w:val="23"/>
          <w:szCs w:val="23"/>
        </w:rPr>
        <w:t xml:space="preserve"> decretó el formal inicio de sus funciones para organizar el </w:t>
      </w:r>
      <w:r w:rsidRPr="00DE03FA">
        <w:rPr>
          <w:rFonts w:ascii="Trebuchet MS" w:hAnsi="Trebuchet MS"/>
          <w:sz w:val="23"/>
          <w:szCs w:val="23"/>
        </w:rPr>
        <w:t>Proceso Electoral Extraordinario dos mil veintiuno, para la elección de la presidencia municipal, regidurías y sindicatura del municipio de San Pedro Tlaquepaque, Jalisco</w:t>
      </w:r>
      <w:r w:rsidRPr="00DE03FA">
        <w:rPr>
          <w:rFonts w:ascii="Trebuchet MS" w:hAnsi="Trebuchet MS"/>
          <w:bCs/>
          <w:sz w:val="23"/>
          <w:szCs w:val="23"/>
        </w:rPr>
        <w:t>; de igual forma, convocó a los partidos políticos que en la actualidad cuenten con registro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7B1901" w:rsidRPr="00DE03FA" w:rsidRDefault="007B1901" w:rsidP="002A0253">
      <w:pPr>
        <w:suppressAutoHyphens/>
        <w:autoSpaceDE w:val="0"/>
        <w:autoSpaceDN w:val="0"/>
        <w:adjustRightInd w:val="0"/>
        <w:jc w:val="both"/>
        <w:rPr>
          <w:rFonts w:ascii="Trebuchet MS" w:hAnsi="Trebuchet MS" w:cs="Arial"/>
          <w:b/>
          <w:bCs/>
          <w:sz w:val="23"/>
          <w:szCs w:val="23"/>
        </w:rPr>
      </w:pPr>
    </w:p>
    <w:p w:rsidR="00C723D7" w:rsidRPr="00DE03FA" w:rsidRDefault="007B1901" w:rsidP="00C723D7">
      <w:pPr>
        <w:suppressAutoHyphens/>
        <w:autoSpaceDE w:val="0"/>
        <w:autoSpaceDN w:val="0"/>
        <w:adjustRightInd w:val="0"/>
        <w:jc w:val="both"/>
        <w:rPr>
          <w:rFonts w:ascii="Trebuchet MS" w:hAnsi="Trebuchet MS"/>
          <w:sz w:val="23"/>
          <w:szCs w:val="23"/>
        </w:rPr>
      </w:pPr>
      <w:r w:rsidRPr="00DE03FA">
        <w:rPr>
          <w:rFonts w:ascii="Trebuchet MS" w:hAnsi="Trebuchet MS" w:cs="Arial"/>
          <w:b/>
          <w:bCs/>
          <w:sz w:val="23"/>
          <w:szCs w:val="23"/>
        </w:rPr>
        <w:t>V.</w:t>
      </w:r>
      <w:r w:rsidRPr="00DE03FA">
        <w:rPr>
          <w:rFonts w:ascii="Trebuchet MS" w:hAnsi="Trebuchet MS" w:cs="Arial"/>
          <w:b/>
          <w:bCs/>
          <w:sz w:val="23"/>
          <w:szCs w:val="23"/>
          <w:lang w:eastAsia="ar-SA"/>
        </w:rPr>
        <w:t xml:space="preserve"> </w:t>
      </w:r>
      <w:r w:rsidR="00C723D7" w:rsidRPr="00DE03FA">
        <w:rPr>
          <w:rFonts w:ascii="Trebuchet MS" w:hAnsi="Trebuchet MS" w:cs="Arial"/>
          <w:b/>
          <w:bCs/>
          <w:sz w:val="23"/>
          <w:szCs w:val="23"/>
          <w:lang w:eastAsia="ar-SA"/>
        </w:rPr>
        <w:t xml:space="preserve">DE LA </w:t>
      </w:r>
      <w:r w:rsidR="00C723D7" w:rsidRPr="00DE03FA">
        <w:rPr>
          <w:rFonts w:ascii="Trebuchet MS" w:hAnsi="Trebuchet MS"/>
          <w:b/>
          <w:sz w:val="23"/>
          <w:szCs w:val="23"/>
        </w:rPr>
        <w:t xml:space="preserve">CONSULTA REALIZADA AL INSTITUTO NACIONAL ELECTORAL. </w:t>
      </w:r>
      <w:r w:rsidR="00C723D7" w:rsidRPr="00DE03FA">
        <w:rPr>
          <w:rFonts w:ascii="Trebuchet MS" w:hAnsi="Trebuchet MS"/>
          <w:sz w:val="23"/>
          <w:szCs w:val="23"/>
        </w:rPr>
        <w:t>Que tal como s</w:t>
      </w:r>
      <w:r w:rsidR="00D90806" w:rsidRPr="00DE03FA">
        <w:rPr>
          <w:rFonts w:ascii="Trebuchet MS" w:hAnsi="Trebuchet MS"/>
          <w:sz w:val="23"/>
          <w:szCs w:val="23"/>
        </w:rPr>
        <w:t>e estableció en el antecedente 3</w:t>
      </w:r>
      <w:r w:rsidR="00C723D7" w:rsidRPr="00DE03FA">
        <w:rPr>
          <w:rFonts w:ascii="Trebuchet MS" w:hAnsi="Trebuchet MS"/>
          <w:sz w:val="23"/>
          <w:szCs w:val="23"/>
        </w:rPr>
        <w:t xml:space="preserve"> de este acuerdo, el </w:t>
      </w:r>
      <w:r w:rsidR="00D90806" w:rsidRPr="00DE03FA">
        <w:rPr>
          <w:rFonts w:ascii="Trebuchet MS" w:hAnsi="Trebuchet MS"/>
          <w:sz w:val="23"/>
          <w:szCs w:val="23"/>
        </w:rPr>
        <w:t>cuatro</w:t>
      </w:r>
      <w:r w:rsidR="00C723D7" w:rsidRPr="00DE03FA">
        <w:rPr>
          <w:rFonts w:ascii="Trebuchet MS" w:hAnsi="Trebuchet MS"/>
          <w:sz w:val="23"/>
          <w:szCs w:val="23"/>
        </w:rPr>
        <w:t xml:space="preserve"> de octubre del año en curso, mediante oficio 1243/2021 Presidencia, se consultó al Instituto Nacional Electoral, sobre la factibilidad y autorización a este organismo electoral, para utilizar la urna electrónica en la elección extraordinaria de San Pedro Tlaquepaque, Jalisco; en un porcentaje del 10% del total de casillas que se instalarán en dicha elección.</w:t>
      </w:r>
    </w:p>
    <w:p w:rsidR="007B1901" w:rsidRPr="00DE03FA" w:rsidRDefault="007B1901" w:rsidP="002A0253">
      <w:pPr>
        <w:jc w:val="both"/>
        <w:rPr>
          <w:rFonts w:ascii="Trebuchet MS" w:hAnsi="Trebuchet MS" w:cs="Arial"/>
          <w:b/>
          <w:bCs/>
          <w:sz w:val="23"/>
          <w:szCs w:val="23"/>
          <w:highlight w:val="green"/>
        </w:rPr>
      </w:pPr>
    </w:p>
    <w:p w:rsidR="008C3207" w:rsidRPr="00DE03FA" w:rsidRDefault="007B1901" w:rsidP="008A6527">
      <w:pPr>
        <w:jc w:val="both"/>
        <w:rPr>
          <w:rFonts w:ascii="Trebuchet MS" w:hAnsi="Trebuchet MS"/>
          <w:sz w:val="23"/>
          <w:szCs w:val="23"/>
        </w:rPr>
      </w:pPr>
      <w:r w:rsidRPr="00DE03FA">
        <w:rPr>
          <w:rFonts w:ascii="Trebuchet MS" w:hAnsi="Trebuchet MS" w:cs="Arial"/>
          <w:b/>
          <w:bCs/>
          <w:sz w:val="23"/>
          <w:szCs w:val="23"/>
        </w:rPr>
        <w:t>VI.</w:t>
      </w:r>
      <w:r w:rsidRPr="00DE03FA">
        <w:rPr>
          <w:rFonts w:ascii="Trebuchet MS" w:hAnsi="Trebuchet MS" w:cs="Arial"/>
          <w:bCs/>
          <w:sz w:val="23"/>
          <w:szCs w:val="23"/>
        </w:rPr>
        <w:t xml:space="preserve"> </w:t>
      </w:r>
      <w:r w:rsidR="008C3207" w:rsidRPr="00DE03FA">
        <w:rPr>
          <w:rFonts w:ascii="Trebuchet MS" w:hAnsi="Trebuchet MS" w:cs="Arial"/>
          <w:b/>
          <w:bCs/>
          <w:sz w:val="23"/>
          <w:szCs w:val="23"/>
        </w:rPr>
        <w:t>DE LA RESPUESTA A LA CONSULTA.</w:t>
      </w:r>
      <w:r w:rsidR="008C3207" w:rsidRPr="00DE03FA">
        <w:rPr>
          <w:rFonts w:ascii="Trebuchet MS" w:hAnsi="Trebuchet MS" w:cs="Arial"/>
          <w:bCs/>
          <w:sz w:val="23"/>
          <w:szCs w:val="23"/>
        </w:rPr>
        <w:t xml:space="preserve"> </w:t>
      </w:r>
      <w:r w:rsidR="008A6527" w:rsidRPr="00DE03FA">
        <w:rPr>
          <w:rFonts w:ascii="Trebuchet MS" w:hAnsi="Trebuchet MS" w:cs="Arial"/>
          <w:bCs/>
          <w:sz w:val="23"/>
          <w:szCs w:val="23"/>
        </w:rPr>
        <w:t xml:space="preserve">Que tal como se estableció en el antecedente 7 de este acuerdo, el dieciocho de octubre de dos mil veintiuno, </w:t>
      </w:r>
      <w:r w:rsidR="008C3207" w:rsidRPr="00DE03FA">
        <w:rPr>
          <w:rFonts w:ascii="Trebuchet MS" w:hAnsi="Trebuchet MS"/>
          <w:sz w:val="23"/>
          <w:szCs w:val="23"/>
        </w:rPr>
        <w:t>se recibió en la Oficialía de Partes de este Instituto, el oficio INE/DEO</w:t>
      </w:r>
      <w:r w:rsidR="00D90806" w:rsidRPr="00DE03FA">
        <w:rPr>
          <w:rFonts w:ascii="Trebuchet MS" w:hAnsi="Trebuchet MS"/>
          <w:sz w:val="23"/>
          <w:szCs w:val="23"/>
        </w:rPr>
        <w:t>E</w:t>
      </w:r>
      <w:r w:rsidR="008C3207" w:rsidRPr="00DE03FA">
        <w:rPr>
          <w:rFonts w:ascii="Trebuchet MS" w:hAnsi="Trebuchet MS"/>
          <w:sz w:val="23"/>
          <w:szCs w:val="23"/>
        </w:rPr>
        <w:t xml:space="preserve">/2522/2021, el cual fue registrado con el folio número 08726, con el que </w:t>
      </w:r>
      <w:r w:rsidR="00C854D3" w:rsidRPr="00DE03FA">
        <w:rPr>
          <w:rFonts w:ascii="Trebuchet MS" w:hAnsi="Trebuchet MS"/>
          <w:sz w:val="23"/>
          <w:szCs w:val="23"/>
        </w:rPr>
        <w:t xml:space="preserve">el secretario técnico del Registro Federal de Electores del Instituto Nacional Electoral, </w:t>
      </w:r>
      <w:r w:rsidR="008C3207" w:rsidRPr="00DE03FA">
        <w:rPr>
          <w:rFonts w:ascii="Trebuchet MS" w:hAnsi="Trebuchet MS"/>
          <w:sz w:val="23"/>
          <w:szCs w:val="23"/>
        </w:rPr>
        <w:t>dio respuesta a la consulta referida en el párrafo que antecede</w:t>
      </w:r>
      <w:r w:rsidR="0094340F" w:rsidRPr="00DE03FA">
        <w:rPr>
          <w:rFonts w:ascii="Trebuchet MS" w:hAnsi="Trebuchet MS"/>
          <w:sz w:val="23"/>
          <w:szCs w:val="23"/>
        </w:rPr>
        <w:t xml:space="preserve">, el cual se acompaña como </w:t>
      </w:r>
      <w:r w:rsidR="0094340F" w:rsidRPr="00DE03FA">
        <w:rPr>
          <w:rFonts w:ascii="Trebuchet MS" w:hAnsi="Trebuchet MS"/>
          <w:b/>
          <w:sz w:val="23"/>
          <w:szCs w:val="23"/>
        </w:rPr>
        <w:t>ANEXO</w:t>
      </w:r>
      <w:r w:rsidR="0094340F" w:rsidRPr="00DE03FA">
        <w:rPr>
          <w:rFonts w:ascii="Trebuchet MS" w:hAnsi="Trebuchet MS"/>
          <w:sz w:val="23"/>
          <w:szCs w:val="23"/>
        </w:rPr>
        <w:t xml:space="preserve"> a </w:t>
      </w:r>
      <w:r w:rsidR="0094340F" w:rsidRPr="00DE03FA">
        <w:rPr>
          <w:rFonts w:ascii="Trebuchet MS" w:hAnsi="Trebuchet MS"/>
          <w:sz w:val="23"/>
          <w:szCs w:val="23"/>
        </w:rPr>
        <w:lastRenderedPageBreak/>
        <w:t>este acuerdo, formando parte integral del mismo</w:t>
      </w:r>
      <w:r w:rsidR="008A6527" w:rsidRPr="00DE03FA">
        <w:rPr>
          <w:rFonts w:ascii="Trebuchet MS" w:hAnsi="Trebuchet MS"/>
          <w:sz w:val="23"/>
          <w:szCs w:val="23"/>
        </w:rPr>
        <w:t xml:space="preserve">, </w:t>
      </w:r>
      <w:r w:rsidR="00C854D3" w:rsidRPr="00DE03FA">
        <w:rPr>
          <w:rFonts w:ascii="Trebuchet MS" w:hAnsi="Trebuchet MS"/>
          <w:sz w:val="23"/>
          <w:szCs w:val="23"/>
        </w:rPr>
        <w:t>manifestando, en lo que interesa, lo siguiente:</w:t>
      </w:r>
    </w:p>
    <w:p w:rsidR="008A6527" w:rsidRDefault="008A6527" w:rsidP="008A6527">
      <w:pPr>
        <w:jc w:val="both"/>
        <w:rPr>
          <w:rFonts w:ascii="Trebuchet MS" w:hAnsi="Trebuchet MS"/>
          <w:szCs w:val="24"/>
        </w:rPr>
      </w:pPr>
    </w:p>
    <w:p w:rsidR="008A6527" w:rsidRPr="00DF10AF" w:rsidRDefault="00C854D3" w:rsidP="00DF10AF">
      <w:pPr>
        <w:ind w:left="360"/>
        <w:jc w:val="both"/>
        <w:rPr>
          <w:rFonts w:ascii="Trebuchet MS" w:hAnsi="Trebuchet MS"/>
          <w:i/>
          <w:sz w:val="20"/>
        </w:rPr>
      </w:pPr>
      <w:r w:rsidRPr="00DF10AF">
        <w:rPr>
          <w:rFonts w:ascii="Trebuchet MS" w:hAnsi="Trebuchet MS"/>
          <w:i/>
          <w:sz w:val="20"/>
        </w:rPr>
        <w:t>“</w:t>
      </w:r>
      <w:r w:rsidR="0045775F" w:rsidRPr="00DF10AF">
        <w:rPr>
          <w:rFonts w:ascii="Trebuchet MS" w:hAnsi="Trebuchet MS"/>
          <w:i/>
          <w:sz w:val="20"/>
        </w:rPr>
        <w:t>…</w:t>
      </w:r>
      <w:r w:rsidRPr="00DF10AF">
        <w:rPr>
          <w:rFonts w:ascii="Trebuchet MS" w:hAnsi="Trebuchet MS"/>
          <w:i/>
          <w:sz w:val="20"/>
        </w:rPr>
        <w:t>En lo que hace a la consulta en específico, se informa que se ha llevado a cabo un análisis minucioso que abarca los aspectos técnicos, operativos, jurídicos y políticos que conlleva un proyecto de esta índole. En este sentido, en opinión del grupo técnico encargado de la implementación de la urna electrónica, en estos momentos no existen las condiciones para su instrumentación debido, entre otras cosas, a lo siguiente:</w:t>
      </w:r>
    </w:p>
    <w:p w:rsidR="00C854D3" w:rsidRPr="00DF10AF" w:rsidRDefault="00C854D3" w:rsidP="00DF10AF">
      <w:pPr>
        <w:ind w:left="360"/>
        <w:jc w:val="both"/>
        <w:rPr>
          <w:rFonts w:ascii="Trebuchet MS" w:hAnsi="Trebuchet MS"/>
          <w:i/>
          <w:sz w:val="20"/>
        </w:rPr>
      </w:pPr>
    </w:p>
    <w:p w:rsidR="00C854D3" w:rsidRPr="00DF10AF" w:rsidRDefault="00C854D3" w:rsidP="00DF10AF">
      <w:pPr>
        <w:pStyle w:val="Prrafodelista"/>
        <w:numPr>
          <w:ilvl w:val="0"/>
          <w:numId w:val="11"/>
        </w:numPr>
        <w:ind w:left="1080"/>
        <w:jc w:val="both"/>
        <w:rPr>
          <w:rFonts w:ascii="Trebuchet MS" w:hAnsi="Trebuchet MS"/>
          <w:i/>
          <w:sz w:val="20"/>
        </w:rPr>
      </w:pPr>
      <w:r w:rsidRPr="00DF10AF">
        <w:rPr>
          <w:rFonts w:ascii="Trebuchet MS" w:hAnsi="Trebuchet MS"/>
          <w:i/>
          <w:sz w:val="20"/>
        </w:rPr>
        <w:t>El poco tiempo con el que se cuenta para la preparación del marco normativo y procedimental de cara al inicio del proceso de la elección extraordinaria, para lo cual ya no se está en condiciones temporales de realizarse.</w:t>
      </w:r>
    </w:p>
    <w:p w:rsidR="00C854D3" w:rsidRPr="00DF10AF" w:rsidRDefault="00C854D3" w:rsidP="00DF10AF">
      <w:pPr>
        <w:pStyle w:val="Prrafodelista"/>
        <w:ind w:left="1080"/>
        <w:jc w:val="both"/>
        <w:rPr>
          <w:rFonts w:ascii="Trebuchet MS" w:hAnsi="Trebuchet MS"/>
          <w:i/>
          <w:sz w:val="20"/>
        </w:rPr>
      </w:pPr>
    </w:p>
    <w:p w:rsidR="00C854D3" w:rsidRPr="00DF10AF" w:rsidRDefault="00C854D3" w:rsidP="00DF10AF">
      <w:pPr>
        <w:pStyle w:val="Prrafodelista"/>
        <w:numPr>
          <w:ilvl w:val="0"/>
          <w:numId w:val="11"/>
        </w:numPr>
        <w:ind w:left="1080"/>
        <w:jc w:val="both"/>
        <w:rPr>
          <w:rFonts w:ascii="Trebuchet MS" w:hAnsi="Trebuchet MS"/>
          <w:i/>
          <w:sz w:val="20"/>
        </w:rPr>
      </w:pPr>
      <w:r w:rsidRPr="00DF10AF">
        <w:rPr>
          <w:rFonts w:ascii="Trebuchet MS" w:hAnsi="Trebuchet MS"/>
          <w:i/>
          <w:sz w:val="20"/>
        </w:rPr>
        <w:t>Las tareas que esta institución debe atender en el corto plazo relacionadas con los Procesos Electorales Extraordinarios, el posible ejercicio de participación ciudadana mediante la Revocación de Mandato y la preparación de los Procesos Electorales Locales 2021-2022, limitaría la capacidad de coordinación y seguimiento que se ha ejecutado desde esta institución, y que han producido los resultados satisfactorios en el desarrollo de este proyecto.</w:t>
      </w:r>
    </w:p>
    <w:p w:rsidR="00C854D3" w:rsidRPr="00DF10AF" w:rsidRDefault="00C854D3" w:rsidP="00DF10AF">
      <w:pPr>
        <w:pStyle w:val="Prrafodelista"/>
        <w:ind w:left="1080"/>
        <w:jc w:val="both"/>
        <w:rPr>
          <w:rFonts w:ascii="Trebuchet MS" w:hAnsi="Trebuchet MS"/>
          <w:i/>
          <w:sz w:val="20"/>
        </w:rPr>
      </w:pPr>
    </w:p>
    <w:p w:rsidR="00C854D3" w:rsidRPr="00DF10AF" w:rsidRDefault="00C854D3" w:rsidP="00DF10AF">
      <w:pPr>
        <w:pStyle w:val="Prrafodelista"/>
        <w:numPr>
          <w:ilvl w:val="0"/>
          <w:numId w:val="11"/>
        </w:numPr>
        <w:ind w:left="1080"/>
        <w:jc w:val="both"/>
        <w:rPr>
          <w:rFonts w:ascii="Trebuchet MS" w:hAnsi="Trebuchet MS"/>
          <w:i/>
          <w:sz w:val="20"/>
        </w:rPr>
      </w:pPr>
      <w:r w:rsidRPr="00DF10AF">
        <w:rPr>
          <w:rFonts w:ascii="Trebuchet MS" w:hAnsi="Trebuchet MS"/>
          <w:i/>
          <w:sz w:val="20"/>
        </w:rPr>
        <w:t xml:space="preserve">Las limitantes que se identifican para la implementación de elementos de control, específicamente las verificaciones de seguridad y funcionalidad que se realizan por parte de una institución externa. </w:t>
      </w:r>
    </w:p>
    <w:p w:rsidR="00C854D3" w:rsidRPr="00DF10AF" w:rsidRDefault="00C854D3" w:rsidP="00DF10AF">
      <w:pPr>
        <w:pStyle w:val="Prrafodelista"/>
        <w:ind w:left="1068"/>
        <w:rPr>
          <w:rFonts w:ascii="Trebuchet MS" w:hAnsi="Trebuchet MS"/>
          <w:i/>
          <w:sz w:val="20"/>
        </w:rPr>
      </w:pPr>
    </w:p>
    <w:p w:rsidR="00D63E38" w:rsidRPr="00DF10AF" w:rsidRDefault="00C854D3" w:rsidP="00DF10AF">
      <w:pPr>
        <w:pStyle w:val="Prrafodelista"/>
        <w:numPr>
          <w:ilvl w:val="0"/>
          <w:numId w:val="11"/>
        </w:numPr>
        <w:ind w:left="1080"/>
        <w:jc w:val="both"/>
        <w:rPr>
          <w:rFonts w:ascii="Trebuchet MS" w:hAnsi="Trebuchet MS"/>
          <w:i/>
          <w:sz w:val="20"/>
        </w:rPr>
      </w:pPr>
      <w:r w:rsidRPr="00DF10AF">
        <w:rPr>
          <w:rFonts w:ascii="Trebuchet MS" w:hAnsi="Trebuchet MS"/>
          <w:i/>
          <w:sz w:val="20"/>
        </w:rPr>
        <w:t xml:space="preserve">El </w:t>
      </w:r>
      <w:proofErr w:type="spellStart"/>
      <w:r w:rsidRPr="00DF10AF">
        <w:rPr>
          <w:rFonts w:ascii="Trebuchet MS" w:hAnsi="Trebuchet MS"/>
          <w:i/>
          <w:sz w:val="20"/>
        </w:rPr>
        <w:t>desface</w:t>
      </w:r>
      <w:proofErr w:type="spellEnd"/>
      <w:r w:rsidRPr="00DF10AF">
        <w:rPr>
          <w:rFonts w:ascii="Trebuchet MS" w:hAnsi="Trebuchet MS"/>
          <w:i/>
          <w:sz w:val="20"/>
        </w:rPr>
        <w:t xml:space="preserve"> con las tareas en materia de capacitación electoral que iniciarán el próximo 18 de octubre y para lo cual no se cuenta con los materiales de capacitación ya aprobados y listos para su distribución. </w:t>
      </w:r>
    </w:p>
    <w:p w:rsidR="00D63E38" w:rsidRPr="00DF10AF" w:rsidRDefault="00D63E38" w:rsidP="00DF10AF">
      <w:pPr>
        <w:pStyle w:val="Prrafodelista"/>
        <w:ind w:left="1068"/>
        <w:rPr>
          <w:rFonts w:ascii="Trebuchet MS" w:hAnsi="Trebuchet MS"/>
          <w:i/>
          <w:sz w:val="20"/>
        </w:rPr>
      </w:pPr>
    </w:p>
    <w:p w:rsidR="00C854D3" w:rsidRPr="00DF10AF" w:rsidRDefault="00C854D3" w:rsidP="00DF10AF">
      <w:pPr>
        <w:pStyle w:val="Prrafodelista"/>
        <w:numPr>
          <w:ilvl w:val="0"/>
          <w:numId w:val="11"/>
        </w:numPr>
        <w:ind w:left="1080"/>
        <w:jc w:val="both"/>
        <w:rPr>
          <w:rFonts w:ascii="Trebuchet MS" w:hAnsi="Trebuchet MS"/>
          <w:i/>
          <w:sz w:val="20"/>
        </w:rPr>
      </w:pPr>
      <w:r w:rsidRPr="00DF10AF">
        <w:rPr>
          <w:rFonts w:ascii="Trebuchet MS" w:hAnsi="Trebuchet MS"/>
          <w:i/>
          <w:sz w:val="20"/>
        </w:rPr>
        <w:t>Los múltiples proyectos que tiene en puerta el equipo técnico de su institución y que pudiera representar un riesgo en la implementación.</w:t>
      </w:r>
    </w:p>
    <w:p w:rsidR="00D63E38" w:rsidRPr="00DF10AF" w:rsidRDefault="00D63E38" w:rsidP="00DF10AF">
      <w:pPr>
        <w:ind w:left="360"/>
        <w:jc w:val="both"/>
        <w:rPr>
          <w:rFonts w:ascii="Trebuchet MS" w:hAnsi="Trebuchet MS"/>
          <w:i/>
          <w:sz w:val="20"/>
        </w:rPr>
      </w:pPr>
    </w:p>
    <w:p w:rsidR="007E7532" w:rsidRPr="00DF10AF" w:rsidRDefault="00C854D3" w:rsidP="00DF10AF">
      <w:pPr>
        <w:ind w:left="360"/>
        <w:jc w:val="both"/>
        <w:rPr>
          <w:rFonts w:ascii="Trebuchet MS" w:hAnsi="Trebuchet MS"/>
          <w:i/>
          <w:sz w:val="20"/>
        </w:rPr>
      </w:pPr>
      <w:r w:rsidRPr="00DF10AF">
        <w:rPr>
          <w:rFonts w:ascii="Trebuchet MS" w:hAnsi="Trebuchet MS"/>
          <w:i/>
          <w:sz w:val="20"/>
        </w:rPr>
        <w:t xml:space="preserve">Es por esta razón que, no obstante que nuestras </w:t>
      </w:r>
      <w:proofErr w:type="spellStart"/>
      <w:r w:rsidRPr="00DF10AF">
        <w:rPr>
          <w:rFonts w:ascii="Trebuchet MS" w:hAnsi="Trebuchet MS"/>
          <w:i/>
          <w:sz w:val="20"/>
        </w:rPr>
        <w:t>lnstituciones</w:t>
      </w:r>
      <w:proofErr w:type="spellEnd"/>
      <w:r w:rsidRPr="00DF10AF">
        <w:rPr>
          <w:rFonts w:ascii="Trebuchet MS" w:hAnsi="Trebuchet MS"/>
          <w:i/>
          <w:sz w:val="20"/>
        </w:rPr>
        <w:t xml:space="preserve"> Electorales han impulsado la adopción de iniciativas como esta en el ámbito de la innovación y adopción de la tecnología, también es necesario señalar la importancia del cuidado que se debe tener con su implementación, a efecto de no poner en riesgo la elección y tener un resultado adverso por la premura con que se requiere llevar a cabo el despliegue del proyecto, lo cual podría generar un impacto negativo en los trabajos reali</w:t>
      </w:r>
      <w:r w:rsidR="0045775F" w:rsidRPr="00DF10AF">
        <w:rPr>
          <w:rFonts w:ascii="Trebuchet MS" w:hAnsi="Trebuchet MS"/>
          <w:i/>
          <w:sz w:val="20"/>
        </w:rPr>
        <w:t>zados hasta ahora en la materia…”</w:t>
      </w:r>
    </w:p>
    <w:p w:rsidR="00BE72C8" w:rsidRDefault="00BE72C8" w:rsidP="002A0253">
      <w:pPr>
        <w:tabs>
          <w:tab w:val="left" w:pos="1440"/>
        </w:tabs>
        <w:suppressAutoHyphens/>
        <w:jc w:val="both"/>
        <w:rPr>
          <w:rFonts w:ascii="Trebuchet MS" w:hAnsi="Trebuchet MS"/>
          <w:szCs w:val="24"/>
          <w:lang w:eastAsia="ar-SA"/>
        </w:rPr>
      </w:pPr>
    </w:p>
    <w:p w:rsidR="009225FB" w:rsidRPr="00DE03FA" w:rsidRDefault="009225FB" w:rsidP="002A0253">
      <w:pPr>
        <w:tabs>
          <w:tab w:val="left" w:pos="1440"/>
        </w:tabs>
        <w:suppressAutoHyphens/>
        <w:jc w:val="both"/>
        <w:rPr>
          <w:rFonts w:ascii="Trebuchet MS" w:hAnsi="Trebuchet MS"/>
          <w:sz w:val="23"/>
          <w:szCs w:val="23"/>
          <w:lang w:eastAsia="ar-SA"/>
        </w:rPr>
      </w:pPr>
      <w:r w:rsidRPr="00DE03FA">
        <w:rPr>
          <w:rFonts w:ascii="Trebuchet MS" w:hAnsi="Trebuchet MS"/>
          <w:sz w:val="23"/>
          <w:szCs w:val="23"/>
          <w:lang w:eastAsia="ar-SA"/>
        </w:rPr>
        <w:t xml:space="preserve">Así las cosas, este Consejo General </w:t>
      </w:r>
      <w:r w:rsidR="00B25F75" w:rsidRPr="00DE03FA">
        <w:rPr>
          <w:rFonts w:ascii="Trebuchet MS" w:hAnsi="Trebuchet MS"/>
          <w:sz w:val="23"/>
          <w:szCs w:val="23"/>
          <w:lang w:eastAsia="ar-SA"/>
        </w:rPr>
        <w:t xml:space="preserve">determina </w:t>
      </w:r>
      <w:r w:rsidR="00FD68B3" w:rsidRPr="00DE03FA">
        <w:rPr>
          <w:rFonts w:ascii="Trebuchet MS" w:hAnsi="Trebuchet MS"/>
          <w:sz w:val="23"/>
          <w:szCs w:val="23"/>
        </w:rPr>
        <w:t>la inviabilidad de la utilización de la urna electrónica en el Proceso Electoral Extraordinario dos mil veintiuno, en el municipio de San Pedro Tlaquepaque, Jalisco</w:t>
      </w:r>
      <w:r w:rsidR="00330939" w:rsidRPr="00DE03FA">
        <w:rPr>
          <w:rFonts w:ascii="Trebuchet MS" w:hAnsi="Trebuchet MS"/>
          <w:sz w:val="23"/>
          <w:szCs w:val="23"/>
          <w:lang w:eastAsia="ar-SA"/>
        </w:rPr>
        <w:t>.</w:t>
      </w:r>
    </w:p>
    <w:p w:rsidR="00BE72C8" w:rsidRPr="00DE03FA" w:rsidRDefault="00BE72C8" w:rsidP="002A0253">
      <w:pPr>
        <w:tabs>
          <w:tab w:val="left" w:pos="1440"/>
        </w:tabs>
        <w:suppressAutoHyphens/>
        <w:jc w:val="both"/>
        <w:rPr>
          <w:rFonts w:ascii="Trebuchet MS" w:hAnsi="Trebuchet MS"/>
          <w:sz w:val="23"/>
          <w:szCs w:val="23"/>
          <w:lang w:eastAsia="ar-SA"/>
        </w:rPr>
      </w:pPr>
    </w:p>
    <w:p w:rsidR="007B1901" w:rsidRPr="00DE03FA" w:rsidRDefault="00681F1E" w:rsidP="002A0253">
      <w:pPr>
        <w:tabs>
          <w:tab w:val="left" w:pos="1440"/>
        </w:tabs>
        <w:suppressAutoHyphens/>
        <w:jc w:val="both"/>
        <w:rPr>
          <w:rFonts w:ascii="Trebuchet MS" w:hAnsi="Trebuchet MS" w:cs="Arial"/>
          <w:sz w:val="23"/>
          <w:szCs w:val="23"/>
          <w:lang w:eastAsia="ar-SA"/>
        </w:rPr>
      </w:pPr>
      <w:r w:rsidRPr="00DE03FA">
        <w:rPr>
          <w:rFonts w:ascii="Trebuchet MS" w:hAnsi="Trebuchet MS"/>
          <w:sz w:val="23"/>
          <w:szCs w:val="23"/>
          <w:lang w:eastAsia="ar-SA"/>
        </w:rPr>
        <w:t xml:space="preserve">Por lo anteriormente fundado y motivado, con base en las consideraciones precedentes, </w:t>
      </w:r>
      <w:r w:rsidRPr="00DE03FA">
        <w:rPr>
          <w:rFonts w:ascii="Trebuchet MS" w:hAnsi="Trebuchet MS"/>
          <w:kern w:val="2"/>
          <w:sz w:val="23"/>
          <w:szCs w:val="23"/>
          <w:lang w:eastAsia="ar-SA"/>
        </w:rPr>
        <w:t>se</w:t>
      </w:r>
      <w:r w:rsidRPr="00DE03FA">
        <w:rPr>
          <w:rFonts w:ascii="Trebuchet MS" w:hAnsi="Trebuchet MS"/>
          <w:sz w:val="23"/>
          <w:szCs w:val="23"/>
          <w:lang w:eastAsia="ar-SA"/>
        </w:rPr>
        <w:t xml:space="preserve"> proponen los siguientes puntos de</w:t>
      </w:r>
      <w:r w:rsidR="007B1901" w:rsidRPr="00DE03FA">
        <w:rPr>
          <w:rFonts w:ascii="Trebuchet MS" w:hAnsi="Trebuchet MS" w:cs="Arial"/>
          <w:sz w:val="23"/>
          <w:szCs w:val="23"/>
          <w:lang w:eastAsia="ar-SA"/>
        </w:rPr>
        <w:t xml:space="preserve">:  </w:t>
      </w:r>
    </w:p>
    <w:p w:rsidR="007B1901" w:rsidRPr="00DE03FA" w:rsidRDefault="007B1901" w:rsidP="002A0253">
      <w:pPr>
        <w:rPr>
          <w:rFonts w:ascii="Trebuchet MS" w:hAnsi="Trebuchet MS"/>
          <w:sz w:val="23"/>
          <w:szCs w:val="23"/>
        </w:rPr>
      </w:pPr>
    </w:p>
    <w:p w:rsidR="007B1901" w:rsidRPr="00DE03FA" w:rsidRDefault="007B1901" w:rsidP="002A0253">
      <w:pPr>
        <w:suppressAutoHyphens/>
        <w:jc w:val="center"/>
        <w:rPr>
          <w:rFonts w:ascii="Trebuchet MS" w:hAnsi="Trebuchet MS" w:cs="Arial"/>
          <w:b/>
          <w:sz w:val="23"/>
          <w:szCs w:val="23"/>
          <w:lang w:val="pt-BR" w:eastAsia="ar-SA"/>
        </w:rPr>
      </w:pPr>
      <w:r w:rsidRPr="00DE03FA">
        <w:rPr>
          <w:rFonts w:ascii="Trebuchet MS" w:hAnsi="Trebuchet MS" w:cs="Arial"/>
          <w:b/>
          <w:sz w:val="23"/>
          <w:szCs w:val="23"/>
          <w:lang w:val="pt-BR" w:eastAsia="ar-SA"/>
        </w:rPr>
        <w:t>A C U E R D O</w:t>
      </w:r>
    </w:p>
    <w:p w:rsidR="0002417E" w:rsidRPr="00DE03FA" w:rsidRDefault="0002417E" w:rsidP="002A0253">
      <w:pPr>
        <w:suppressAutoHyphens/>
        <w:jc w:val="both"/>
        <w:rPr>
          <w:rFonts w:ascii="Trebuchet MS" w:hAnsi="Trebuchet MS" w:cs="Arial"/>
          <w:b/>
          <w:sz w:val="23"/>
          <w:szCs w:val="23"/>
          <w:lang w:val="pt-BR" w:eastAsia="ar-SA"/>
        </w:rPr>
      </w:pPr>
    </w:p>
    <w:p w:rsidR="007B1901" w:rsidRPr="00DE03FA" w:rsidRDefault="007B1901" w:rsidP="007A38B5">
      <w:pPr>
        <w:tabs>
          <w:tab w:val="left" w:pos="1440"/>
        </w:tabs>
        <w:suppressAutoHyphens/>
        <w:jc w:val="both"/>
        <w:rPr>
          <w:sz w:val="23"/>
          <w:szCs w:val="23"/>
        </w:rPr>
      </w:pPr>
      <w:r w:rsidRPr="00DE03FA">
        <w:rPr>
          <w:rFonts w:ascii="Trebuchet MS" w:hAnsi="Trebuchet MS" w:cs="Arial"/>
          <w:b/>
          <w:sz w:val="23"/>
          <w:szCs w:val="23"/>
          <w:lang w:val="pt-BR" w:eastAsia="ar-SA"/>
        </w:rPr>
        <w:lastRenderedPageBreak/>
        <w:t xml:space="preserve">PRIMERO. </w:t>
      </w:r>
      <w:r w:rsidR="007A38B5" w:rsidRPr="00DE03FA">
        <w:rPr>
          <w:rFonts w:ascii="Trebuchet MS" w:hAnsi="Trebuchet MS"/>
          <w:sz w:val="23"/>
          <w:szCs w:val="23"/>
        </w:rPr>
        <w:t xml:space="preserve">Se determina </w:t>
      </w:r>
      <w:r w:rsidR="007A38B5" w:rsidRPr="00DE03FA">
        <w:rPr>
          <w:rFonts w:ascii="Trebuchet MS" w:hAnsi="Trebuchet MS"/>
          <w:sz w:val="23"/>
          <w:szCs w:val="23"/>
        </w:rPr>
        <w:t>la inviabilidad de la utilización de</w:t>
      </w:r>
      <w:r w:rsidR="007A38B5" w:rsidRPr="00DE03FA">
        <w:rPr>
          <w:rFonts w:ascii="Trebuchet MS" w:hAnsi="Trebuchet MS"/>
          <w:sz w:val="23"/>
          <w:szCs w:val="23"/>
        </w:rPr>
        <w:t xml:space="preserve"> la urna electrónica en el Proceso Electoral Extraordinario dos mil veintiuno, en el municipio de San Pedro Tlaquepaque, Jalisco; por las razones expuestas en el considerando VI del presente a</w:t>
      </w:r>
      <w:r w:rsidR="007A38B5" w:rsidRPr="00DE03FA">
        <w:rPr>
          <w:sz w:val="23"/>
          <w:szCs w:val="23"/>
        </w:rPr>
        <w:t>cuerdo.</w:t>
      </w:r>
    </w:p>
    <w:p w:rsidR="007A38B5" w:rsidRPr="00DE03FA" w:rsidRDefault="007A38B5" w:rsidP="002A0253">
      <w:pPr>
        <w:suppressAutoHyphens/>
        <w:jc w:val="both"/>
        <w:rPr>
          <w:sz w:val="23"/>
          <w:szCs w:val="23"/>
        </w:rPr>
      </w:pPr>
    </w:p>
    <w:p w:rsidR="000C0E63" w:rsidRPr="00DE03FA" w:rsidRDefault="00C036D5" w:rsidP="002A0253">
      <w:pPr>
        <w:jc w:val="both"/>
        <w:rPr>
          <w:rFonts w:ascii="Trebuchet MS" w:hAnsi="Trebuchet MS"/>
          <w:sz w:val="23"/>
          <w:szCs w:val="23"/>
        </w:rPr>
      </w:pPr>
      <w:r w:rsidRPr="00DE03FA">
        <w:rPr>
          <w:rFonts w:ascii="Trebuchet MS" w:hAnsi="Trebuchet MS" w:cs="Arial"/>
          <w:b/>
          <w:sz w:val="23"/>
          <w:szCs w:val="23"/>
        </w:rPr>
        <w:t>S</w:t>
      </w:r>
      <w:r w:rsidR="0012799A" w:rsidRPr="00DE03FA">
        <w:rPr>
          <w:rFonts w:ascii="Trebuchet MS" w:hAnsi="Trebuchet MS" w:cs="Arial"/>
          <w:b/>
          <w:sz w:val="23"/>
          <w:szCs w:val="23"/>
        </w:rPr>
        <w:t>E</w:t>
      </w:r>
      <w:r w:rsidRPr="00DE03FA">
        <w:rPr>
          <w:rFonts w:ascii="Trebuchet MS" w:hAnsi="Trebuchet MS" w:cs="Arial"/>
          <w:b/>
          <w:sz w:val="23"/>
          <w:szCs w:val="23"/>
        </w:rPr>
        <w:t>GUNDO</w:t>
      </w:r>
      <w:r w:rsidR="0002417E" w:rsidRPr="00DE03FA">
        <w:rPr>
          <w:rFonts w:ascii="Trebuchet MS" w:hAnsi="Trebuchet MS" w:cs="Arial"/>
          <w:b/>
          <w:sz w:val="23"/>
          <w:szCs w:val="23"/>
        </w:rPr>
        <w:t>.</w:t>
      </w:r>
      <w:r w:rsidR="0002417E" w:rsidRPr="00DE03FA">
        <w:rPr>
          <w:rFonts w:ascii="Trebuchet MS" w:hAnsi="Trebuchet MS" w:cs="Arial"/>
          <w:sz w:val="23"/>
          <w:szCs w:val="23"/>
        </w:rPr>
        <w:t xml:space="preserve"> </w:t>
      </w:r>
      <w:r w:rsidR="000C0E63" w:rsidRPr="00DE03FA">
        <w:rPr>
          <w:rFonts w:ascii="Trebuchet MS" w:hAnsi="Trebuchet MS"/>
          <w:sz w:val="23"/>
          <w:szCs w:val="23"/>
        </w:rPr>
        <w:t xml:space="preserve">Hágase del conocimiento </w:t>
      </w:r>
      <w:r w:rsidR="00466D95" w:rsidRPr="00DE03FA">
        <w:rPr>
          <w:rFonts w:ascii="Trebuchet MS" w:hAnsi="Trebuchet MS"/>
          <w:sz w:val="23"/>
          <w:szCs w:val="23"/>
        </w:rPr>
        <w:t>del</w:t>
      </w:r>
      <w:r w:rsidR="000C0E63" w:rsidRPr="00DE03FA">
        <w:rPr>
          <w:rFonts w:ascii="Trebuchet MS" w:hAnsi="Trebuchet MS"/>
          <w:sz w:val="23"/>
          <w:szCs w:val="23"/>
        </w:rPr>
        <w:t xml:space="preserve"> Instituto Nacional Electoral, </w:t>
      </w:r>
      <w:r w:rsidR="00466D95" w:rsidRPr="00DE03FA">
        <w:rPr>
          <w:rFonts w:ascii="Trebuchet MS" w:hAnsi="Trebuchet MS"/>
          <w:sz w:val="23"/>
          <w:szCs w:val="23"/>
        </w:rPr>
        <w:t xml:space="preserve">el presente acuerdo, </w:t>
      </w:r>
      <w:r w:rsidR="000C0E63" w:rsidRPr="00DE03FA">
        <w:rPr>
          <w:rFonts w:ascii="Trebuchet MS" w:hAnsi="Trebuchet MS"/>
          <w:sz w:val="23"/>
          <w:szCs w:val="23"/>
        </w:rPr>
        <w:t xml:space="preserve">a través </w:t>
      </w:r>
      <w:r w:rsidR="000C0E63" w:rsidRPr="00DE03FA">
        <w:rPr>
          <w:rFonts w:ascii="Trebuchet MS" w:eastAsia="Trebuchet MS" w:hAnsi="Trebuchet MS" w:cs="Trebuchet MS"/>
          <w:sz w:val="23"/>
          <w:szCs w:val="23"/>
        </w:rPr>
        <w:t>del Sistema de Vinculación con los Organismos Públicos Locales Electorales</w:t>
      </w:r>
      <w:r w:rsidR="000C0E63" w:rsidRPr="00DE03FA">
        <w:rPr>
          <w:rFonts w:ascii="Trebuchet MS" w:hAnsi="Trebuchet MS"/>
          <w:sz w:val="23"/>
          <w:szCs w:val="23"/>
        </w:rPr>
        <w:t>, para los efectos correspondientes.</w:t>
      </w:r>
    </w:p>
    <w:p w:rsidR="000C0E63" w:rsidRPr="00DE03FA" w:rsidRDefault="000C0E63" w:rsidP="002A0253">
      <w:pPr>
        <w:jc w:val="both"/>
        <w:rPr>
          <w:rFonts w:ascii="Trebuchet MS" w:hAnsi="Trebuchet MS"/>
          <w:sz w:val="23"/>
          <w:szCs w:val="23"/>
        </w:rPr>
      </w:pPr>
    </w:p>
    <w:p w:rsidR="00057B6D" w:rsidRPr="00DE03FA" w:rsidRDefault="0012799A" w:rsidP="002A0253">
      <w:pPr>
        <w:autoSpaceDE w:val="0"/>
        <w:autoSpaceDN w:val="0"/>
        <w:adjustRightInd w:val="0"/>
        <w:jc w:val="both"/>
        <w:rPr>
          <w:rFonts w:ascii="Trebuchet MS" w:hAnsi="Trebuchet MS"/>
          <w:sz w:val="23"/>
          <w:szCs w:val="23"/>
        </w:rPr>
      </w:pPr>
      <w:r w:rsidRPr="00DE03FA">
        <w:rPr>
          <w:rFonts w:ascii="Trebuchet MS" w:hAnsi="Trebuchet MS"/>
          <w:b/>
          <w:sz w:val="23"/>
          <w:szCs w:val="23"/>
        </w:rPr>
        <w:t>T</w:t>
      </w:r>
      <w:r w:rsidR="00C036D5" w:rsidRPr="00DE03FA">
        <w:rPr>
          <w:rFonts w:ascii="Trebuchet MS" w:hAnsi="Trebuchet MS"/>
          <w:b/>
          <w:sz w:val="23"/>
          <w:szCs w:val="23"/>
        </w:rPr>
        <w:t>ERCER</w:t>
      </w:r>
      <w:r w:rsidRPr="00DE03FA">
        <w:rPr>
          <w:rFonts w:ascii="Trebuchet MS" w:hAnsi="Trebuchet MS"/>
          <w:b/>
          <w:sz w:val="23"/>
          <w:szCs w:val="23"/>
        </w:rPr>
        <w:t>O</w:t>
      </w:r>
      <w:r w:rsidR="007B1901" w:rsidRPr="00DE03FA">
        <w:rPr>
          <w:rFonts w:ascii="Trebuchet MS" w:hAnsi="Trebuchet MS"/>
          <w:b/>
          <w:sz w:val="23"/>
          <w:szCs w:val="23"/>
        </w:rPr>
        <w:t>.</w:t>
      </w:r>
      <w:r w:rsidR="007B1901" w:rsidRPr="00DE03FA">
        <w:rPr>
          <w:rFonts w:ascii="Trebuchet MS" w:hAnsi="Trebuchet MS"/>
          <w:sz w:val="23"/>
          <w:szCs w:val="23"/>
        </w:rPr>
        <w:t xml:space="preserve"> </w:t>
      </w:r>
      <w:r w:rsidR="00057B6D" w:rsidRPr="00DE03FA">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234EFC" w:rsidRPr="00DE03FA" w:rsidRDefault="00234EFC" w:rsidP="002A0253">
      <w:pPr>
        <w:autoSpaceDE w:val="0"/>
        <w:autoSpaceDN w:val="0"/>
        <w:adjustRightInd w:val="0"/>
        <w:jc w:val="both"/>
        <w:rPr>
          <w:rFonts w:ascii="Trebuchet MS" w:hAnsi="Trebuchet MS"/>
          <w:sz w:val="23"/>
          <w:szCs w:val="23"/>
        </w:rPr>
      </w:pPr>
    </w:p>
    <w:p w:rsidR="00057B6D" w:rsidRPr="00DE03FA" w:rsidRDefault="00057B6D" w:rsidP="002A0253">
      <w:pPr>
        <w:autoSpaceDE w:val="0"/>
        <w:autoSpaceDN w:val="0"/>
        <w:adjustRightInd w:val="0"/>
        <w:jc w:val="both"/>
        <w:rPr>
          <w:rFonts w:ascii="Trebuchet MS" w:hAnsi="Trebuchet MS"/>
          <w:sz w:val="23"/>
          <w:szCs w:val="23"/>
        </w:rPr>
      </w:pPr>
    </w:p>
    <w:p w:rsidR="00057B6D" w:rsidRPr="00DE03FA" w:rsidRDefault="00057B6D" w:rsidP="002A0253">
      <w:pPr>
        <w:pStyle w:val="Cuadrculamedia21"/>
        <w:jc w:val="center"/>
        <w:rPr>
          <w:rFonts w:ascii="Trebuchet MS" w:hAnsi="Trebuchet MS"/>
          <w:kern w:val="18"/>
          <w:sz w:val="23"/>
          <w:szCs w:val="23"/>
        </w:rPr>
      </w:pPr>
      <w:r w:rsidRPr="00DE03FA">
        <w:rPr>
          <w:rFonts w:ascii="Trebuchet MS" w:hAnsi="Trebuchet MS"/>
          <w:kern w:val="18"/>
          <w:sz w:val="23"/>
          <w:szCs w:val="23"/>
        </w:rPr>
        <w:t xml:space="preserve">Guadalajara, Jalisco; a </w:t>
      </w:r>
      <w:r w:rsidR="00FF5FA1" w:rsidRPr="00DE03FA">
        <w:rPr>
          <w:rFonts w:ascii="Trebuchet MS" w:hAnsi="Trebuchet MS"/>
          <w:kern w:val="18"/>
          <w:sz w:val="23"/>
          <w:szCs w:val="23"/>
        </w:rPr>
        <w:t>26</w:t>
      </w:r>
      <w:r w:rsidRPr="00DE03FA">
        <w:rPr>
          <w:rFonts w:ascii="Trebuchet MS" w:hAnsi="Trebuchet MS"/>
          <w:kern w:val="18"/>
          <w:sz w:val="23"/>
          <w:szCs w:val="23"/>
        </w:rPr>
        <w:t xml:space="preserve"> de </w:t>
      </w:r>
      <w:r w:rsidR="00A80B0E" w:rsidRPr="00DE03FA">
        <w:rPr>
          <w:rFonts w:ascii="Trebuchet MS" w:hAnsi="Trebuchet MS"/>
          <w:kern w:val="18"/>
          <w:sz w:val="23"/>
          <w:szCs w:val="23"/>
        </w:rPr>
        <w:t>octubre</w:t>
      </w:r>
      <w:r w:rsidRPr="00DE03FA">
        <w:rPr>
          <w:rFonts w:ascii="Trebuchet MS" w:hAnsi="Trebuchet MS"/>
          <w:kern w:val="18"/>
          <w:sz w:val="23"/>
          <w:szCs w:val="23"/>
        </w:rPr>
        <w:t xml:space="preserve"> de 2021.</w:t>
      </w:r>
    </w:p>
    <w:p w:rsidR="00057B6D" w:rsidRPr="00DE03FA" w:rsidRDefault="00057B6D" w:rsidP="002A0253">
      <w:pPr>
        <w:pStyle w:val="Cuadrculamedia21"/>
        <w:jc w:val="center"/>
        <w:rPr>
          <w:rFonts w:ascii="Trebuchet MS" w:hAnsi="Trebuchet MS"/>
          <w:kern w:val="18"/>
          <w:sz w:val="23"/>
          <w:szCs w:val="23"/>
        </w:rPr>
      </w:pPr>
    </w:p>
    <w:p w:rsidR="00057B6D" w:rsidRPr="00DE03FA" w:rsidRDefault="00057B6D" w:rsidP="002A0253">
      <w:pPr>
        <w:pStyle w:val="Cuadrculamedia21"/>
        <w:jc w:val="center"/>
        <w:rPr>
          <w:rFonts w:ascii="Trebuchet MS" w:hAnsi="Trebuchet MS"/>
          <w:kern w:val="18"/>
          <w:sz w:val="23"/>
          <w:szCs w:val="23"/>
        </w:rPr>
      </w:pPr>
    </w:p>
    <w:p w:rsidR="00C036D5" w:rsidRPr="00DE03FA" w:rsidRDefault="00C036D5" w:rsidP="002A0253">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57A8D" w:rsidRPr="00DE03FA" w:rsidTr="003B614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57A8D" w:rsidRPr="00DE03FA" w:rsidTr="003B614D">
              <w:tc>
                <w:tcPr>
                  <w:tcW w:w="5070" w:type="dxa"/>
                  <w:shd w:val="clear" w:color="auto" w:fill="auto"/>
                </w:tcPr>
                <w:p w:rsidR="00057B6D" w:rsidRPr="00DE03FA" w:rsidRDefault="00057B6D" w:rsidP="002A0253">
                  <w:pPr>
                    <w:pStyle w:val="Sinespaciado"/>
                    <w:jc w:val="center"/>
                    <w:rPr>
                      <w:rFonts w:ascii="Trebuchet MS" w:hAnsi="Trebuchet MS"/>
                      <w:kern w:val="18"/>
                      <w:sz w:val="23"/>
                      <w:szCs w:val="23"/>
                    </w:rPr>
                  </w:pPr>
                </w:p>
                <w:p w:rsidR="00057B6D" w:rsidRPr="00DE03FA" w:rsidRDefault="00A80B0E" w:rsidP="002A0253">
                  <w:pPr>
                    <w:pStyle w:val="Sinespaciado"/>
                    <w:jc w:val="center"/>
                    <w:rPr>
                      <w:rFonts w:ascii="Trebuchet MS" w:hAnsi="Trebuchet MS"/>
                      <w:kern w:val="18"/>
                      <w:sz w:val="23"/>
                      <w:szCs w:val="23"/>
                    </w:rPr>
                  </w:pPr>
                  <w:r w:rsidRPr="00DE03FA">
                    <w:rPr>
                      <w:rFonts w:ascii="Trebuchet MS" w:hAnsi="Trebuchet MS"/>
                      <w:kern w:val="18"/>
                      <w:sz w:val="23"/>
                      <w:szCs w:val="23"/>
                    </w:rPr>
                    <w:t xml:space="preserve">Brenda Judith Serafín </w:t>
                  </w:r>
                  <w:proofErr w:type="spellStart"/>
                  <w:r w:rsidRPr="00DE03FA">
                    <w:rPr>
                      <w:rFonts w:ascii="Trebuchet MS" w:hAnsi="Trebuchet MS"/>
                      <w:kern w:val="18"/>
                      <w:sz w:val="23"/>
                      <w:szCs w:val="23"/>
                    </w:rPr>
                    <w:t>Morfín</w:t>
                  </w:r>
                  <w:proofErr w:type="spellEnd"/>
                </w:p>
                <w:p w:rsidR="00057B6D" w:rsidRPr="00DE03FA" w:rsidRDefault="00057B6D" w:rsidP="002A0253">
                  <w:pPr>
                    <w:pStyle w:val="Sinespaciado"/>
                    <w:jc w:val="center"/>
                    <w:rPr>
                      <w:rFonts w:ascii="Trebuchet MS" w:hAnsi="Trebuchet MS"/>
                      <w:kern w:val="18"/>
                      <w:sz w:val="23"/>
                      <w:szCs w:val="23"/>
                    </w:rPr>
                  </w:pPr>
                  <w:r w:rsidRPr="00DE03FA">
                    <w:rPr>
                      <w:rFonts w:ascii="Trebuchet MS" w:hAnsi="Trebuchet MS"/>
                      <w:kern w:val="18"/>
                      <w:sz w:val="23"/>
                      <w:szCs w:val="23"/>
                    </w:rPr>
                    <w:t>Consejer</w:t>
                  </w:r>
                  <w:r w:rsidR="00A80B0E" w:rsidRPr="00DE03FA">
                    <w:rPr>
                      <w:rFonts w:ascii="Trebuchet MS" w:hAnsi="Trebuchet MS"/>
                      <w:kern w:val="18"/>
                      <w:sz w:val="23"/>
                      <w:szCs w:val="23"/>
                    </w:rPr>
                    <w:t>a</w:t>
                  </w:r>
                  <w:r w:rsidRPr="00DE03FA">
                    <w:rPr>
                      <w:rFonts w:ascii="Trebuchet MS" w:hAnsi="Trebuchet MS"/>
                      <w:kern w:val="18"/>
                      <w:sz w:val="23"/>
                      <w:szCs w:val="23"/>
                    </w:rPr>
                    <w:t xml:space="preserve"> president</w:t>
                  </w:r>
                  <w:r w:rsidR="00A80B0E" w:rsidRPr="00DE03FA">
                    <w:rPr>
                      <w:rFonts w:ascii="Trebuchet MS" w:hAnsi="Trebuchet MS"/>
                      <w:kern w:val="18"/>
                      <w:sz w:val="23"/>
                      <w:szCs w:val="23"/>
                    </w:rPr>
                    <w:t>a</w:t>
                  </w:r>
                  <w:r w:rsidR="00D90806" w:rsidRPr="00DE03FA">
                    <w:rPr>
                      <w:rFonts w:ascii="Trebuchet MS" w:hAnsi="Trebuchet MS"/>
                      <w:kern w:val="18"/>
                      <w:sz w:val="23"/>
                      <w:szCs w:val="23"/>
                    </w:rPr>
                    <w:t xml:space="preserve"> provisional</w:t>
                  </w:r>
                </w:p>
              </w:tc>
              <w:tc>
                <w:tcPr>
                  <w:tcW w:w="5137" w:type="dxa"/>
                  <w:shd w:val="clear" w:color="auto" w:fill="auto"/>
                </w:tcPr>
                <w:p w:rsidR="00057B6D" w:rsidRPr="00DE03FA" w:rsidRDefault="00057B6D" w:rsidP="002A0253">
                  <w:pPr>
                    <w:pStyle w:val="Sinespaciado"/>
                    <w:jc w:val="center"/>
                    <w:rPr>
                      <w:rFonts w:ascii="Trebuchet MS" w:hAnsi="Trebuchet MS"/>
                      <w:kern w:val="18"/>
                      <w:sz w:val="23"/>
                      <w:szCs w:val="23"/>
                    </w:rPr>
                  </w:pPr>
                </w:p>
                <w:p w:rsidR="00057B6D" w:rsidRPr="00DE03FA" w:rsidRDefault="00057B6D" w:rsidP="002A0253">
                  <w:pPr>
                    <w:pStyle w:val="Sinespaciado"/>
                    <w:jc w:val="center"/>
                    <w:rPr>
                      <w:rFonts w:ascii="Trebuchet MS" w:hAnsi="Trebuchet MS"/>
                      <w:kern w:val="18"/>
                      <w:sz w:val="23"/>
                      <w:szCs w:val="23"/>
                    </w:rPr>
                  </w:pPr>
                  <w:r w:rsidRPr="00DE03FA">
                    <w:rPr>
                      <w:rFonts w:ascii="Trebuchet MS" w:hAnsi="Trebuchet MS"/>
                      <w:kern w:val="18"/>
                      <w:sz w:val="23"/>
                      <w:szCs w:val="23"/>
                    </w:rPr>
                    <w:t>Manuel Alejandro Murillo Gutiérrez</w:t>
                  </w:r>
                </w:p>
                <w:p w:rsidR="00057B6D" w:rsidRPr="00DE03FA" w:rsidRDefault="00057B6D" w:rsidP="002A0253">
                  <w:pPr>
                    <w:pStyle w:val="Sinespaciado"/>
                    <w:jc w:val="center"/>
                    <w:rPr>
                      <w:rFonts w:ascii="Trebuchet MS" w:hAnsi="Trebuchet MS"/>
                      <w:kern w:val="18"/>
                      <w:sz w:val="23"/>
                      <w:szCs w:val="23"/>
                    </w:rPr>
                  </w:pPr>
                  <w:r w:rsidRPr="00DE03FA">
                    <w:rPr>
                      <w:rFonts w:ascii="Trebuchet MS" w:hAnsi="Trebuchet MS"/>
                      <w:kern w:val="18"/>
                      <w:sz w:val="23"/>
                      <w:szCs w:val="23"/>
                    </w:rPr>
                    <w:t>Secretario ejecutivo</w:t>
                  </w:r>
                </w:p>
              </w:tc>
            </w:tr>
          </w:tbl>
          <w:p w:rsidR="00057B6D" w:rsidRPr="00DE03FA" w:rsidRDefault="00057B6D" w:rsidP="002A0253">
            <w:pPr>
              <w:pStyle w:val="Sinespaciado"/>
              <w:jc w:val="center"/>
              <w:rPr>
                <w:rFonts w:ascii="Trebuchet MS" w:hAnsi="Trebuchet MS"/>
                <w:kern w:val="18"/>
                <w:sz w:val="23"/>
                <w:szCs w:val="23"/>
              </w:rPr>
            </w:pPr>
          </w:p>
        </w:tc>
        <w:tc>
          <w:tcPr>
            <w:tcW w:w="222" w:type="dxa"/>
            <w:shd w:val="clear" w:color="auto" w:fill="auto"/>
          </w:tcPr>
          <w:p w:rsidR="00057B6D" w:rsidRPr="00DE03FA" w:rsidRDefault="00057B6D" w:rsidP="002A0253">
            <w:pPr>
              <w:pStyle w:val="Sinespaciado"/>
              <w:jc w:val="center"/>
              <w:rPr>
                <w:rFonts w:ascii="Trebuchet MS" w:hAnsi="Trebuchet MS"/>
                <w:kern w:val="18"/>
                <w:sz w:val="23"/>
                <w:szCs w:val="23"/>
              </w:rPr>
            </w:pPr>
          </w:p>
        </w:tc>
      </w:tr>
    </w:tbl>
    <w:p w:rsidR="0027033D" w:rsidRPr="008146AD" w:rsidRDefault="0027033D" w:rsidP="002A0253">
      <w:pPr>
        <w:shd w:val="clear" w:color="auto" w:fill="FFFFFF"/>
        <w:jc w:val="center"/>
        <w:rPr>
          <w:rFonts w:ascii="Trebuchet MS" w:hAnsi="Trebuchet MS" w:cs="Arial"/>
          <w:b/>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57A8D" w:rsidRPr="00C036D5" w:rsidTr="003B614D">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7B6D" w:rsidRPr="00C036D5" w:rsidRDefault="00057B6D" w:rsidP="002A0253">
            <w:pPr>
              <w:jc w:val="center"/>
              <w:rPr>
                <w:rFonts w:ascii="Trebuchet MS" w:hAnsi="Trebuchet MS"/>
                <w:sz w:val="16"/>
                <w:szCs w:val="16"/>
              </w:rPr>
            </w:pPr>
          </w:p>
          <w:p w:rsidR="00057B6D" w:rsidRPr="00C036D5" w:rsidRDefault="00A80B0E" w:rsidP="002A0253">
            <w:pPr>
              <w:jc w:val="center"/>
              <w:rPr>
                <w:rFonts w:ascii="Trebuchet MS" w:hAnsi="Trebuchet MS"/>
                <w:sz w:val="16"/>
                <w:szCs w:val="16"/>
              </w:rPr>
            </w:pPr>
            <w:r w:rsidRPr="00C036D5">
              <w:rPr>
                <w:rFonts w:ascii="Trebuchet MS" w:hAnsi="Trebuchet MS"/>
                <w:sz w:val="16"/>
                <w:szCs w:val="16"/>
              </w:rPr>
              <w:t>CMT</w:t>
            </w:r>
          </w:p>
          <w:p w:rsidR="00057B6D" w:rsidRPr="00C036D5" w:rsidRDefault="00057B6D" w:rsidP="002A0253">
            <w:pPr>
              <w:jc w:val="center"/>
              <w:rPr>
                <w:rFonts w:ascii="Trebuchet MS" w:hAnsi="Trebuchet MS"/>
                <w:sz w:val="16"/>
                <w:szCs w:val="16"/>
              </w:rPr>
            </w:pPr>
            <w:proofErr w:type="spellStart"/>
            <w:r w:rsidRPr="00C036D5">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7B6D" w:rsidRPr="00C036D5" w:rsidRDefault="00057B6D" w:rsidP="002A0253">
            <w:pPr>
              <w:jc w:val="center"/>
              <w:rPr>
                <w:rFonts w:ascii="Trebuchet MS" w:hAnsi="Trebuchet MS"/>
                <w:sz w:val="16"/>
                <w:szCs w:val="16"/>
              </w:rPr>
            </w:pPr>
          </w:p>
          <w:p w:rsidR="00057B6D" w:rsidRPr="00C036D5" w:rsidRDefault="0097665D" w:rsidP="002A0253">
            <w:pPr>
              <w:jc w:val="center"/>
              <w:rPr>
                <w:rFonts w:ascii="Trebuchet MS" w:hAnsi="Trebuchet MS"/>
                <w:sz w:val="16"/>
                <w:szCs w:val="16"/>
              </w:rPr>
            </w:pPr>
            <w:r>
              <w:rPr>
                <w:rFonts w:ascii="Trebuchet MS" w:hAnsi="Trebuchet MS"/>
                <w:sz w:val="16"/>
                <w:szCs w:val="16"/>
              </w:rPr>
              <w:t>TETC</w:t>
            </w:r>
          </w:p>
          <w:p w:rsidR="00057B6D" w:rsidRPr="00C036D5" w:rsidRDefault="00057B6D" w:rsidP="002A0253">
            <w:pPr>
              <w:jc w:val="center"/>
              <w:rPr>
                <w:rFonts w:ascii="Trebuchet MS" w:hAnsi="Trebuchet MS"/>
                <w:sz w:val="16"/>
                <w:szCs w:val="16"/>
              </w:rPr>
            </w:pPr>
            <w:r w:rsidRPr="00C036D5">
              <w:rPr>
                <w:rFonts w:ascii="Trebuchet MS" w:hAnsi="Trebuchet MS"/>
                <w:sz w:val="16"/>
                <w:szCs w:val="16"/>
              </w:rPr>
              <w:t>Elaboró</w:t>
            </w:r>
          </w:p>
        </w:tc>
      </w:tr>
    </w:tbl>
    <w:p w:rsidR="003B614D" w:rsidRDefault="003B614D" w:rsidP="002A0253">
      <w:pPr>
        <w:jc w:val="both"/>
        <w:rPr>
          <w:szCs w:val="24"/>
        </w:rPr>
      </w:pPr>
    </w:p>
    <w:p w:rsidR="00E63213" w:rsidRDefault="00E63213" w:rsidP="002A0253">
      <w:pPr>
        <w:jc w:val="both"/>
        <w:rPr>
          <w:szCs w:val="24"/>
        </w:rPr>
      </w:pPr>
      <w:bookmarkStart w:id="0" w:name="_GoBack"/>
      <w:bookmarkEnd w:id="0"/>
    </w:p>
    <w:p w:rsidR="00F53F17" w:rsidRPr="00D7616C" w:rsidRDefault="00F53F17" w:rsidP="00F53F17">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veintiséis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provisional Brenda Judith Serafín </w:t>
      </w:r>
      <w:proofErr w:type="spellStart"/>
      <w:r>
        <w:rPr>
          <w:rFonts w:ascii="Trebuchet MS" w:hAnsi="Trebuchet MS"/>
          <w:bCs/>
          <w:sz w:val="16"/>
          <w:szCs w:val="16"/>
        </w:rPr>
        <w:t>Morfín</w:t>
      </w:r>
      <w:proofErr w:type="spellEnd"/>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F53F17" w:rsidRPr="00D7616C" w:rsidRDefault="00F53F17" w:rsidP="00F53F17">
      <w:pPr>
        <w:jc w:val="both"/>
        <w:rPr>
          <w:rFonts w:ascii="Trebuchet MS" w:hAnsi="Trebuchet MS"/>
          <w:sz w:val="16"/>
          <w:szCs w:val="16"/>
        </w:rPr>
      </w:pPr>
    </w:p>
    <w:p w:rsidR="00F53F17" w:rsidRDefault="00F53F17" w:rsidP="00F53F17">
      <w:pPr>
        <w:jc w:val="both"/>
        <w:rPr>
          <w:rFonts w:ascii="Trebuchet MS" w:hAnsi="Trebuchet MS"/>
          <w:sz w:val="16"/>
          <w:szCs w:val="16"/>
        </w:rPr>
      </w:pPr>
    </w:p>
    <w:p w:rsidR="00F53F17" w:rsidRDefault="00F53F17" w:rsidP="00F53F17">
      <w:pPr>
        <w:jc w:val="both"/>
        <w:rPr>
          <w:rFonts w:ascii="Trebuchet MS" w:hAnsi="Trebuchet MS"/>
          <w:sz w:val="16"/>
          <w:szCs w:val="16"/>
        </w:rPr>
      </w:pPr>
    </w:p>
    <w:p w:rsidR="00F53F17" w:rsidRPr="00D7616C" w:rsidRDefault="00F53F17" w:rsidP="00F53F17">
      <w:pPr>
        <w:jc w:val="both"/>
        <w:rPr>
          <w:rFonts w:ascii="Trebuchet MS" w:hAnsi="Trebuchet MS"/>
          <w:sz w:val="16"/>
          <w:szCs w:val="16"/>
        </w:rPr>
      </w:pPr>
    </w:p>
    <w:p w:rsidR="00F53F17" w:rsidRPr="0068640C" w:rsidRDefault="00F53F17" w:rsidP="00F53F17">
      <w:pPr>
        <w:pStyle w:val="Textoindependiente"/>
        <w:spacing w:after="0"/>
        <w:jc w:val="center"/>
        <w:rPr>
          <w:rFonts w:ascii="Trebuchet MS" w:hAnsi="Trebuchet MS"/>
          <w:b/>
          <w:sz w:val="16"/>
          <w:szCs w:val="16"/>
        </w:rPr>
      </w:pPr>
      <w:r w:rsidRPr="0068640C">
        <w:rPr>
          <w:rFonts w:ascii="Trebuchet MS" w:hAnsi="Trebuchet MS"/>
          <w:sz w:val="16"/>
          <w:szCs w:val="16"/>
        </w:rPr>
        <w:t>Manuel Alejandro Murillo Gutiérrez</w:t>
      </w:r>
    </w:p>
    <w:p w:rsidR="00F53F17" w:rsidRPr="0068640C" w:rsidRDefault="00F53F17" w:rsidP="00F53F17">
      <w:pPr>
        <w:pStyle w:val="Textoindependiente"/>
        <w:spacing w:after="0"/>
        <w:jc w:val="center"/>
        <w:rPr>
          <w:rFonts w:ascii="Trebuchet MS" w:hAnsi="Trebuchet MS"/>
          <w:b/>
          <w:sz w:val="16"/>
          <w:szCs w:val="16"/>
        </w:rPr>
      </w:pPr>
      <w:r w:rsidRPr="0068640C">
        <w:rPr>
          <w:rFonts w:ascii="Trebuchet MS" w:hAnsi="Trebuchet MS"/>
          <w:sz w:val="16"/>
          <w:szCs w:val="16"/>
        </w:rPr>
        <w:t>Secretario ejecutivo</w:t>
      </w:r>
    </w:p>
    <w:p w:rsidR="00F53F17" w:rsidRPr="00563BF7" w:rsidRDefault="00F53F17" w:rsidP="00F53F17">
      <w:pPr>
        <w:jc w:val="both"/>
        <w:rPr>
          <w:rFonts w:ascii="Trebuchet MS" w:hAnsi="Trebuchet MS"/>
          <w:sz w:val="18"/>
          <w:szCs w:val="18"/>
        </w:rPr>
      </w:pPr>
    </w:p>
    <w:p w:rsidR="00F53F17" w:rsidRDefault="00F53F17" w:rsidP="00F53F17">
      <w:pPr>
        <w:jc w:val="both"/>
      </w:pPr>
    </w:p>
    <w:p w:rsidR="00234EFC" w:rsidRDefault="00234EFC" w:rsidP="00234EFC">
      <w:pPr>
        <w:jc w:val="both"/>
        <w:rPr>
          <w:rFonts w:ascii="Trebuchet MS" w:hAnsi="Trebuchet MS"/>
          <w:sz w:val="16"/>
          <w:szCs w:val="16"/>
        </w:rPr>
      </w:pPr>
    </w:p>
    <w:p w:rsidR="00234EFC" w:rsidRDefault="00234EFC" w:rsidP="00234EFC">
      <w:pPr>
        <w:jc w:val="both"/>
        <w:rPr>
          <w:rFonts w:ascii="Trebuchet MS" w:hAnsi="Trebuchet MS"/>
          <w:sz w:val="16"/>
          <w:szCs w:val="16"/>
        </w:rPr>
      </w:pPr>
    </w:p>
    <w:sectPr w:rsidR="00234EFC" w:rsidSect="00951A8D">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CF" w:rsidRDefault="00D10ECF">
      <w:r>
        <w:separator/>
      </w:r>
    </w:p>
  </w:endnote>
  <w:endnote w:type="continuationSeparator" w:id="0">
    <w:p w:rsidR="00D10ECF" w:rsidRDefault="00D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375233717"/>
      <w:docPartObj>
        <w:docPartGallery w:val="Page Numbers (Bottom of Page)"/>
        <w:docPartUnique/>
      </w:docPartObj>
    </w:sdtPr>
    <w:sdtEndPr/>
    <w:sdtContent>
      <w:sdt>
        <w:sdtPr>
          <w:rPr>
            <w:rFonts w:ascii="Trebuchet MS" w:hAnsi="Trebuchet MS"/>
            <w:b/>
            <w:sz w:val="18"/>
            <w:szCs w:val="18"/>
          </w:rPr>
          <w:id w:val="860082579"/>
          <w:docPartObj>
            <w:docPartGallery w:val="Page Numbers (Top of Page)"/>
            <w:docPartUnique/>
          </w:docPartObj>
        </w:sdtPr>
        <w:sdtEndPr/>
        <w:sdtContent>
          <w:p w:rsidR="002550E0" w:rsidRPr="00FA1F4C" w:rsidRDefault="002550E0">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Pr="00FA1F4C">
              <w:rPr>
                <w:rFonts w:ascii="Trebuchet MS" w:hAnsi="Trebuchet MS"/>
                <w:b/>
                <w:bCs/>
                <w:sz w:val="18"/>
                <w:szCs w:val="18"/>
              </w:rPr>
              <w:fldChar w:fldCharType="separate"/>
            </w:r>
            <w:r w:rsidR="00E63213">
              <w:rPr>
                <w:rFonts w:ascii="Trebuchet MS" w:hAnsi="Trebuchet MS"/>
                <w:b/>
                <w:bCs/>
                <w:noProof/>
                <w:sz w:val="18"/>
                <w:szCs w:val="18"/>
              </w:rPr>
              <w:t>6</w:t>
            </w:r>
            <w:r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Pr="00FA1F4C">
              <w:rPr>
                <w:rFonts w:ascii="Trebuchet MS" w:hAnsi="Trebuchet MS"/>
                <w:b/>
                <w:bCs/>
                <w:sz w:val="18"/>
                <w:szCs w:val="18"/>
              </w:rPr>
              <w:fldChar w:fldCharType="separate"/>
            </w:r>
            <w:r w:rsidR="00E63213">
              <w:rPr>
                <w:rFonts w:ascii="Trebuchet MS" w:hAnsi="Trebuchet MS"/>
                <w:b/>
                <w:bCs/>
                <w:noProof/>
                <w:sz w:val="18"/>
                <w:szCs w:val="18"/>
              </w:rPr>
              <w:t>6</w:t>
            </w:r>
            <w:r w:rsidRPr="00FA1F4C">
              <w:rPr>
                <w:rFonts w:ascii="Trebuchet MS" w:hAnsi="Trebuchet MS"/>
                <w:b/>
                <w:bCs/>
                <w:sz w:val="18"/>
                <w:szCs w:val="18"/>
              </w:rPr>
              <w:fldChar w:fldCharType="end"/>
            </w:r>
          </w:p>
        </w:sdtContent>
      </w:sdt>
    </w:sdtContent>
  </w:sdt>
  <w:p w:rsidR="002550E0" w:rsidRDefault="002550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CF" w:rsidRDefault="00D10ECF">
      <w:r>
        <w:separator/>
      </w:r>
    </w:p>
  </w:footnote>
  <w:footnote w:type="continuationSeparator" w:id="0">
    <w:p w:rsidR="00D10ECF" w:rsidRDefault="00D1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E0" w:rsidRDefault="00D10E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09751" o:spid="_x0000_s2050" type="#_x0000_t136" style="position:absolute;margin-left:0;margin-top:0;width:498.4pt;height:124.6pt;rotation:315;z-index:-25165363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CD2CC5">
      <w:rPr>
        <w:noProof/>
        <w:lang w:eastAsia="es-MX"/>
      </w:rPr>
      <mc:AlternateContent>
        <mc:Choice Requires="wps">
          <w:drawing>
            <wp:anchor distT="0" distB="0" distL="114300" distR="114300" simplePos="0" relativeHeight="251658752" behindDoc="1" locked="0" layoutInCell="0" allowOverlap="1" wp14:anchorId="58AF2013" wp14:editId="516E622D">
              <wp:simplePos x="0" y="0"/>
              <wp:positionH relativeFrom="margin">
                <wp:align>center</wp:align>
              </wp:positionH>
              <wp:positionV relativeFrom="margin">
                <wp:align>center</wp:align>
              </wp:positionV>
              <wp:extent cx="6329680" cy="158242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0E0" w:rsidRDefault="002550E0" w:rsidP="007E7532">
                          <w:pPr>
                            <w:jc w:val="center"/>
                            <w:rPr>
                              <w:rFonts w:ascii="Trebuchet MS" w:hAnsi="Trebuchet MS"/>
                              <w:color w:val="C0C0C0"/>
                              <w:sz w:val="2"/>
                              <w:szCs w:val="2"/>
                            </w:rP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AF2013"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KV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cUii&#10;l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2550E0" w:rsidRDefault="002550E0" w:rsidP="007E7532">
                    <w:pPr>
                      <w:jc w:val="center"/>
                      <w:rPr>
                        <w:rFonts w:ascii="Trebuchet MS" w:hAnsi="Trebuchet MS"/>
                        <w:color w:val="C0C0C0"/>
                        <w:sz w:val="2"/>
                        <w:szCs w:val="2"/>
                      </w:rPr>
                    </w:pPr>
                    <w:r>
                      <w:rPr>
                        <w:rFonts w:ascii="Trebuchet MS" w:hAnsi="Trebuchet MS"/>
                        <w:color w:val="C0C0C0"/>
                        <w:sz w:val="2"/>
                        <w:szCs w:val="2"/>
                      </w:rPr>
                      <w:t>PROYECTO</w:t>
                    </w:r>
                  </w:p>
                </w:txbxContent>
              </v:textbox>
              <w10:wrap anchorx="margin" anchory="margin"/>
            </v:shape>
          </w:pict>
        </mc:Fallback>
      </mc:AlternateContent>
    </w:r>
    <w:r w:rsidR="00CD2CC5">
      <w:rPr>
        <w:noProof/>
        <w:lang w:eastAsia="es-MX"/>
      </w:rPr>
      <mc:AlternateContent>
        <mc:Choice Requires="wps">
          <w:drawing>
            <wp:anchor distT="0" distB="0" distL="114300" distR="114300" simplePos="0" relativeHeight="251656704" behindDoc="1" locked="0" layoutInCell="0" allowOverlap="1" wp14:anchorId="12B93A0F" wp14:editId="66F4FF87">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B93A0F" id="WordArt 2" o:spid="_x0000_s1027"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E0" w:rsidRDefault="00CD2CC5">
    <w:pPr>
      <w:pStyle w:val="Encabezado"/>
      <w:rPr>
        <w:rFonts w:ascii="Trebuchet MS" w:hAnsi="Trebuchet MS"/>
        <w:b/>
      </w:rPr>
    </w:pPr>
    <w:r>
      <w:rPr>
        <w:noProof/>
        <w:lang w:eastAsia="es-MX"/>
      </w:rPr>
      <mc:AlternateContent>
        <mc:Choice Requires="wps">
          <w:drawing>
            <wp:anchor distT="0" distB="0" distL="114300" distR="114300" simplePos="0" relativeHeight="251657728" behindDoc="1" locked="0" layoutInCell="0" allowOverlap="1" wp14:anchorId="33446BE0" wp14:editId="62EB3023">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FBD314" id="_x0000_t202" coordsize="21600,21600" o:spt="202" path="m,l,21600r21600,l21600,xe">
              <v:stroke joinstyle="miter"/>
              <v:path gradientshapeok="t" o:connecttype="rect"/>
            </v:shapetype>
            <v:shape id="_x0000_s1028" type="#_x0000_t202" style="position:absolute;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QhgIAAAI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Dzx9kQ&#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2550E0" w:rsidRPr="00951A8D">
      <w:rPr>
        <w:rFonts w:ascii="Trebuchet MS" w:hAnsi="Trebuchet MS"/>
        <w:b/>
        <w:noProof/>
        <w:lang w:eastAsia="es-MX"/>
      </w:rPr>
      <w:drawing>
        <wp:inline distT="0" distB="0" distL="0" distR="0" wp14:anchorId="73A29EA8" wp14:editId="40AD7B1B">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80D10" w:rsidRDefault="0055703D" w:rsidP="00D80D10">
    <w:pPr>
      <w:pStyle w:val="Encabezado"/>
    </w:pPr>
    <w:r>
      <w:rPr>
        <w:rFonts w:ascii="Trebuchet MS" w:hAnsi="Trebuchet MS"/>
        <w:b/>
      </w:rPr>
      <w:tab/>
    </w:r>
    <w:r>
      <w:rPr>
        <w:rFonts w:ascii="Trebuchet MS" w:hAnsi="Trebuchet MS"/>
        <w:b/>
      </w:rPr>
      <w:tab/>
      <w:t>IEPC-ACG-353/2021</w:t>
    </w:r>
    <w:r w:rsidR="002C3404">
      <w:rPr>
        <w:rFonts w:ascii="Trebuchet MS" w:hAnsi="Trebuchet MS"/>
        <w:b/>
      </w:rPr>
      <w:tab/>
    </w:r>
  </w:p>
  <w:p w:rsidR="002550E0" w:rsidRDefault="002550E0" w:rsidP="002C340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77" w:rsidRDefault="00D10E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09750" o:spid="_x0000_s2049" type="#_x0000_t136" style="position:absolute;margin-left:0;margin-top:0;width:498.4pt;height:124.6pt;rotation:315;z-index:-25165568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4">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F284537"/>
    <w:multiLevelType w:val="hybridMultilevel"/>
    <w:tmpl w:val="FD50A5AE"/>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2"/>
  </w:num>
  <w:num w:numId="2">
    <w:abstractNumId w:val="9"/>
  </w:num>
  <w:num w:numId="3">
    <w:abstractNumId w:val="7"/>
  </w:num>
  <w:num w:numId="4">
    <w:abstractNumId w:val="6"/>
  </w:num>
  <w:num w:numId="5">
    <w:abstractNumId w:val="5"/>
  </w:num>
  <w:num w:numId="6">
    <w:abstractNumId w:val="11"/>
  </w:num>
  <w:num w:numId="7">
    <w:abstractNumId w:val="3"/>
  </w:num>
  <w:num w:numId="8">
    <w:abstractNumId w:val="10"/>
  </w:num>
  <w:num w:numId="9">
    <w:abstractNumId w:val="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1"/>
    <w:rsid w:val="0000019F"/>
    <w:rsid w:val="00000FA2"/>
    <w:rsid w:val="00004C8A"/>
    <w:rsid w:val="000052EB"/>
    <w:rsid w:val="00005F64"/>
    <w:rsid w:val="0001190E"/>
    <w:rsid w:val="00020C59"/>
    <w:rsid w:val="00021CBC"/>
    <w:rsid w:val="0002417E"/>
    <w:rsid w:val="00033A37"/>
    <w:rsid w:val="0003652D"/>
    <w:rsid w:val="000411D1"/>
    <w:rsid w:val="00041F24"/>
    <w:rsid w:val="00051970"/>
    <w:rsid w:val="00057B6D"/>
    <w:rsid w:val="000643DE"/>
    <w:rsid w:val="00067F5C"/>
    <w:rsid w:val="000811D0"/>
    <w:rsid w:val="00084504"/>
    <w:rsid w:val="00090115"/>
    <w:rsid w:val="000A4379"/>
    <w:rsid w:val="000B1BAD"/>
    <w:rsid w:val="000B39B8"/>
    <w:rsid w:val="000B41FD"/>
    <w:rsid w:val="000B6185"/>
    <w:rsid w:val="000C0E63"/>
    <w:rsid w:val="000D4BE1"/>
    <w:rsid w:val="000E5A2B"/>
    <w:rsid w:val="000F01BB"/>
    <w:rsid w:val="000F4159"/>
    <w:rsid w:val="000F4CF1"/>
    <w:rsid w:val="000F4E43"/>
    <w:rsid w:val="000F6F4F"/>
    <w:rsid w:val="001003E8"/>
    <w:rsid w:val="00103244"/>
    <w:rsid w:val="00111461"/>
    <w:rsid w:val="001144F2"/>
    <w:rsid w:val="00114E98"/>
    <w:rsid w:val="0012799A"/>
    <w:rsid w:val="001303D8"/>
    <w:rsid w:val="0013260B"/>
    <w:rsid w:val="001332F4"/>
    <w:rsid w:val="001334BF"/>
    <w:rsid w:val="001418AF"/>
    <w:rsid w:val="00145C20"/>
    <w:rsid w:val="00145D8A"/>
    <w:rsid w:val="0015209A"/>
    <w:rsid w:val="0016720B"/>
    <w:rsid w:val="00175439"/>
    <w:rsid w:val="00184D86"/>
    <w:rsid w:val="00187D8E"/>
    <w:rsid w:val="001903FD"/>
    <w:rsid w:val="00194D05"/>
    <w:rsid w:val="00197BCC"/>
    <w:rsid w:val="001B15EE"/>
    <w:rsid w:val="001B1980"/>
    <w:rsid w:val="001B4252"/>
    <w:rsid w:val="001B5955"/>
    <w:rsid w:val="001B7B73"/>
    <w:rsid w:val="001E2EEA"/>
    <w:rsid w:val="001E7C80"/>
    <w:rsid w:val="00201BAE"/>
    <w:rsid w:val="00205A2B"/>
    <w:rsid w:val="002100C3"/>
    <w:rsid w:val="00212F85"/>
    <w:rsid w:val="00213024"/>
    <w:rsid w:val="002160A8"/>
    <w:rsid w:val="002178E6"/>
    <w:rsid w:val="002217EB"/>
    <w:rsid w:val="0022554E"/>
    <w:rsid w:val="002272B0"/>
    <w:rsid w:val="00233482"/>
    <w:rsid w:val="00234EFC"/>
    <w:rsid w:val="0024371C"/>
    <w:rsid w:val="002518F1"/>
    <w:rsid w:val="002550E0"/>
    <w:rsid w:val="00257FCE"/>
    <w:rsid w:val="0027033D"/>
    <w:rsid w:val="002849DB"/>
    <w:rsid w:val="00290DAA"/>
    <w:rsid w:val="00294448"/>
    <w:rsid w:val="002A0253"/>
    <w:rsid w:val="002A06D1"/>
    <w:rsid w:val="002A0DC2"/>
    <w:rsid w:val="002A329E"/>
    <w:rsid w:val="002A4212"/>
    <w:rsid w:val="002A4253"/>
    <w:rsid w:val="002B33C3"/>
    <w:rsid w:val="002B3A68"/>
    <w:rsid w:val="002C1A78"/>
    <w:rsid w:val="002C3404"/>
    <w:rsid w:val="002D2028"/>
    <w:rsid w:val="002D2352"/>
    <w:rsid w:val="002E3BCC"/>
    <w:rsid w:val="002F09BA"/>
    <w:rsid w:val="0030128E"/>
    <w:rsid w:val="00312733"/>
    <w:rsid w:val="0032182B"/>
    <w:rsid w:val="0032219D"/>
    <w:rsid w:val="00327512"/>
    <w:rsid w:val="003303D4"/>
    <w:rsid w:val="00330939"/>
    <w:rsid w:val="00335D6F"/>
    <w:rsid w:val="00347936"/>
    <w:rsid w:val="00357A8D"/>
    <w:rsid w:val="00360B2F"/>
    <w:rsid w:val="0036193C"/>
    <w:rsid w:val="00365F8A"/>
    <w:rsid w:val="003761FD"/>
    <w:rsid w:val="003B614D"/>
    <w:rsid w:val="003B7615"/>
    <w:rsid w:val="003B777A"/>
    <w:rsid w:val="003C3677"/>
    <w:rsid w:val="003C39A8"/>
    <w:rsid w:val="003C7C62"/>
    <w:rsid w:val="003D1CBD"/>
    <w:rsid w:val="003D5E33"/>
    <w:rsid w:val="003E0ACB"/>
    <w:rsid w:val="003E4EA1"/>
    <w:rsid w:val="003F0A7D"/>
    <w:rsid w:val="003F4457"/>
    <w:rsid w:val="003F4E17"/>
    <w:rsid w:val="003F73CD"/>
    <w:rsid w:val="00407E46"/>
    <w:rsid w:val="00411BC7"/>
    <w:rsid w:val="00416637"/>
    <w:rsid w:val="00424E12"/>
    <w:rsid w:val="0043371D"/>
    <w:rsid w:val="00452E3E"/>
    <w:rsid w:val="0045775F"/>
    <w:rsid w:val="0046286D"/>
    <w:rsid w:val="00466D95"/>
    <w:rsid w:val="00480017"/>
    <w:rsid w:val="00480375"/>
    <w:rsid w:val="004942EB"/>
    <w:rsid w:val="004A2445"/>
    <w:rsid w:val="004B366F"/>
    <w:rsid w:val="004C18B4"/>
    <w:rsid w:val="004C27D5"/>
    <w:rsid w:val="004C6549"/>
    <w:rsid w:val="004D07BC"/>
    <w:rsid w:val="004D2242"/>
    <w:rsid w:val="004D251D"/>
    <w:rsid w:val="004D6D3B"/>
    <w:rsid w:val="00512C62"/>
    <w:rsid w:val="0052205F"/>
    <w:rsid w:val="0054065F"/>
    <w:rsid w:val="0055703D"/>
    <w:rsid w:val="00560FA3"/>
    <w:rsid w:val="005640EC"/>
    <w:rsid w:val="00564E21"/>
    <w:rsid w:val="00573A11"/>
    <w:rsid w:val="00574F75"/>
    <w:rsid w:val="005764FB"/>
    <w:rsid w:val="005919ED"/>
    <w:rsid w:val="005A6007"/>
    <w:rsid w:val="005B2104"/>
    <w:rsid w:val="005B3C9C"/>
    <w:rsid w:val="005B53B1"/>
    <w:rsid w:val="005C61E2"/>
    <w:rsid w:val="005C6A1D"/>
    <w:rsid w:val="005D7FC9"/>
    <w:rsid w:val="006008C5"/>
    <w:rsid w:val="00613EE2"/>
    <w:rsid w:val="00614D21"/>
    <w:rsid w:val="00624849"/>
    <w:rsid w:val="00632F78"/>
    <w:rsid w:val="006406F4"/>
    <w:rsid w:val="00640954"/>
    <w:rsid w:val="00642CEB"/>
    <w:rsid w:val="0065407A"/>
    <w:rsid w:val="006614B7"/>
    <w:rsid w:val="00661DA0"/>
    <w:rsid w:val="006706D6"/>
    <w:rsid w:val="00672F48"/>
    <w:rsid w:val="006732EC"/>
    <w:rsid w:val="00681F1E"/>
    <w:rsid w:val="00684BBD"/>
    <w:rsid w:val="0069410B"/>
    <w:rsid w:val="006A0C71"/>
    <w:rsid w:val="006A162B"/>
    <w:rsid w:val="006B501E"/>
    <w:rsid w:val="006C5BCE"/>
    <w:rsid w:val="006D1486"/>
    <w:rsid w:val="006D4E59"/>
    <w:rsid w:val="006E4685"/>
    <w:rsid w:val="006E76AC"/>
    <w:rsid w:val="0070246E"/>
    <w:rsid w:val="00702821"/>
    <w:rsid w:val="0070540A"/>
    <w:rsid w:val="00705AFB"/>
    <w:rsid w:val="00727629"/>
    <w:rsid w:val="0073024B"/>
    <w:rsid w:val="007348EF"/>
    <w:rsid w:val="00735363"/>
    <w:rsid w:val="00750437"/>
    <w:rsid w:val="00771EEA"/>
    <w:rsid w:val="007754B5"/>
    <w:rsid w:val="00776DDE"/>
    <w:rsid w:val="007779CB"/>
    <w:rsid w:val="007851C2"/>
    <w:rsid w:val="007867E7"/>
    <w:rsid w:val="007A016A"/>
    <w:rsid w:val="007A0C47"/>
    <w:rsid w:val="007A38B5"/>
    <w:rsid w:val="007B1901"/>
    <w:rsid w:val="007D3609"/>
    <w:rsid w:val="007D4760"/>
    <w:rsid w:val="007E7532"/>
    <w:rsid w:val="007F007C"/>
    <w:rsid w:val="007F0ACF"/>
    <w:rsid w:val="007F244B"/>
    <w:rsid w:val="007F329C"/>
    <w:rsid w:val="0080568E"/>
    <w:rsid w:val="00811369"/>
    <w:rsid w:val="008146AD"/>
    <w:rsid w:val="00827F78"/>
    <w:rsid w:val="00833477"/>
    <w:rsid w:val="00840029"/>
    <w:rsid w:val="008415AE"/>
    <w:rsid w:val="00841815"/>
    <w:rsid w:val="008427F0"/>
    <w:rsid w:val="008443BD"/>
    <w:rsid w:val="00846F07"/>
    <w:rsid w:val="00847FB3"/>
    <w:rsid w:val="00853A56"/>
    <w:rsid w:val="00854E81"/>
    <w:rsid w:val="00862757"/>
    <w:rsid w:val="00865BDB"/>
    <w:rsid w:val="00885F2B"/>
    <w:rsid w:val="00897B5D"/>
    <w:rsid w:val="008A3ED8"/>
    <w:rsid w:val="008A6527"/>
    <w:rsid w:val="008C1FEE"/>
    <w:rsid w:val="008C3207"/>
    <w:rsid w:val="008C5728"/>
    <w:rsid w:val="008C7430"/>
    <w:rsid w:val="008E05FF"/>
    <w:rsid w:val="008E2756"/>
    <w:rsid w:val="008E325E"/>
    <w:rsid w:val="008F2196"/>
    <w:rsid w:val="008F39D2"/>
    <w:rsid w:val="009150AE"/>
    <w:rsid w:val="00917BB8"/>
    <w:rsid w:val="009225FB"/>
    <w:rsid w:val="00923D44"/>
    <w:rsid w:val="00925FA8"/>
    <w:rsid w:val="00926273"/>
    <w:rsid w:val="0093171F"/>
    <w:rsid w:val="00934DE4"/>
    <w:rsid w:val="00940119"/>
    <w:rsid w:val="0094340F"/>
    <w:rsid w:val="00951A8D"/>
    <w:rsid w:val="0095754E"/>
    <w:rsid w:val="00957CAB"/>
    <w:rsid w:val="00963F77"/>
    <w:rsid w:val="009658EC"/>
    <w:rsid w:val="0097665D"/>
    <w:rsid w:val="00977823"/>
    <w:rsid w:val="0098312C"/>
    <w:rsid w:val="009932B8"/>
    <w:rsid w:val="00995526"/>
    <w:rsid w:val="009A380C"/>
    <w:rsid w:val="009A59DE"/>
    <w:rsid w:val="009B1497"/>
    <w:rsid w:val="009D0EE9"/>
    <w:rsid w:val="009D4170"/>
    <w:rsid w:val="00A005C1"/>
    <w:rsid w:val="00A0289E"/>
    <w:rsid w:val="00A03594"/>
    <w:rsid w:val="00A6378B"/>
    <w:rsid w:val="00A64818"/>
    <w:rsid w:val="00A70965"/>
    <w:rsid w:val="00A746AC"/>
    <w:rsid w:val="00A80B0E"/>
    <w:rsid w:val="00A824EA"/>
    <w:rsid w:val="00A93305"/>
    <w:rsid w:val="00A96DDB"/>
    <w:rsid w:val="00AC2849"/>
    <w:rsid w:val="00AC439C"/>
    <w:rsid w:val="00AD006C"/>
    <w:rsid w:val="00AD33D2"/>
    <w:rsid w:val="00AE57CE"/>
    <w:rsid w:val="00AF3704"/>
    <w:rsid w:val="00AF38A9"/>
    <w:rsid w:val="00AF42F7"/>
    <w:rsid w:val="00B25A08"/>
    <w:rsid w:val="00B25F75"/>
    <w:rsid w:val="00B265DD"/>
    <w:rsid w:val="00B317A2"/>
    <w:rsid w:val="00B324AE"/>
    <w:rsid w:val="00B42B9D"/>
    <w:rsid w:val="00B46096"/>
    <w:rsid w:val="00B46D19"/>
    <w:rsid w:val="00B47B32"/>
    <w:rsid w:val="00B5046D"/>
    <w:rsid w:val="00B50D86"/>
    <w:rsid w:val="00B55FF1"/>
    <w:rsid w:val="00B60A84"/>
    <w:rsid w:val="00B60C46"/>
    <w:rsid w:val="00B62C5C"/>
    <w:rsid w:val="00B639CB"/>
    <w:rsid w:val="00B70600"/>
    <w:rsid w:val="00B809D9"/>
    <w:rsid w:val="00B821A7"/>
    <w:rsid w:val="00BA4925"/>
    <w:rsid w:val="00BA6A75"/>
    <w:rsid w:val="00BB22AA"/>
    <w:rsid w:val="00BB3934"/>
    <w:rsid w:val="00BB4468"/>
    <w:rsid w:val="00BC57E4"/>
    <w:rsid w:val="00BC6030"/>
    <w:rsid w:val="00BD0324"/>
    <w:rsid w:val="00BD2E45"/>
    <w:rsid w:val="00BE6082"/>
    <w:rsid w:val="00BE72C8"/>
    <w:rsid w:val="00BF1970"/>
    <w:rsid w:val="00BF3031"/>
    <w:rsid w:val="00C036D5"/>
    <w:rsid w:val="00C1574E"/>
    <w:rsid w:val="00C177C7"/>
    <w:rsid w:val="00C27525"/>
    <w:rsid w:val="00C30076"/>
    <w:rsid w:val="00C34BB7"/>
    <w:rsid w:val="00C50D36"/>
    <w:rsid w:val="00C54022"/>
    <w:rsid w:val="00C5553E"/>
    <w:rsid w:val="00C55B4D"/>
    <w:rsid w:val="00C602E0"/>
    <w:rsid w:val="00C67C1E"/>
    <w:rsid w:val="00C723D7"/>
    <w:rsid w:val="00C76DA4"/>
    <w:rsid w:val="00C821F5"/>
    <w:rsid w:val="00C84869"/>
    <w:rsid w:val="00C8524C"/>
    <w:rsid w:val="00C854D3"/>
    <w:rsid w:val="00CC0635"/>
    <w:rsid w:val="00CC32B1"/>
    <w:rsid w:val="00CD2CC5"/>
    <w:rsid w:val="00CD50B3"/>
    <w:rsid w:val="00CE07E0"/>
    <w:rsid w:val="00CE118A"/>
    <w:rsid w:val="00CE667A"/>
    <w:rsid w:val="00CF62DC"/>
    <w:rsid w:val="00D002E7"/>
    <w:rsid w:val="00D060B3"/>
    <w:rsid w:val="00D076BC"/>
    <w:rsid w:val="00D10ECF"/>
    <w:rsid w:val="00D13A58"/>
    <w:rsid w:val="00D23652"/>
    <w:rsid w:val="00D26593"/>
    <w:rsid w:val="00D34729"/>
    <w:rsid w:val="00D35614"/>
    <w:rsid w:val="00D40743"/>
    <w:rsid w:val="00D41399"/>
    <w:rsid w:val="00D52D8D"/>
    <w:rsid w:val="00D61F2C"/>
    <w:rsid w:val="00D6300D"/>
    <w:rsid w:val="00D636DA"/>
    <w:rsid w:val="00D63E38"/>
    <w:rsid w:val="00D701CC"/>
    <w:rsid w:val="00D77638"/>
    <w:rsid w:val="00D80D10"/>
    <w:rsid w:val="00D81828"/>
    <w:rsid w:val="00D90806"/>
    <w:rsid w:val="00D96B73"/>
    <w:rsid w:val="00DB49DA"/>
    <w:rsid w:val="00DC3020"/>
    <w:rsid w:val="00DC48B7"/>
    <w:rsid w:val="00DC5A01"/>
    <w:rsid w:val="00DC7623"/>
    <w:rsid w:val="00DD0226"/>
    <w:rsid w:val="00DD38CE"/>
    <w:rsid w:val="00DD492C"/>
    <w:rsid w:val="00DE03FA"/>
    <w:rsid w:val="00DE3ED9"/>
    <w:rsid w:val="00DF10AF"/>
    <w:rsid w:val="00DF2136"/>
    <w:rsid w:val="00DF3B66"/>
    <w:rsid w:val="00E04481"/>
    <w:rsid w:val="00E20FAD"/>
    <w:rsid w:val="00E241AB"/>
    <w:rsid w:val="00E25606"/>
    <w:rsid w:val="00E319F1"/>
    <w:rsid w:val="00E34066"/>
    <w:rsid w:val="00E50FF1"/>
    <w:rsid w:val="00E6140C"/>
    <w:rsid w:val="00E63213"/>
    <w:rsid w:val="00E67839"/>
    <w:rsid w:val="00E747F0"/>
    <w:rsid w:val="00E83C04"/>
    <w:rsid w:val="00EC0FFF"/>
    <w:rsid w:val="00ED371E"/>
    <w:rsid w:val="00EE0C51"/>
    <w:rsid w:val="00EE77E1"/>
    <w:rsid w:val="00EE7F5D"/>
    <w:rsid w:val="00EF40F5"/>
    <w:rsid w:val="00F01336"/>
    <w:rsid w:val="00F015B1"/>
    <w:rsid w:val="00F12439"/>
    <w:rsid w:val="00F12596"/>
    <w:rsid w:val="00F14CC6"/>
    <w:rsid w:val="00F15D97"/>
    <w:rsid w:val="00F16286"/>
    <w:rsid w:val="00F4702A"/>
    <w:rsid w:val="00F503E4"/>
    <w:rsid w:val="00F505CB"/>
    <w:rsid w:val="00F50886"/>
    <w:rsid w:val="00F5222D"/>
    <w:rsid w:val="00F53EDA"/>
    <w:rsid w:val="00F53F17"/>
    <w:rsid w:val="00F56D1B"/>
    <w:rsid w:val="00F62F12"/>
    <w:rsid w:val="00F64434"/>
    <w:rsid w:val="00F744B2"/>
    <w:rsid w:val="00F767E5"/>
    <w:rsid w:val="00F82E87"/>
    <w:rsid w:val="00F83F28"/>
    <w:rsid w:val="00F85329"/>
    <w:rsid w:val="00F904DD"/>
    <w:rsid w:val="00F96A17"/>
    <w:rsid w:val="00F97A54"/>
    <w:rsid w:val="00FA0896"/>
    <w:rsid w:val="00FA1F4C"/>
    <w:rsid w:val="00FB1DBA"/>
    <w:rsid w:val="00FB228A"/>
    <w:rsid w:val="00FB65D1"/>
    <w:rsid w:val="00FD605F"/>
    <w:rsid w:val="00FD68B3"/>
    <w:rsid w:val="00FE07A9"/>
    <w:rsid w:val="00FF14B0"/>
    <w:rsid w:val="00FF1681"/>
    <w:rsid w:val="00FF41E4"/>
    <w:rsid w:val="00FF5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uiPriority w:val="1"/>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qFormat/>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qFormat/>
    <w:rsid w:val="00963F77"/>
    <w:rPr>
      <w:sz w:val="20"/>
      <w:szCs w:val="20"/>
    </w:rPr>
  </w:style>
  <w:style w:type="character" w:styleId="Refdenotaalpie">
    <w:name w:val="footnote reference"/>
    <w:basedOn w:val="Fuentedeprrafopredeter"/>
    <w:link w:val="4GChar"/>
    <w:uiPriority w:val="99"/>
    <w:unhideWhenUsed/>
    <w:qFormat/>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42EB"/>
    <w:pPr>
      <w:jc w:val="both"/>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uiPriority w:val="1"/>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qFormat/>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qFormat/>
    <w:rsid w:val="00963F77"/>
    <w:rPr>
      <w:sz w:val="20"/>
      <w:szCs w:val="20"/>
    </w:rPr>
  </w:style>
  <w:style w:type="character" w:styleId="Refdenotaalpie">
    <w:name w:val="footnote reference"/>
    <w:basedOn w:val="Fuentedeprrafopredeter"/>
    <w:link w:val="4GChar"/>
    <w:uiPriority w:val="99"/>
    <w:unhideWhenUsed/>
    <w:qFormat/>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42EB"/>
    <w:pPr>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BD32C-4D71-444F-9294-C465F0EB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2402</Words>
  <Characters>13216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Tammy Erika Torres Cornejo</cp:lastModifiedBy>
  <cp:revision>15</cp:revision>
  <cp:lastPrinted>2021-10-25T23:43:00Z</cp:lastPrinted>
  <dcterms:created xsi:type="dcterms:W3CDTF">2021-10-27T18:07:00Z</dcterms:created>
  <dcterms:modified xsi:type="dcterms:W3CDTF">2021-10-27T18:18:00Z</dcterms:modified>
</cp:coreProperties>
</file>