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1D" w:rsidRPr="00491157" w:rsidRDefault="00F6121D" w:rsidP="00F6121D">
      <w:pPr>
        <w:jc w:val="both"/>
        <w:rPr>
          <w:rFonts w:ascii="Trebuchet MS" w:hAnsi="Trebuchet MS" w:cs="Arial"/>
          <w:b/>
        </w:rPr>
      </w:pPr>
      <w:r w:rsidRPr="00491157">
        <w:rPr>
          <w:rFonts w:ascii="Trebuchet MS" w:hAnsi="Trebuchet MS" w:cs="Arial"/>
          <w:b/>
          <w:sz w:val="24"/>
          <w:szCs w:val="24"/>
        </w:rPr>
        <w:t xml:space="preserve">RESOLUCIÓN DEL CONSEJO GENERAL DEL INSTITUTO ELECTORAL Y DE PARTICIPACIÓN CIUDADANA DEL ESTADO DE JALISCO, RELATIVO AL RECURSO DE REVISIÓN RADICADO CON EL NÚMERO DE </w:t>
      </w:r>
      <w:r w:rsidR="004F363A">
        <w:rPr>
          <w:rFonts w:ascii="Trebuchet MS" w:hAnsi="Trebuchet MS" w:cs="Arial"/>
          <w:b/>
          <w:sz w:val="24"/>
          <w:szCs w:val="24"/>
        </w:rPr>
        <w:t>EXPEDIENTE REV-015</w:t>
      </w:r>
      <w:r w:rsidRPr="00491157">
        <w:rPr>
          <w:rFonts w:ascii="Trebuchet MS" w:hAnsi="Trebuchet MS" w:cs="Arial"/>
          <w:b/>
          <w:sz w:val="24"/>
          <w:szCs w:val="24"/>
        </w:rPr>
        <w:t>/2021.</w:t>
      </w:r>
    </w:p>
    <w:p w:rsidR="00F6121D" w:rsidRPr="00491157" w:rsidRDefault="00F6121D" w:rsidP="00F6121D">
      <w:pPr>
        <w:jc w:val="both"/>
        <w:rPr>
          <w:rFonts w:ascii="Trebuchet MS" w:hAnsi="Trebuchet MS" w:cs="Arial"/>
          <w:b/>
          <w:sz w:val="24"/>
          <w:szCs w:val="24"/>
        </w:rPr>
      </w:pPr>
    </w:p>
    <w:p w:rsidR="00F6121D" w:rsidRPr="004F363A" w:rsidRDefault="00F6121D" w:rsidP="00F6121D">
      <w:pPr>
        <w:pStyle w:val="Sinespaciado"/>
        <w:spacing w:line="276" w:lineRule="auto"/>
        <w:jc w:val="both"/>
        <w:rPr>
          <w:rFonts w:ascii="Trebuchet MS" w:hAnsi="Trebuchet MS"/>
          <w:sz w:val="24"/>
          <w:szCs w:val="24"/>
        </w:rPr>
      </w:pPr>
      <w:r w:rsidRPr="004F363A">
        <w:rPr>
          <w:rFonts w:ascii="Trebuchet MS" w:hAnsi="Trebuchet MS" w:cs="Arial"/>
          <w:sz w:val="24"/>
          <w:szCs w:val="24"/>
        </w:rPr>
        <w:t xml:space="preserve">Vistos para resolver los autos del expediente identificado con el número citado al rubro, formado con motivo del </w:t>
      </w:r>
      <w:r w:rsidRPr="004F363A">
        <w:rPr>
          <w:rFonts w:ascii="Trebuchet MS" w:hAnsi="Trebuchet MS" w:cs="Arial"/>
          <w:b/>
          <w:sz w:val="24"/>
          <w:szCs w:val="24"/>
        </w:rPr>
        <w:t xml:space="preserve">RECURSO DE REVISIÓN </w:t>
      </w:r>
      <w:r w:rsidRPr="004F363A">
        <w:rPr>
          <w:rFonts w:ascii="Trebuchet MS" w:hAnsi="Trebuchet MS" w:cs="Arial"/>
          <w:sz w:val="24"/>
          <w:szCs w:val="24"/>
        </w:rPr>
        <w:t xml:space="preserve">promovido por el ciudadano Fidel Ibarra Contreras, el pasado </w:t>
      </w:r>
      <w:r w:rsidR="00A0341A" w:rsidRPr="004F363A">
        <w:rPr>
          <w:rFonts w:ascii="Trebuchet MS" w:hAnsi="Trebuchet MS" w:cs="Arial"/>
          <w:sz w:val="24"/>
          <w:szCs w:val="24"/>
        </w:rPr>
        <w:t xml:space="preserve">diecisiete </w:t>
      </w:r>
      <w:r w:rsidRPr="004F363A">
        <w:rPr>
          <w:rFonts w:ascii="Trebuchet MS" w:hAnsi="Trebuchet MS" w:cs="Arial"/>
          <w:sz w:val="24"/>
          <w:szCs w:val="24"/>
        </w:rPr>
        <w:t>de abril del año 2021 dos mil veintiuno</w:t>
      </w:r>
      <w:r w:rsidRPr="004F363A">
        <w:rPr>
          <w:rStyle w:val="Refdenotaalpie"/>
          <w:rFonts w:ascii="Trebuchet MS" w:hAnsi="Trebuchet MS"/>
          <w:sz w:val="24"/>
          <w:szCs w:val="24"/>
        </w:rPr>
        <w:footnoteReference w:id="1"/>
      </w:r>
      <w:r w:rsidRPr="004F363A">
        <w:rPr>
          <w:rFonts w:ascii="Trebuchet MS" w:hAnsi="Trebuchet MS" w:cs="Arial"/>
          <w:sz w:val="24"/>
          <w:szCs w:val="24"/>
        </w:rPr>
        <w:t xml:space="preserve">, </w:t>
      </w:r>
      <w:r w:rsidRPr="004F363A">
        <w:rPr>
          <w:rFonts w:ascii="Trebuchet MS" w:hAnsi="Trebuchet MS"/>
          <w:sz w:val="24"/>
          <w:szCs w:val="24"/>
        </w:rPr>
        <w:t>en contra</w:t>
      </w:r>
      <w:r w:rsidRPr="00491157">
        <w:rPr>
          <w:rFonts w:ascii="Trebuchet MS" w:hAnsi="Trebuchet MS"/>
          <w:sz w:val="24"/>
          <w:szCs w:val="24"/>
        </w:rPr>
        <w:t xml:space="preserve"> del acuerdo de fecha nueve de abril, mediante el cual se </w:t>
      </w:r>
      <w:r w:rsidR="00A0341A" w:rsidRPr="004F363A">
        <w:rPr>
          <w:rFonts w:ascii="Trebuchet MS" w:hAnsi="Trebuchet MS"/>
          <w:sz w:val="24"/>
          <w:szCs w:val="24"/>
        </w:rPr>
        <w:t xml:space="preserve">desechó de plano </w:t>
      </w:r>
      <w:r w:rsidRPr="004F363A">
        <w:rPr>
          <w:rFonts w:ascii="Trebuchet MS" w:hAnsi="Trebuchet MS"/>
          <w:sz w:val="24"/>
          <w:szCs w:val="24"/>
        </w:rPr>
        <w:t>el Procedimiento Sancionador Especial identificado con el nú</w:t>
      </w:r>
      <w:r w:rsidR="00A0341A" w:rsidRPr="004F363A">
        <w:rPr>
          <w:rFonts w:ascii="Trebuchet MS" w:hAnsi="Trebuchet MS"/>
          <w:sz w:val="24"/>
          <w:szCs w:val="24"/>
        </w:rPr>
        <w:t>mero de expediente PSE-QUEJA-117</w:t>
      </w:r>
      <w:r w:rsidRPr="004F363A">
        <w:rPr>
          <w:rFonts w:ascii="Trebuchet MS" w:hAnsi="Trebuchet MS"/>
          <w:sz w:val="24"/>
          <w:szCs w:val="24"/>
        </w:rPr>
        <w:t>/2021</w:t>
      </w:r>
      <w:r w:rsidR="00A0341A" w:rsidRPr="004F363A">
        <w:rPr>
          <w:rFonts w:ascii="Trebuchet MS" w:hAnsi="Trebuchet MS"/>
          <w:sz w:val="24"/>
          <w:szCs w:val="24"/>
        </w:rPr>
        <w:t xml:space="preserve"> promovido por el quejoso</w:t>
      </w:r>
      <w:r w:rsidRPr="004F363A">
        <w:rPr>
          <w:rFonts w:ascii="Trebuchet MS" w:hAnsi="Trebuchet MS"/>
          <w:sz w:val="24"/>
          <w:szCs w:val="24"/>
        </w:rPr>
        <w:t>, dictado por la Secretaría Ejecutiva del Instituto Electoral y de Participación Ciudadana del Estado de Jalisco</w:t>
      </w:r>
      <w:r w:rsidRPr="004F363A">
        <w:rPr>
          <w:rStyle w:val="Refdenotaalpie"/>
          <w:rFonts w:ascii="Trebuchet MS" w:hAnsi="Trebuchet MS"/>
          <w:sz w:val="24"/>
          <w:szCs w:val="24"/>
        </w:rPr>
        <w:footnoteReference w:id="2"/>
      </w:r>
      <w:r w:rsidRPr="004F363A">
        <w:rPr>
          <w:rFonts w:ascii="Trebuchet MS" w:hAnsi="Trebuchet MS"/>
          <w:sz w:val="24"/>
          <w:szCs w:val="24"/>
        </w:rPr>
        <w:t>.</w:t>
      </w:r>
    </w:p>
    <w:p w:rsidR="00F6121D" w:rsidRPr="004F363A" w:rsidRDefault="00F6121D" w:rsidP="00F6121D">
      <w:pPr>
        <w:jc w:val="both"/>
        <w:rPr>
          <w:rFonts w:ascii="Trebuchet MS" w:eastAsiaTheme="minorEastAsia" w:hAnsi="Trebuchet MS"/>
          <w:sz w:val="24"/>
          <w:szCs w:val="24"/>
          <w:lang w:eastAsia="es-MX"/>
        </w:rPr>
      </w:pPr>
    </w:p>
    <w:p w:rsidR="00F6121D" w:rsidRPr="004F363A" w:rsidRDefault="00F6121D" w:rsidP="00F6121D">
      <w:pPr>
        <w:jc w:val="center"/>
        <w:rPr>
          <w:rFonts w:ascii="Trebuchet MS" w:hAnsi="Trebuchet MS" w:cs="Arial"/>
          <w:b/>
          <w:sz w:val="24"/>
          <w:szCs w:val="24"/>
        </w:rPr>
      </w:pPr>
      <w:r w:rsidRPr="004F363A">
        <w:rPr>
          <w:rFonts w:ascii="Trebuchet MS" w:hAnsi="Trebuchet MS" w:cs="Arial"/>
          <w:b/>
          <w:sz w:val="24"/>
          <w:szCs w:val="24"/>
        </w:rPr>
        <w:t>A N T E C E D E N T E S</w:t>
      </w:r>
    </w:p>
    <w:p w:rsidR="00F6121D" w:rsidRPr="004F363A" w:rsidRDefault="00F6121D" w:rsidP="00F6121D">
      <w:pPr>
        <w:jc w:val="both"/>
        <w:rPr>
          <w:rFonts w:ascii="Trebuchet MS" w:hAnsi="Trebuchet MS" w:cs="Arial"/>
          <w:b/>
          <w:sz w:val="24"/>
          <w:szCs w:val="24"/>
        </w:rPr>
      </w:pPr>
    </w:p>
    <w:p w:rsidR="008C22AB" w:rsidRPr="00EE5EFB" w:rsidRDefault="00F6121D" w:rsidP="008C22AB">
      <w:pPr>
        <w:spacing w:line="276" w:lineRule="auto"/>
        <w:ind w:right="-93"/>
        <w:jc w:val="both"/>
        <w:rPr>
          <w:rFonts w:ascii="Trebuchet MS" w:hAnsi="Trebuchet MS"/>
          <w:sz w:val="24"/>
          <w:szCs w:val="24"/>
          <w:lang w:val="es-ES_tradnl"/>
        </w:rPr>
      </w:pPr>
      <w:r w:rsidRPr="008C22AB">
        <w:rPr>
          <w:rFonts w:ascii="Trebuchet MS" w:hAnsi="Trebuchet MS"/>
          <w:b/>
          <w:sz w:val="24"/>
          <w:szCs w:val="24"/>
          <w:lang w:eastAsia="ar-SA"/>
        </w:rPr>
        <w:t>1.- Presentación de denuncia</w:t>
      </w:r>
      <w:r w:rsidRPr="008C22AB">
        <w:rPr>
          <w:rFonts w:ascii="Trebuchet MS" w:hAnsi="Trebuchet MS"/>
          <w:sz w:val="24"/>
          <w:szCs w:val="24"/>
          <w:lang w:eastAsia="ar-SA"/>
        </w:rPr>
        <w:t xml:space="preserve">. </w:t>
      </w:r>
      <w:r w:rsidRPr="008C22AB">
        <w:rPr>
          <w:rFonts w:ascii="Trebuchet MS" w:hAnsi="Trebuchet MS"/>
          <w:sz w:val="24"/>
          <w:szCs w:val="24"/>
        </w:rPr>
        <w:t xml:space="preserve">El </w:t>
      </w:r>
      <w:r w:rsidR="004F363A" w:rsidRPr="008C22AB">
        <w:rPr>
          <w:rFonts w:ascii="Trebuchet MS" w:hAnsi="Trebuchet MS"/>
          <w:sz w:val="24"/>
          <w:szCs w:val="24"/>
        </w:rPr>
        <w:t>ocho de abril</w:t>
      </w:r>
      <w:r w:rsidRPr="008C22AB">
        <w:rPr>
          <w:rFonts w:ascii="Trebuchet MS" w:hAnsi="Trebuchet MS"/>
          <w:sz w:val="24"/>
          <w:szCs w:val="24"/>
        </w:rPr>
        <w:t xml:space="preserve">, se recibió en la Oficialía de Partes del Instituto Electoral y de Participación Ciudadana del Estado de Jalisco, el escrito signado </w:t>
      </w:r>
      <w:r w:rsidR="004F363A" w:rsidRPr="008C22AB">
        <w:rPr>
          <w:rFonts w:ascii="Trebuchet MS" w:hAnsi="Trebuchet MS"/>
          <w:sz w:val="24"/>
          <w:szCs w:val="24"/>
        </w:rPr>
        <w:t>por Fidel Ibarra Contreras</w:t>
      </w:r>
      <w:r w:rsidRPr="008C22AB">
        <w:rPr>
          <w:rFonts w:ascii="Trebuchet MS" w:hAnsi="Trebuchet MS" w:cs="Arial"/>
          <w:sz w:val="24"/>
          <w:szCs w:val="24"/>
        </w:rPr>
        <w:t xml:space="preserve">, </w:t>
      </w:r>
      <w:r w:rsidRPr="008C22AB">
        <w:rPr>
          <w:rFonts w:ascii="Trebuchet MS" w:hAnsi="Trebuchet MS"/>
          <w:sz w:val="24"/>
          <w:szCs w:val="24"/>
        </w:rPr>
        <w:t xml:space="preserve">el cual fue registrado con el número de folio </w:t>
      </w:r>
      <w:r w:rsidR="004F363A" w:rsidRPr="008C22AB">
        <w:rPr>
          <w:rFonts w:ascii="Trebuchet MS" w:hAnsi="Trebuchet MS"/>
          <w:sz w:val="24"/>
          <w:szCs w:val="24"/>
        </w:rPr>
        <w:t>02416</w:t>
      </w:r>
      <w:r w:rsidRPr="008C22AB">
        <w:rPr>
          <w:rFonts w:ascii="Trebuchet MS" w:hAnsi="Trebuchet MS"/>
          <w:sz w:val="24"/>
          <w:szCs w:val="24"/>
        </w:rPr>
        <w:t xml:space="preserve">, mediante el cual presentó escrito por el cual denuncia </w:t>
      </w:r>
      <w:r w:rsidRPr="008C22AB">
        <w:rPr>
          <w:rFonts w:ascii="Trebuchet MS" w:hAnsi="Trebuchet MS"/>
          <w:color w:val="000000"/>
          <w:sz w:val="24"/>
          <w:szCs w:val="24"/>
        </w:rPr>
        <w:t xml:space="preserve">hechos imputables al ciudadano </w:t>
      </w:r>
      <w:r w:rsidR="004F363A" w:rsidRPr="008C22AB">
        <w:rPr>
          <w:rFonts w:ascii="Trebuchet MS" w:hAnsi="Trebuchet MS" w:cs="Arial"/>
          <w:b/>
          <w:i/>
          <w:sz w:val="24"/>
          <w:szCs w:val="24"/>
          <w:lang w:val="es-MX"/>
        </w:rPr>
        <w:t>Alberto Maldonado Chavarín</w:t>
      </w:r>
      <w:r w:rsidR="004F363A" w:rsidRPr="008C22AB">
        <w:rPr>
          <w:rFonts w:ascii="Trebuchet MS" w:hAnsi="Trebuchet MS" w:cs="Arial"/>
          <w:sz w:val="24"/>
          <w:szCs w:val="24"/>
          <w:lang w:val="es-MX"/>
        </w:rPr>
        <w:t xml:space="preserve">, </w:t>
      </w:r>
      <w:r w:rsidRPr="008C22AB">
        <w:rPr>
          <w:rFonts w:ascii="Trebuchet MS" w:hAnsi="Trebuchet MS"/>
          <w:color w:val="000000"/>
          <w:sz w:val="24"/>
          <w:szCs w:val="24"/>
        </w:rPr>
        <w:t xml:space="preserve">por la probable comisión de actos anticipados de </w:t>
      </w:r>
      <w:r w:rsidRPr="008C22AB">
        <w:rPr>
          <w:rFonts w:ascii="Trebuchet MS" w:hAnsi="Trebuchet MS"/>
          <w:sz w:val="24"/>
          <w:szCs w:val="24"/>
        </w:rPr>
        <w:t>ca</w:t>
      </w:r>
      <w:r w:rsidR="004F363A" w:rsidRPr="008C22AB">
        <w:rPr>
          <w:rFonts w:ascii="Trebuchet MS" w:hAnsi="Trebuchet MS"/>
          <w:sz w:val="24"/>
          <w:szCs w:val="24"/>
        </w:rPr>
        <w:t>mpaña así como promoción personalizada del denunciado.</w:t>
      </w:r>
      <w:r w:rsidR="008C22AB" w:rsidRPr="008C22AB">
        <w:rPr>
          <w:rFonts w:ascii="Trebuchet MS" w:hAnsi="Trebuchet MS"/>
          <w:sz w:val="24"/>
          <w:szCs w:val="24"/>
          <w:lang w:val="es-ES_tradnl"/>
        </w:rPr>
        <w:t xml:space="preserve"> </w:t>
      </w:r>
      <w:r w:rsidR="008C22AB">
        <w:rPr>
          <w:rFonts w:ascii="Trebuchet MS" w:hAnsi="Trebuchet MS"/>
          <w:sz w:val="24"/>
          <w:szCs w:val="24"/>
          <w:lang w:val="es-ES_tradnl"/>
        </w:rPr>
        <w:t>Mismas que a su</w:t>
      </w:r>
      <w:r w:rsidR="008C22AB" w:rsidRPr="008C22AB">
        <w:rPr>
          <w:rFonts w:ascii="Trebuchet MS" w:hAnsi="Trebuchet MS"/>
          <w:sz w:val="24"/>
          <w:szCs w:val="24"/>
          <w:lang w:val="es-ES_tradnl"/>
        </w:rPr>
        <w:t xml:space="preserve"> decir tienen como origen la pinta de bardas y lonas, con las características y ubicaciones que pre</w:t>
      </w:r>
      <w:r w:rsidR="008C22AB">
        <w:rPr>
          <w:rFonts w:ascii="Trebuchet MS" w:hAnsi="Trebuchet MS"/>
          <w:sz w:val="24"/>
          <w:szCs w:val="24"/>
          <w:lang w:val="es-ES_tradnl"/>
        </w:rPr>
        <w:t>cisó</w:t>
      </w:r>
      <w:r w:rsidR="008C22AB" w:rsidRPr="008C22AB">
        <w:rPr>
          <w:rFonts w:ascii="Trebuchet MS" w:hAnsi="Trebuchet MS"/>
          <w:sz w:val="24"/>
          <w:szCs w:val="24"/>
          <w:lang w:val="es-ES_tradnl"/>
        </w:rPr>
        <w:t xml:space="preserve"> en su escrito de denuncia, de las cuales dice haber tenido conocimiento de su existencia los días 03, 18 y 19 de marzo de la presente </w:t>
      </w:r>
      <w:r w:rsidR="008C22AB" w:rsidRPr="00EE5EFB">
        <w:rPr>
          <w:rFonts w:ascii="Trebuchet MS" w:hAnsi="Trebuchet MS"/>
          <w:sz w:val="24"/>
          <w:szCs w:val="24"/>
          <w:lang w:val="es-ES_tradnl"/>
        </w:rPr>
        <w:t>anualidad.</w:t>
      </w:r>
    </w:p>
    <w:p w:rsidR="00F6121D" w:rsidRPr="00EE5EFB" w:rsidRDefault="00F6121D" w:rsidP="004F363A">
      <w:pPr>
        <w:spacing w:line="276" w:lineRule="auto"/>
        <w:jc w:val="both"/>
        <w:rPr>
          <w:rFonts w:ascii="Trebuchet MS" w:hAnsi="Trebuchet MS"/>
          <w:sz w:val="24"/>
          <w:szCs w:val="24"/>
        </w:rPr>
      </w:pPr>
    </w:p>
    <w:p w:rsidR="00EE5EFB" w:rsidRPr="00EE5EFB" w:rsidRDefault="00F6121D" w:rsidP="00EE5EFB">
      <w:pPr>
        <w:spacing w:line="276" w:lineRule="auto"/>
        <w:ind w:right="-93"/>
        <w:jc w:val="both"/>
        <w:rPr>
          <w:rFonts w:ascii="Trebuchet MS" w:hAnsi="Trebuchet MS"/>
          <w:sz w:val="24"/>
          <w:szCs w:val="24"/>
          <w:lang w:val="es-ES_tradnl"/>
        </w:rPr>
      </w:pPr>
      <w:r w:rsidRPr="00EE5EFB">
        <w:rPr>
          <w:rFonts w:ascii="Trebuchet MS" w:eastAsia="Calibri" w:hAnsi="Trebuchet MS" w:cs="Arial"/>
          <w:b/>
          <w:sz w:val="24"/>
          <w:szCs w:val="24"/>
        </w:rPr>
        <w:t xml:space="preserve">2. Acuerdo de radicación y </w:t>
      </w:r>
      <w:r w:rsidR="008C22AB" w:rsidRPr="00EE5EFB">
        <w:rPr>
          <w:rFonts w:ascii="Trebuchet MS" w:eastAsia="Calibri" w:hAnsi="Trebuchet MS" w:cs="Arial"/>
          <w:b/>
          <w:sz w:val="24"/>
          <w:szCs w:val="24"/>
        </w:rPr>
        <w:t xml:space="preserve">desechamiento. </w:t>
      </w:r>
      <w:r w:rsidRPr="00EE5EFB">
        <w:rPr>
          <w:rFonts w:ascii="Trebuchet MS" w:hAnsi="Trebuchet MS"/>
          <w:sz w:val="24"/>
          <w:szCs w:val="24"/>
          <w:lang w:eastAsia="ar-SA"/>
        </w:rPr>
        <w:t xml:space="preserve">Mediante acuerdo de fecha nueve de abril, la Secretaría de este Instituto, </w:t>
      </w:r>
      <w:r w:rsidR="00EE5EFB" w:rsidRPr="00EE5EFB">
        <w:rPr>
          <w:rFonts w:ascii="Trebuchet MS" w:hAnsi="Trebuchet MS"/>
          <w:sz w:val="24"/>
          <w:szCs w:val="24"/>
          <w:lang w:eastAsia="ar-SA"/>
        </w:rPr>
        <w:t xml:space="preserve">radicó la queja interpuesta por el denunciante bajo el expediente número PSE-QUEJA-117/2021, asimismo, se desechó de plano la denuncia incoada por el quejoso, al </w:t>
      </w:r>
      <w:r w:rsidR="00EE5EFB" w:rsidRPr="00EE5EFB">
        <w:rPr>
          <w:rFonts w:ascii="Trebuchet MS" w:hAnsi="Trebuchet MS" w:cs="Arial"/>
          <w:sz w:val="24"/>
          <w:szCs w:val="24"/>
        </w:rPr>
        <w:t xml:space="preserve">actualizarse la causal de desechamiento prevista en la fracción V párrafo 5 del artículo 472 del Código electoral del Estado, de Jalisco, ya que </w:t>
      </w:r>
      <w:r w:rsidR="00EE5EFB" w:rsidRPr="00EE5EFB">
        <w:rPr>
          <w:rFonts w:ascii="Trebuchet MS" w:hAnsi="Trebuchet MS"/>
          <w:sz w:val="24"/>
          <w:szCs w:val="24"/>
          <w:lang w:val="es-ES_tradnl"/>
        </w:rPr>
        <w:t xml:space="preserve">los hechos denunciados, no se encontraban soportados en medio de prueba alguno, que acreditará de manera fehaciente que los mismos tuvieron lugar en las fechas señaladas, para poder así de manera indiciaria imputarle al denunciado las infracciones señaladas, por </w:t>
      </w:r>
      <w:r w:rsidR="00EE5EFB" w:rsidRPr="00EE5EFB">
        <w:rPr>
          <w:rFonts w:ascii="Trebuchet MS" w:hAnsi="Trebuchet MS"/>
          <w:sz w:val="24"/>
          <w:szCs w:val="24"/>
          <w:lang w:val="es-ES_tradnl"/>
        </w:rPr>
        <w:lastRenderedPageBreak/>
        <w:t>ende, no se actualizaron los supuestos jurídicos específicos en que se sustentó la denuncia presentada</w:t>
      </w:r>
      <w:r w:rsidR="00EE5EFB">
        <w:rPr>
          <w:rFonts w:ascii="Trebuchet MS" w:hAnsi="Trebuchet MS"/>
          <w:sz w:val="24"/>
          <w:szCs w:val="24"/>
          <w:lang w:val="es-ES_tradnl"/>
        </w:rPr>
        <w:t>.</w:t>
      </w:r>
    </w:p>
    <w:p w:rsidR="008C22AB" w:rsidRDefault="008C22AB" w:rsidP="008C22AB">
      <w:pPr>
        <w:spacing w:line="276" w:lineRule="auto"/>
        <w:jc w:val="both"/>
        <w:rPr>
          <w:rFonts w:ascii="Trebuchet MS" w:hAnsi="Trebuchet MS"/>
          <w:sz w:val="24"/>
          <w:szCs w:val="24"/>
          <w:lang w:eastAsia="ar-SA"/>
        </w:rPr>
      </w:pPr>
    </w:p>
    <w:p w:rsidR="00F6121D" w:rsidRDefault="00EE5EFB" w:rsidP="00F6121D">
      <w:pPr>
        <w:pStyle w:val="Sinespaciado"/>
        <w:spacing w:line="276" w:lineRule="auto"/>
        <w:jc w:val="both"/>
        <w:rPr>
          <w:rFonts w:ascii="Trebuchet MS" w:hAnsi="Trebuchet MS"/>
          <w:sz w:val="24"/>
          <w:szCs w:val="24"/>
        </w:rPr>
      </w:pPr>
      <w:r>
        <w:rPr>
          <w:rFonts w:ascii="Trebuchet MS" w:hAnsi="Trebuchet MS"/>
          <w:b/>
          <w:sz w:val="24"/>
          <w:szCs w:val="24"/>
        </w:rPr>
        <w:t>3</w:t>
      </w:r>
      <w:r w:rsidR="00F6121D">
        <w:rPr>
          <w:rFonts w:ascii="Trebuchet MS" w:hAnsi="Trebuchet MS"/>
          <w:b/>
          <w:sz w:val="24"/>
          <w:szCs w:val="24"/>
        </w:rPr>
        <w:t>.</w:t>
      </w:r>
      <w:r w:rsidR="00F6121D" w:rsidRPr="00491157">
        <w:rPr>
          <w:rFonts w:ascii="Trebuchet MS" w:hAnsi="Trebuchet MS"/>
          <w:b/>
          <w:sz w:val="24"/>
          <w:szCs w:val="24"/>
        </w:rPr>
        <w:t xml:space="preserve"> Notificación </w:t>
      </w:r>
      <w:r w:rsidR="00F6121D">
        <w:rPr>
          <w:rFonts w:ascii="Trebuchet MS" w:hAnsi="Trebuchet MS"/>
          <w:b/>
          <w:sz w:val="24"/>
          <w:szCs w:val="24"/>
        </w:rPr>
        <w:t>d</w:t>
      </w:r>
      <w:r w:rsidR="00F6121D" w:rsidRPr="00491157">
        <w:rPr>
          <w:rFonts w:ascii="Trebuchet MS" w:hAnsi="Trebuchet MS"/>
          <w:b/>
          <w:sz w:val="24"/>
          <w:szCs w:val="24"/>
        </w:rPr>
        <w:t xml:space="preserve">el </w:t>
      </w:r>
      <w:r w:rsidR="00F6121D">
        <w:rPr>
          <w:rFonts w:ascii="Trebuchet MS" w:hAnsi="Trebuchet MS"/>
          <w:b/>
          <w:sz w:val="24"/>
          <w:szCs w:val="24"/>
        </w:rPr>
        <w:t>a</w:t>
      </w:r>
      <w:r w:rsidR="00F6121D" w:rsidRPr="00491157">
        <w:rPr>
          <w:rFonts w:ascii="Trebuchet MS" w:hAnsi="Trebuchet MS"/>
          <w:b/>
          <w:sz w:val="24"/>
          <w:szCs w:val="24"/>
        </w:rPr>
        <w:t xml:space="preserve">cuerdo </w:t>
      </w:r>
      <w:r w:rsidR="00F6121D">
        <w:rPr>
          <w:rFonts w:ascii="Trebuchet MS" w:hAnsi="Trebuchet MS"/>
          <w:b/>
          <w:sz w:val="24"/>
          <w:szCs w:val="24"/>
        </w:rPr>
        <w:t>i</w:t>
      </w:r>
      <w:r w:rsidR="00F6121D" w:rsidRPr="00491157">
        <w:rPr>
          <w:rFonts w:ascii="Trebuchet MS" w:hAnsi="Trebuchet MS"/>
          <w:b/>
          <w:sz w:val="24"/>
          <w:szCs w:val="24"/>
        </w:rPr>
        <w:t>mpugnado</w:t>
      </w:r>
      <w:r w:rsidR="00F6121D" w:rsidRPr="00491157">
        <w:rPr>
          <w:rFonts w:ascii="Trebuchet MS" w:hAnsi="Trebuchet MS"/>
          <w:sz w:val="24"/>
          <w:szCs w:val="24"/>
        </w:rPr>
        <w:t xml:space="preserve">. El </w:t>
      </w:r>
      <w:r>
        <w:rPr>
          <w:rFonts w:ascii="Trebuchet MS" w:hAnsi="Trebuchet MS"/>
          <w:sz w:val="24"/>
          <w:szCs w:val="24"/>
        </w:rPr>
        <w:t xml:space="preserve">doce </w:t>
      </w:r>
      <w:r w:rsidR="00F6121D">
        <w:rPr>
          <w:rFonts w:ascii="Trebuchet MS" w:hAnsi="Trebuchet MS"/>
          <w:sz w:val="24"/>
          <w:szCs w:val="24"/>
        </w:rPr>
        <w:t>de abri</w:t>
      </w:r>
      <w:r w:rsidR="00773B04">
        <w:rPr>
          <w:rFonts w:ascii="Trebuchet MS" w:hAnsi="Trebuchet MS"/>
          <w:sz w:val="24"/>
          <w:szCs w:val="24"/>
        </w:rPr>
        <w:t>l, mediante el oficio número 4</w:t>
      </w:r>
      <w:r w:rsidR="00F6121D">
        <w:rPr>
          <w:rFonts w:ascii="Trebuchet MS" w:hAnsi="Trebuchet MS"/>
          <w:sz w:val="24"/>
          <w:szCs w:val="24"/>
        </w:rPr>
        <w:t>8</w:t>
      </w:r>
      <w:r w:rsidR="00773B04">
        <w:rPr>
          <w:rFonts w:ascii="Trebuchet MS" w:hAnsi="Trebuchet MS"/>
          <w:sz w:val="24"/>
          <w:szCs w:val="24"/>
        </w:rPr>
        <w:t>71</w:t>
      </w:r>
      <w:r w:rsidR="00F6121D">
        <w:rPr>
          <w:rFonts w:ascii="Trebuchet MS" w:hAnsi="Trebuchet MS"/>
          <w:sz w:val="24"/>
          <w:szCs w:val="24"/>
        </w:rPr>
        <w:t>/2021</w:t>
      </w:r>
      <w:r w:rsidR="00F6121D" w:rsidRPr="00491157">
        <w:rPr>
          <w:rFonts w:ascii="Trebuchet MS" w:hAnsi="Trebuchet MS"/>
          <w:sz w:val="24"/>
          <w:szCs w:val="24"/>
        </w:rPr>
        <w:t xml:space="preserve"> de la Secretaría Ejecutiva, fue notificad</w:t>
      </w:r>
      <w:r w:rsidR="00773B04">
        <w:rPr>
          <w:rFonts w:ascii="Trebuchet MS" w:hAnsi="Trebuchet MS"/>
          <w:sz w:val="24"/>
          <w:szCs w:val="24"/>
        </w:rPr>
        <w:t>a</w:t>
      </w:r>
      <w:r w:rsidR="00F6121D" w:rsidRPr="00491157">
        <w:rPr>
          <w:rFonts w:ascii="Trebuchet MS" w:hAnsi="Trebuchet MS"/>
          <w:sz w:val="24"/>
          <w:szCs w:val="24"/>
        </w:rPr>
        <w:t xml:space="preserve"> la parte denunciante del acuerdo referido en el punto anterior.</w:t>
      </w:r>
    </w:p>
    <w:p w:rsidR="00773B04" w:rsidRDefault="00773B04" w:rsidP="00F6121D">
      <w:pPr>
        <w:pStyle w:val="Sinespaciado"/>
        <w:spacing w:line="276" w:lineRule="auto"/>
        <w:jc w:val="both"/>
        <w:rPr>
          <w:rFonts w:ascii="Trebuchet MS" w:hAnsi="Trebuchet MS"/>
          <w:sz w:val="24"/>
          <w:szCs w:val="24"/>
        </w:rPr>
      </w:pPr>
    </w:p>
    <w:p w:rsidR="00773B04" w:rsidRDefault="00773B04" w:rsidP="00773B04">
      <w:pPr>
        <w:pStyle w:val="Sinespaciado"/>
        <w:spacing w:line="276" w:lineRule="auto"/>
        <w:jc w:val="both"/>
        <w:rPr>
          <w:rFonts w:ascii="Trebuchet MS" w:hAnsi="Trebuchet MS"/>
          <w:sz w:val="24"/>
          <w:szCs w:val="24"/>
        </w:rPr>
      </w:pPr>
      <w:r>
        <w:rPr>
          <w:rFonts w:ascii="Trebuchet MS" w:hAnsi="Trebuchet MS"/>
          <w:b/>
          <w:sz w:val="24"/>
          <w:szCs w:val="24"/>
          <w:lang w:val="es-ES_tradnl"/>
        </w:rPr>
        <w:t>4. Recurso de a</w:t>
      </w:r>
      <w:r w:rsidRPr="00B743DE">
        <w:rPr>
          <w:rFonts w:ascii="Trebuchet MS" w:hAnsi="Trebuchet MS"/>
          <w:b/>
          <w:sz w:val="24"/>
          <w:szCs w:val="24"/>
          <w:lang w:val="es-ES_tradnl"/>
        </w:rPr>
        <w:t>pelación</w:t>
      </w:r>
      <w:r w:rsidRPr="00B743DE">
        <w:rPr>
          <w:rFonts w:ascii="Trebuchet MS" w:eastAsiaTheme="minorEastAsia" w:hAnsi="Trebuchet MS"/>
          <w:b/>
          <w:bCs/>
          <w:sz w:val="24"/>
          <w:szCs w:val="24"/>
          <w:lang w:eastAsia="es-MX"/>
        </w:rPr>
        <w:t>.-</w:t>
      </w:r>
      <w:r w:rsidRPr="00AE47A2">
        <w:rPr>
          <w:rFonts w:ascii="Trebuchet MS" w:eastAsiaTheme="minorEastAsia" w:hAnsi="Trebuchet MS"/>
          <w:bCs/>
          <w:sz w:val="24"/>
          <w:szCs w:val="24"/>
          <w:lang w:eastAsia="es-MX"/>
        </w:rPr>
        <w:t xml:space="preserve"> El día </w:t>
      </w:r>
      <w:r>
        <w:rPr>
          <w:rFonts w:ascii="Trebuchet MS" w:eastAsiaTheme="minorEastAsia" w:hAnsi="Trebuchet MS"/>
          <w:bCs/>
          <w:sz w:val="24"/>
          <w:szCs w:val="24"/>
          <w:lang w:eastAsia="es-MX"/>
        </w:rPr>
        <w:t xml:space="preserve">diecisiete de abril, </w:t>
      </w:r>
      <w:r w:rsidRPr="00AE47A2">
        <w:rPr>
          <w:rFonts w:ascii="Trebuchet MS" w:eastAsiaTheme="minorEastAsia" w:hAnsi="Trebuchet MS"/>
          <w:bCs/>
          <w:sz w:val="24"/>
          <w:szCs w:val="24"/>
          <w:lang w:eastAsia="es-MX"/>
        </w:rPr>
        <w:t xml:space="preserve">el </w:t>
      </w:r>
      <w:r>
        <w:rPr>
          <w:rFonts w:ascii="Trebuchet MS" w:eastAsiaTheme="minorEastAsia" w:hAnsi="Trebuchet MS"/>
          <w:bCs/>
          <w:sz w:val="24"/>
          <w:szCs w:val="24"/>
          <w:lang w:eastAsia="es-MX"/>
        </w:rPr>
        <w:t xml:space="preserve">ciudadano </w:t>
      </w:r>
      <w:r>
        <w:rPr>
          <w:rFonts w:ascii="Trebuchet MS" w:hAnsi="Trebuchet MS"/>
          <w:sz w:val="24"/>
          <w:szCs w:val="24"/>
        </w:rPr>
        <w:t>Fidel Ibarra Contreras interpuso recurso de apelación en contra del acuerdo de desechamiento referido en el punto anterior.</w:t>
      </w:r>
    </w:p>
    <w:p w:rsidR="00773B04" w:rsidRDefault="00773B04" w:rsidP="00773B04">
      <w:pPr>
        <w:pStyle w:val="Sinespaciado"/>
        <w:spacing w:line="276" w:lineRule="auto"/>
        <w:jc w:val="both"/>
        <w:rPr>
          <w:rFonts w:ascii="Trebuchet MS" w:hAnsi="Trebuchet MS"/>
          <w:sz w:val="24"/>
          <w:szCs w:val="24"/>
        </w:rPr>
      </w:pPr>
    </w:p>
    <w:p w:rsidR="00773B04" w:rsidRDefault="00773B04" w:rsidP="00773B04">
      <w:pPr>
        <w:pStyle w:val="Sinespaciado"/>
        <w:spacing w:line="276" w:lineRule="auto"/>
        <w:jc w:val="both"/>
        <w:rPr>
          <w:rFonts w:ascii="Trebuchet MS" w:hAnsi="Trebuchet MS"/>
          <w:sz w:val="24"/>
          <w:szCs w:val="24"/>
        </w:rPr>
      </w:pPr>
      <w:r>
        <w:rPr>
          <w:rFonts w:ascii="Trebuchet MS" w:hAnsi="Trebuchet MS"/>
          <w:b/>
          <w:sz w:val="24"/>
          <w:szCs w:val="24"/>
        </w:rPr>
        <w:t xml:space="preserve">5. Reencauzamiento a recurso de revisión. </w:t>
      </w:r>
      <w:r>
        <w:rPr>
          <w:rFonts w:ascii="Trebuchet MS" w:hAnsi="Trebuchet MS"/>
          <w:sz w:val="24"/>
          <w:szCs w:val="24"/>
        </w:rPr>
        <w:t xml:space="preserve">El veintiocho de abril, el </w:t>
      </w:r>
      <w:r w:rsidRPr="00AE47A2">
        <w:rPr>
          <w:rFonts w:ascii="Trebuchet MS" w:eastAsiaTheme="minorEastAsia" w:hAnsi="Trebuchet MS"/>
          <w:bCs/>
          <w:sz w:val="24"/>
          <w:szCs w:val="24"/>
          <w:lang w:eastAsia="es-MX"/>
        </w:rPr>
        <w:t xml:space="preserve">Tribunal Electoral del Estado de Jalisco, </w:t>
      </w:r>
      <w:r>
        <w:rPr>
          <w:rFonts w:ascii="Trebuchet MS" w:eastAsiaTheme="minorEastAsia" w:hAnsi="Trebuchet MS"/>
          <w:bCs/>
          <w:sz w:val="24"/>
          <w:szCs w:val="24"/>
          <w:lang w:eastAsia="es-MX"/>
        </w:rPr>
        <w:t xml:space="preserve">al momento de resolver el recurso de apelación RAP-033/2021, </w:t>
      </w:r>
      <w:r w:rsidRPr="00EB1DBC">
        <w:rPr>
          <w:rFonts w:ascii="Trebuchet MS" w:hAnsi="Trebuchet MS"/>
          <w:sz w:val="24"/>
          <w:szCs w:val="24"/>
        </w:rPr>
        <w:t>resolvió reencauzar el medio de impugnación como recurso de revisión. Dicha resolución fue impugnada ante la Sala Regional.</w:t>
      </w:r>
      <w:r>
        <w:rPr>
          <w:rStyle w:val="Refdenotaalpie"/>
          <w:rFonts w:ascii="Trebuchet MS" w:hAnsi="Trebuchet MS"/>
          <w:sz w:val="24"/>
          <w:szCs w:val="24"/>
        </w:rPr>
        <w:footnoteReference w:id="3"/>
      </w:r>
      <w:r w:rsidRPr="00EB1DBC">
        <w:rPr>
          <w:rFonts w:ascii="Trebuchet MS" w:hAnsi="Trebuchet MS"/>
          <w:sz w:val="24"/>
          <w:szCs w:val="24"/>
        </w:rPr>
        <w:t xml:space="preserve"> </w:t>
      </w:r>
    </w:p>
    <w:p w:rsidR="00773B04" w:rsidRPr="00491157" w:rsidRDefault="00773B04" w:rsidP="00F6121D">
      <w:pPr>
        <w:pStyle w:val="Sinespaciado"/>
        <w:spacing w:line="276" w:lineRule="auto"/>
        <w:jc w:val="both"/>
        <w:rPr>
          <w:rFonts w:ascii="Trebuchet MS" w:hAnsi="Trebuchet MS"/>
          <w:sz w:val="24"/>
          <w:szCs w:val="24"/>
        </w:rPr>
      </w:pPr>
    </w:p>
    <w:p w:rsidR="00F6121D" w:rsidRPr="00491157" w:rsidRDefault="00F6121D" w:rsidP="00F6121D">
      <w:pPr>
        <w:pStyle w:val="Sinespaciado"/>
        <w:spacing w:line="276" w:lineRule="auto"/>
        <w:jc w:val="both"/>
        <w:rPr>
          <w:rFonts w:ascii="Trebuchet MS" w:hAnsi="Trebuchet MS"/>
          <w:sz w:val="24"/>
          <w:szCs w:val="24"/>
        </w:rPr>
      </w:pPr>
      <w:r w:rsidRPr="00491157">
        <w:rPr>
          <w:rFonts w:ascii="Trebuchet MS" w:hAnsi="Trebuchet MS"/>
          <w:b/>
          <w:sz w:val="24"/>
          <w:szCs w:val="24"/>
        </w:rPr>
        <w:t xml:space="preserve">6.- </w:t>
      </w:r>
      <w:r>
        <w:rPr>
          <w:rFonts w:ascii="Trebuchet MS" w:hAnsi="Trebuchet MS"/>
          <w:b/>
          <w:sz w:val="24"/>
          <w:szCs w:val="24"/>
        </w:rPr>
        <w:t>R</w:t>
      </w:r>
      <w:r w:rsidRPr="00491157">
        <w:rPr>
          <w:rFonts w:ascii="Trebuchet MS" w:hAnsi="Trebuchet MS"/>
          <w:b/>
          <w:sz w:val="24"/>
          <w:szCs w:val="24"/>
        </w:rPr>
        <w:t xml:space="preserve">adicación del recurso. </w:t>
      </w:r>
      <w:r w:rsidRPr="00491157">
        <w:rPr>
          <w:rFonts w:ascii="Trebuchet MS" w:hAnsi="Trebuchet MS"/>
          <w:sz w:val="24"/>
          <w:szCs w:val="24"/>
        </w:rPr>
        <w:t xml:space="preserve">Mediante acuerdo dictado por la Secretaría Ejecutiva el pasado </w:t>
      </w:r>
      <w:r w:rsidR="00E34D29">
        <w:rPr>
          <w:rFonts w:ascii="Trebuchet MS" w:hAnsi="Trebuchet MS"/>
          <w:sz w:val="24"/>
          <w:szCs w:val="24"/>
        </w:rPr>
        <w:t>treinta</w:t>
      </w:r>
      <w:r>
        <w:rPr>
          <w:rFonts w:ascii="Trebuchet MS" w:hAnsi="Trebuchet MS"/>
          <w:sz w:val="24"/>
          <w:szCs w:val="24"/>
        </w:rPr>
        <w:t xml:space="preserve"> de abril</w:t>
      </w:r>
      <w:r w:rsidRPr="00491157">
        <w:rPr>
          <w:rFonts w:ascii="Trebuchet MS" w:hAnsi="Trebuchet MS"/>
          <w:sz w:val="24"/>
          <w:szCs w:val="24"/>
        </w:rPr>
        <w:t>, se radicó el recurso de revisión referido en el punto anterior, se integró el expediente correspondiente y se registró con el número</w:t>
      </w:r>
      <w:r w:rsidR="00E34D29">
        <w:rPr>
          <w:rFonts w:ascii="Trebuchet MS" w:hAnsi="Trebuchet MS"/>
          <w:sz w:val="24"/>
          <w:szCs w:val="24"/>
        </w:rPr>
        <w:t xml:space="preserve"> de expediente REV-015</w:t>
      </w:r>
      <w:r w:rsidRPr="00491157">
        <w:rPr>
          <w:rFonts w:ascii="Trebuchet MS" w:hAnsi="Trebuchet MS"/>
          <w:sz w:val="24"/>
          <w:szCs w:val="24"/>
        </w:rPr>
        <w:t>/2021.</w:t>
      </w:r>
    </w:p>
    <w:p w:rsidR="00F6121D" w:rsidRPr="00491157" w:rsidRDefault="00F6121D" w:rsidP="00F6121D">
      <w:pPr>
        <w:pStyle w:val="Sinespaciado"/>
        <w:spacing w:line="276" w:lineRule="auto"/>
        <w:jc w:val="both"/>
        <w:rPr>
          <w:rFonts w:ascii="Trebuchet MS" w:hAnsi="Trebuchet MS"/>
          <w:sz w:val="24"/>
          <w:szCs w:val="24"/>
        </w:rPr>
      </w:pPr>
    </w:p>
    <w:p w:rsidR="00E34D29" w:rsidRPr="00A07DE6" w:rsidRDefault="00E34D29" w:rsidP="00E34D29">
      <w:pPr>
        <w:pStyle w:val="Sinespaciado"/>
        <w:spacing w:line="276" w:lineRule="auto"/>
        <w:jc w:val="center"/>
        <w:rPr>
          <w:rFonts w:ascii="Trebuchet MS" w:hAnsi="Trebuchet MS"/>
          <w:b/>
          <w:sz w:val="24"/>
          <w:szCs w:val="24"/>
        </w:rPr>
      </w:pPr>
      <w:r w:rsidRPr="00A07DE6">
        <w:rPr>
          <w:rFonts w:ascii="Trebuchet MS" w:hAnsi="Trebuchet MS"/>
          <w:b/>
          <w:sz w:val="24"/>
          <w:szCs w:val="24"/>
        </w:rPr>
        <w:t xml:space="preserve">C O N S I D E R A </w:t>
      </w:r>
      <w:r>
        <w:rPr>
          <w:rFonts w:ascii="Trebuchet MS" w:hAnsi="Trebuchet MS"/>
          <w:b/>
          <w:sz w:val="24"/>
          <w:szCs w:val="24"/>
        </w:rPr>
        <w:t>N D O S</w:t>
      </w:r>
    </w:p>
    <w:p w:rsidR="00E34D29" w:rsidRPr="00A07DE6" w:rsidRDefault="00E34D29" w:rsidP="00E34D29">
      <w:pPr>
        <w:pStyle w:val="Sinespaciado"/>
        <w:spacing w:line="276" w:lineRule="auto"/>
        <w:jc w:val="both"/>
        <w:rPr>
          <w:rFonts w:ascii="Trebuchet MS" w:hAnsi="Trebuchet MS"/>
          <w:sz w:val="24"/>
          <w:szCs w:val="24"/>
        </w:rPr>
      </w:pPr>
    </w:p>
    <w:p w:rsidR="00E34D29" w:rsidRDefault="00E34D29" w:rsidP="00E34D29">
      <w:pPr>
        <w:pStyle w:val="Sinespaciado"/>
        <w:spacing w:line="276" w:lineRule="auto"/>
        <w:jc w:val="both"/>
        <w:rPr>
          <w:rFonts w:ascii="Trebuchet MS" w:eastAsiaTheme="minorEastAsia" w:hAnsi="Trebuchet MS"/>
          <w:sz w:val="24"/>
          <w:szCs w:val="24"/>
          <w:lang w:eastAsia="es-MX"/>
        </w:rPr>
      </w:pPr>
      <w:r w:rsidRPr="00A07DE6">
        <w:rPr>
          <w:rFonts w:ascii="Trebuchet MS" w:eastAsiaTheme="minorEastAsia" w:hAnsi="Trebuchet MS"/>
          <w:b/>
          <w:sz w:val="24"/>
          <w:szCs w:val="24"/>
          <w:lang w:eastAsia="es-MX"/>
        </w:rPr>
        <w:t>I. COMPETENCIA.</w:t>
      </w:r>
      <w:r w:rsidRPr="00A07DE6">
        <w:rPr>
          <w:rFonts w:ascii="Trebuchet MS" w:eastAsiaTheme="minorEastAsia" w:hAnsi="Trebuchet MS"/>
          <w:sz w:val="24"/>
          <w:szCs w:val="24"/>
          <w:lang w:eastAsia="es-MX"/>
        </w:rPr>
        <w:t xml:space="preserve"> El Consejo General del instituto es competente para conocer y resolver el presente recurso, porque se controvierten sendos acuerdos administrativos emitidos por la Secretaría Ejecutiva de este instituto</w:t>
      </w:r>
      <w:r w:rsidRPr="00A07DE6">
        <w:rPr>
          <w:rFonts w:ascii="Trebuchet MS" w:eastAsiaTheme="minorEastAsia" w:hAnsi="Trebuchet MS"/>
          <w:bCs/>
          <w:sz w:val="24"/>
          <w:szCs w:val="24"/>
          <w:lang w:eastAsia="es-MX"/>
        </w:rPr>
        <w:t xml:space="preserve">, de conformidad con </w:t>
      </w:r>
      <w:r>
        <w:rPr>
          <w:rFonts w:ascii="Trebuchet MS" w:eastAsiaTheme="minorEastAsia" w:hAnsi="Trebuchet MS"/>
          <w:bCs/>
          <w:sz w:val="24"/>
          <w:szCs w:val="24"/>
          <w:lang w:eastAsia="es-MX"/>
        </w:rPr>
        <w:t>los artículos 578 y</w:t>
      </w:r>
      <w:r w:rsidRPr="00A07DE6">
        <w:rPr>
          <w:rFonts w:ascii="Trebuchet MS" w:eastAsiaTheme="minorEastAsia" w:hAnsi="Trebuchet MS"/>
          <w:bCs/>
          <w:sz w:val="24"/>
          <w:szCs w:val="24"/>
          <w:lang w:eastAsia="es-MX"/>
        </w:rPr>
        <w:t xml:space="preserve"> 580, párrafo 1, fracción I</w:t>
      </w:r>
      <w:r w:rsidRPr="00A07DE6">
        <w:rPr>
          <w:rFonts w:ascii="Trebuchet MS" w:eastAsiaTheme="minorEastAsia" w:hAnsi="Trebuchet MS"/>
          <w:sz w:val="24"/>
          <w:szCs w:val="24"/>
          <w:lang w:eastAsia="es-MX"/>
        </w:rPr>
        <w:t xml:space="preserve"> del Código Electoral del Estado de Jalisco.</w:t>
      </w:r>
    </w:p>
    <w:p w:rsidR="00E34D29" w:rsidRDefault="00E34D29" w:rsidP="00E34D29">
      <w:pPr>
        <w:pStyle w:val="Sinespaciado"/>
        <w:spacing w:line="276" w:lineRule="auto"/>
        <w:jc w:val="both"/>
        <w:rPr>
          <w:rFonts w:ascii="Trebuchet MS" w:eastAsiaTheme="minorEastAsia" w:hAnsi="Trebuchet MS"/>
          <w:sz w:val="24"/>
          <w:szCs w:val="24"/>
          <w:lang w:eastAsia="es-MX"/>
        </w:rPr>
      </w:pPr>
    </w:p>
    <w:p w:rsidR="00E34D29" w:rsidRDefault="00E34D29" w:rsidP="00E34D29">
      <w:pPr>
        <w:pStyle w:val="Sinespaciado"/>
        <w:spacing w:line="276" w:lineRule="auto"/>
        <w:jc w:val="both"/>
        <w:rPr>
          <w:rFonts w:ascii="Trebuchet MS" w:eastAsiaTheme="minorEastAsia" w:hAnsi="Trebuchet MS"/>
          <w:sz w:val="24"/>
          <w:szCs w:val="24"/>
          <w:lang w:eastAsia="es-MX"/>
        </w:rPr>
      </w:pPr>
      <w:r w:rsidRPr="00A07DE6">
        <w:rPr>
          <w:rFonts w:ascii="Trebuchet MS" w:eastAsiaTheme="minorEastAsia" w:hAnsi="Trebuchet MS"/>
          <w:b/>
          <w:sz w:val="24"/>
          <w:szCs w:val="24"/>
          <w:lang w:eastAsia="es-MX"/>
        </w:rPr>
        <w:t xml:space="preserve">II. CAUSALES DE </w:t>
      </w:r>
      <w:r>
        <w:rPr>
          <w:rFonts w:ascii="Trebuchet MS" w:eastAsiaTheme="minorEastAsia" w:hAnsi="Trebuchet MS"/>
          <w:b/>
          <w:sz w:val="24"/>
          <w:szCs w:val="24"/>
          <w:lang w:eastAsia="es-MX"/>
        </w:rPr>
        <w:t xml:space="preserve">DESECHAMIENTO, IMPROCEDENCIA Y </w:t>
      </w:r>
      <w:r w:rsidRPr="00A07DE6">
        <w:rPr>
          <w:rFonts w:ascii="Trebuchet MS" w:eastAsiaTheme="minorEastAsia" w:hAnsi="Trebuchet MS"/>
          <w:b/>
          <w:sz w:val="24"/>
          <w:szCs w:val="24"/>
          <w:lang w:eastAsia="es-MX"/>
        </w:rPr>
        <w:t>SOBRESEIMIENTO</w:t>
      </w:r>
      <w:r>
        <w:rPr>
          <w:rFonts w:ascii="Trebuchet MS" w:eastAsiaTheme="minorEastAsia" w:hAnsi="Trebuchet MS"/>
          <w:b/>
          <w:sz w:val="24"/>
          <w:szCs w:val="24"/>
          <w:lang w:eastAsia="es-MX"/>
        </w:rPr>
        <w:t xml:space="preserve">. </w:t>
      </w:r>
      <w:r>
        <w:rPr>
          <w:rFonts w:ascii="Trebuchet MS" w:eastAsiaTheme="minorEastAsia" w:hAnsi="Trebuchet MS"/>
          <w:sz w:val="24"/>
          <w:szCs w:val="24"/>
          <w:lang w:eastAsia="es-MX"/>
        </w:rPr>
        <w:t xml:space="preserve">Una vez determinada la competencia de este Órgano Colegiado para conocer del presente medio de impugnación, en términos del numeral 585 párrafo 1 fracción II del Código Comicial de la entidad, con base en la propuesta realizada por el Secretario Ejecutivo de este Instituto, se concluye que en el presente caso, se actualiza la causal de </w:t>
      </w:r>
      <w:r w:rsidR="001F729D">
        <w:rPr>
          <w:rFonts w:ascii="Trebuchet MS" w:eastAsiaTheme="minorEastAsia" w:hAnsi="Trebuchet MS"/>
          <w:sz w:val="24"/>
          <w:szCs w:val="24"/>
          <w:lang w:eastAsia="es-MX"/>
        </w:rPr>
        <w:t xml:space="preserve">improcedencia </w:t>
      </w:r>
      <w:r>
        <w:rPr>
          <w:rFonts w:ascii="Trebuchet MS" w:eastAsiaTheme="minorEastAsia" w:hAnsi="Trebuchet MS"/>
          <w:sz w:val="24"/>
          <w:szCs w:val="24"/>
          <w:lang w:eastAsia="es-MX"/>
        </w:rPr>
        <w:t>prevista en el arábigo 509 párrafo 1 fracción IV del citado cuerpo de leyes, la cual a la letra reza:</w:t>
      </w:r>
    </w:p>
    <w:p w:rsidR="00E34D29" w:rsidRPr="00E34D29" w:rsidRDefault="00E34D29" w:rsidP="00E34D29">
      <w:pPr>
        <w:pStyle w:val="Sinespaciado"/>
        <w:spacing w:line="276" w:lineRule="auto"/>
        <w:ind w:left="851" w:right="900"/>
        <w:jc w:val="both"/>
        <w:rPr>
          <w:rFonts w:ascii="Trebuchet MS" w:hAnsi="Trebuchet MS"/>
          <w:i/>
          <w:sz w:val="24"/>
          <w:szCs w:val="24"/>
        </w:rPr>
      </w:pPr>
      <w:r w:rsidRPr="00E34D29">
        <w:rPr>
          <w:rFonts w:ascii="Trebuchet MS" w:hAnsi="Trebuchet MS"/>
          <w:bCs/>
          <w:i/>
          <w:sz w:val="24"/>
          <w:szCs w:val="24"/>
        </w:rPr>
        <w:lastRenderedPageBreak/>
        <w:t>“Artículo 509</w:t>
      </w:r>
      <w:r w:rsidRPr="00E34D29">
        <w:rPr>
          <w:rFonts w:ascii="Trebuchet MS" w:hAnsi="Trebuchet MS"/>
          <w:i/>
          <w:sz w:val="24"/>
          <w:szCs w:val="24"/>
        </w:rPr>
        <w:t>.</w:t>
      </w:r>
    </w:p>
    <w:p w:rsidR="00E34D29" w:rsidRPr="00E34D29" w:rsidRDefault="00E34D29" w:rsidP="00E34D29">
      <w:pPr>
        <w:pStyle w:val="Sinespaciado"/>
        <w:spacing w:line="276" w:lineRule="auto"/>
        <w:ind w:left="851" w:right="900"/>
        <w:jc w:val="both"/>
        <w:rPr>
          <w:rFonts w:ascii="Trebuchet MS" w:hAnsi="Trebuchet MS"/>
          <w:i/>
          <w:sz w:val="24"/>
          <w:szCs w:val="24"/>
        </w:rPr>
      </w:pPr>
      <w:r w:rsidRPr="00E34D29">
        <w:rPr>
          <w:rFonts w:ascii="Trebuchet MS" w:hAnsi="Trebuchet MS"/>
          <w:i/>
          <w:sz w:val="24"/>
          <w:szCs w:val="24"/>
        </w:rPr>
        <w:t>1. Los medios de impugnación previstos en este Código serán improcedentes cuando:</w:t>
      </w:r>
    </w:p>
    <w:p w:rsidR="00E34D29" w:rsidRPr="00E34D29" w:rsidRDefault="00E34D29" w:rsidP="00E34D29">
      <w:pPr>
        <w:pStyle w:val="Sinespaciado"/>
        <w:spacing w:line="276" w:lineRule="auto"/>
        <w:ind w:left="851" w:right="900"/>
        <w:jc w:val="both"/>
        <w:rPr>
          <w:rFonts w:ascii="Trebuchet MS" w:hAnsi="Trebuchet MS"/>
          <w:i/>
          <w:sz w:val="24"/>
          <w:szCs w:val="24"/>
        </w:rPr>
      </w:pPr>
      <w:r w:rsidRPr="00E34D29">
        <w:rPr>
          <w:rFonts w:ascii="Trebuchet MS" w:hAnsi="Trebuchet MS"/>
          <w:i/>
          <w:sz w:val="24"/>
          <w:szCs w:val="24"/>
        </w:rPr>
        <w:t>…</w:t>
      </w:r>
    </w:p>
    <w:p w:rsidR="00E34D29" w:rsidRPr="00E34D29" w:rsidRDefault="00E34D29" w:rsidP="00E34D29">
      <w:pPr>
        <w:pStyle w:val="Sinespaciado"/>
        <w:spacing w:line="276" w:lineRule="auto"/>
        <w:ind w:left="851" w:right="900"/>
        <w:jc w:val="both"/>
        <w:rPr>
          <w:rFonts w:ascii="Trebuchet MS" w:hAnsi="Trebuchet MS"/>
          <w:i/>
          <w:sz w:val="24"/>
          <w:szCs w:val="24"/>
        </w:rPr>
      </w:pPr>
      <w:r w:rsidRPr="00E34D29">
        <w:rPr>
          <w:rFonts w:ascii="Trebuchet MS" w:hAnsi="Trebuchet MS"/>
          <w:i/>
          <w:sz w:val="24"/>
          <w:szCs w:val="24"/>
        </w:rPr>
        <w:t>IV. El acto o resolución se hayan consentido expresamente, entendiéndose por ello, las manifestaciones de voluntad que entrañen ese consentimiento o no se presenten los medios de impugnación dentro de los plazos señalados en este Código;</w:t>
      </w:r>
    </w:p>
    <w:p w:rsidR="00E34D29" w:rsidRPr="00E34D29" w:rsidRDefault="00E34D29" w:rsidP="00E34D29">
      <w:pPr>
        <w:pStyle w:val="Sinespaciado"/>
        <w:spacing w:line="276" w:lineRule="auto"/>
        <w:ind w:left="851" w:right="900"/>
        <w:jc w:val="both"/>
        <w:rPr>
          <w:rFonts w:ascii="Trebuchet MS" w:hAnsi="Trebuchet MS"/>
          <w:i/>
          <w:sz w:val="24"/>
          <w:szCs w:val="24"/>
        </w:rPr>
      </w:pPr>
      <w:r w:rsidRPr="00E34D29">
        <w:rPr>
          <w:rFonts w:ascii="Trebuchet MS" w:hAnsi="Trebuchet MS"/>
          <w:i/>
          <w:sz w:val="24"/>
          <w:szCs w:val="24"/>
        </w:rPr>
        <w:t>…”</w:t>
      </w:r>
    </w:p>
    <w:p w:rsidR="00E34D29" w:rsidRPr="00C53EB0" w:rsidRDefault="00E34D29" w:rsidP="00E34D29">
      <w:pPr>
        <w:shd w:val="clear" w:color="auto" w:fill="FFFFFF"/>
        <w:ind w:hanging="29"/>
        <w:jc w:val="both"/>
        <w:rPr>
          <w:rFonts w:ascii="Trebuchet MS" w:hAnsi="Trebuchet MS" w:cs="Arial"/>
          <w:bCs/>
          <w:i/>
          <w:sz w:val="24"/>
          <w:szCs w:val="24"/>
        </w:rPr>
      </w:pPr>
      <w:r w:rsidRPr="00C53EB0">
        <w:rPr>
          <w:rFonts w:ascii="Trebuchet MS" w:hAnsi="Trebuchet MS" w:cs="Arial"/>
          <w:bCs/>
          <w:i/>
          <w:sz w:val="24"/>
          <w:szCs w:val="24"/>
        </w:rPr>
        <w:t xml:space="preserve"> </w:t>
      </w:r>
    </w:p>
    <w:p w:rsidR="00E34D29" w:rsidRPr="00E34D29" w:rsidRDefault="00E34D29" w:rsidP="00E34D29">
      <w:pPr>
        <w:pStyle w:val="Sinespaciado"/>
        <w:spacing w:line="276" w:lineRule="auto"/>
        <w:jc w:val="both"/>
        <w:rPr>
          <w:rFonts w:ascii="Trebuchet MS" w:eastAsiaTheme="minorEastAsia" w:hAnsi="Trebuchet MS"/>
          <w:sz w:val="24"/>
          <w:szCs w:val="24"/>
          <w:lang w:eastAsia="es-MX"/>
        </w:rPr>
      </w:pPr>
      <w:r w:rsidRPr="00C53EB0">
        <w:rPr>
          <w:rFonts w:ascii="Trebuchet MS" w:hAnsi="Trebuchet MS" w:cs="Arial"/>
          <w:bCs/>
          <w:sz w:val="24"/>
          <w:szCs w:val="24"/>
        </w:rPr>
        <w:t xml:space="preserve">Asimismo, </w:t>
      </w:r>
      <w:r w:rsidRPr="00C53EB0">
        <w:rPr>
          <w:rFonts w:ascii="Trebuchet MS" w:eastAsiaTheme="minorEastAsia" w:hAnsi="Trebuchet MS"/>
          <w:sz w:val="24"/>
          <w:szCs w:val="24"/>
          <w:lang w:eastAsia="es-MX"/>
        </w:rPr>
        <w:t xml:space="preserve">el multicitado código señala en su artículo 583 el plazo que tiene el ciudadano para interponer el recurso de revisión: </w:t>
      </w:r>
    </w:p>
    <w:p w:rsidR="00E34D29" w:rsidRPr="00C53EB0" w:rsidRDefault="00E34D29" w:rsidP="00E34D29">
      <w:pPr>
        <w:pStyle w:val="Sinespaciado"/>
        <w:spacing w:line="276" w:lineRule="auto"/>
        <w:jc w:val="both"/>
        <w:rPr>
          <w:rFonts w:ascii="Trebuchet MS" w:eastAsiaTheme="minorEastAsia" w:hAnsi="Trebuchet MS"/>
          <w:sz w:val="24"/>
          <w:szCs w:val="24"/>
          <w:lang w:eastAsia="es-MX"/>
        </w:rPr>
      </w:pPr>
    </w:p>
    <w:p w:rsidR="00E34D29" w:rsidRPr="00C53EB0" w:rsidRDefault="00E34D29" w:rsidP="00E34D29">
      <w:pPr>
        <w:pStyle w:val="Sinespaciado"/>
        <w:spacing w:line="276" w:lineRule="auto"/>
        <w:ind w:left="851" w:right="900"/>
        <w:jc w:val="both"/>
        <w:rPr>
          <w:rFonts w:ascii="Trebuchet MS" w:eastAsiaTheme="minorEastAsia" w:hAnsi="Trebuchet MS"/>
          <w:i/>
          <w:sz w:val="24"/>
          <w:szCs w:val="24"/>
          <w:lang w:eastAsia="es-MX"/>
        </w:rPr>
      </w:pPr>
      <w:r w:rsidRPr="00C53EB0">
        <w:rPr>
          <w:rFonts w:ascii="Trebuchet MS" w:eastAsiaTheme="minorEastAsia" w:hAnsi="Trebuchet MS"/>
          <w:i/>
          <w:sz w:val="24"/>
          <w:szCs w:val="24"/>
          <w:lang w:eastAsia="es-MX"/>
        </w:rPr>
        <w:t>“Artículo 583.</w:t>
      </w:r>
    </w:p>
    <w:p w:rsidR="00E34D29" w:rsidRPr="00C53EB0" w:rsidRDefault="00E34D29" w:rsidP="00E34D29">
      <w:pPr>
        <w:pStyle w:val="Sinespaciado"/>
        <w:spacing w:line="276" w:lineRule="auto"/>
        <w:ind w:left="851" w:right="900"/>
        <w:jc w:val="both"/>
        <w:rPr>
          <w:rFonts w:ascii="Trebuchet MS" w:eastAsiaTheme="minorEastAsia" w:hAnsi="Trebuchet MS"/>
          <w:i/>
          <w:sz w:val="24"/>
          <w:szCs w:val="24"/>
          <w:lang w:eastAsia="es-MX"/>
        </w:rPr>
      </w:pPr>
    </w:p>
    <w:p w:rsidR="00E34D29" w:rsidRDefault="00E34D29" w:rsidP="00E34D29">
      <w:pPr>
        <w:pStyle w:val="Sinespaciado"/>
        <w:spacing w:line="276" w:lineRule="auto"/>
        <w:ind w:left="851" w:right="900"/>
        <w:jc w:val="both"/>
        <w:rPr>
          <w:rFonts w:ascii="Trebuchet MS" w:eastAsiaTheme="minorEastAsia" w:hAnsi="Trebuchet MS"/>
          <w:i/>
          <w:sz w:val="24"/>
          <w:szCs w:val="24"/>
          <w:lang w:eastAsia="es-MX"/>
        </w:rPr>
      </w:pPr>
      <w:r w:rsidRPr="00C53EB0">
        <w:rPr>
          <w:rFonts w:ascii="Trebuchet MS" w:eastAsiaTheme="minorEastAsia" w:hAnsi="Trebuchet MS"/>
          <w:i/>
          <w:sz w:val="24"/>
          <w:szCs w:val="24"/>
          <w:lang w:eastAsia="es-MX"/>
        </w:rPr>
        <w:t>El recurso de revisión deberá interponerse dentro de los tres días siguientes a aquél en que se hubiese notificado el acto o la resolución que se recurra.”</w:t>
      </w:r>
    </w:p>
    <w:p w:rsidR="00E34D29" w:rsidRPr="00B06DD8" w:rsidRDefault="00E34D29" w:rsidP="00E34D29">
      <w:pPr>
        <w:pStyle w:val="Sinespaciado"/>
        <w:spacing w:line="276" w:lineRule="auto"/>
        <w:jc w:val="both"/>
        <w:rPr>
          <w:rFonts w:ascii="Trebuchet MS" w:eastAsiaTheme="minorEastAsia" w:hAnsi="Trebuchet MS"/>
          <w:i/>
          <w:sz w:val="16"/>
          <w:szCs w:val="16"/>
          <w:lang w:eastAsia="es-MX"/>
        </w:rPr>
      </w:pPr>
    </w:p>
    <w:p w:rsidR="00E34D29" w:rsidRPr="00AE47A2" w:rsidRDefault="00E34D29" w:rsidP="00E34D29">
      <w:pPr>
        <w:pStyle w:val="Sinespaciado"/>
        <w:spacing w:line="276" w:lineRule="auto"/>
        <w:jc w:val="both"/>
        <w:rPr>
          <w:rFonts w:ascii="Trebuchet MS" w:eastAsiaTheme="minorEastAsia" w:hAnsi="Trebuchet MS"/>
          <w:sz w:val="24"/>
          <w:szCs w:val="24"/>
          <w:lang w:eastAsia="es-MX"/>
        </w:rPr>
      </w:pPr>
      <w:r w:rsidRPr="00C53EB0">
        <w:rPr>
          <w:rFonts w:ascii="Trebuchet MS" w:eastAsiaTheme="minorEastAsia" w:hAnsi="Trebuchet MS"/>
          <w:sz w:val="24"/>
          <w:szCs w:val="24"/>
          <w:lang w:eastAsia="es-MX"/>
        </w:rPr>
        <w:t>En este sentido</w:t>
      </w:r>
      <w:r>
        <w:rPr>
          <w:rFonts w:ascii="Trebuchet MS" w:eastAsiaTheme="minorEastAsia" w:hAnsi="Trebuchet MS"/>
          <w:sz w:val="24"/>
          <w:szCs w:val="24"/>
          <w:lang w:eastAsia="es-MX"/>
        </w:rPr>
        <w:t>, el hoy recurrente</w:t>
      </w:r>
      <w:r>
        <w:rPr>
          <w:rFonts w:ascii="Trebuchet MS" w:hAnsi="Trebuchet MS"/>
          <w:sz w:val="24"/>
          <w:szCs w:val="24"/>
        </w:rPr>
        <w:t xml:space="preserve">, </w:t>
      </w:r>
      <w:r w:rsidRPr="00AE47A2">
        <w:rPr>
          <w:rFonts w:ascii="Trebuchet MS" w:eastAsiaTheme="minorEastAsia" w:hAnsi="Trebuchet MS"/>
          <w:sz w:val="24"/>
          <w:szCs w:val="24"/>
          <w:lang w:eastAsia="es-MX"/>
        </w:rPr>
        <w:t>present</w:t>
      </w:r>
      <w:r>
        <w:rPr>
          <w:rFonts w:ascii="Trebuchet MS" w:eastAsiaTheme="minorEastAsia" w:hAnsi="Trebuchet MS"/>
          <w:sz w:val="24"/>
          <w:szCs w:val="24"/>
          <w:lang w:eastAsia="es-MX"/>
        </w:rPr>
        <w:t>ó</w:t>
      </w:r>
      <w:r w:rsidRPr="00AE47A2">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el medio</w:t>
      </w:r>
      <w:r w:rsidRPr="00AE47A2">
        <w:rPr>
          <w:rFonts w:ascii="Trebuchet MS" w:eastAsiaTheme="minorEastAsia" w:hAnsi="Trebuchet MS"/>
          <w:sz w:val="24"/>
          <w:szCs w:val="24"/>
          <w:lang w:eastAsia="es-MX"/>
        </w:rPr>
        <w:t xml:space="preserve"> de impugnación</w:t>
      </w:r>
      <w:r>
        <w:rPr>
          <w:rFonts w:ascii="Trebuchet MS" w:eastAsiaTheme="minorEastAsia" w:hAnsi="Trebuchet MS"/>
          <w:sz w:val="24"/>
          <w:szCs w:val="24"/>
          <w:lang w:eastAsia="es-MX"/>
        </w:rPr>
        <w:t xml:space="preserve"> materia de estudio,</w:t>
      </w:r>
      <w:r w:rsidRPr="00AE47A2">
        <w:rPr>
          <w:rFonts w:ascii="Trebuchet MS" w:eastAsiaTheme="minorEastAsia" w:hAnsi="Trebuchet MS"/>
          <w:sz w:val="24"/>
          <w:szCs w:val="24"/>
          <w:lang w:eastAsia="es-MX"/>
        </w:rPr>
        <w:t xml:space="preserve"> fuera de</w:t>
      </w:r>
      <w:r>
        <w:rPr>
          <w:rFonts w:ascii="Trebuchet MS" w:eastAsiaTheme="minorEastAsia" w:hAnsi="Trebuchet MS"/>
          <w:sz w:val="24"/>
          <w:szCs w:val="24"/>
          <w:lang w:eastAsia="es-MX"/>
        </w:rPr>
        <w:t>l</w:t>
      </w:r>
      <w:r w:rsidRPr="00AE47A2">
        <w:rPr>
          <w:rFonts w:ascii="Trebuchet MS" w:eastAsiaTheme="minorEastAsia" w:hAnsi="Trebuchet MS"/>
          <w:sz w:val="24"/>
          <w:szCs w:val="24"/>
          <w:lang w:eastAsia="es-MX"/>
        </w:rPr>
        <w:t xml:space="preserve"> plazo legal</w:t>
      </w:r>
      <w:r>
        <w:rPr>
          <w:rFonts w:ascii="Trebuchet MS" w:eastAsiaTheme="minorEastAsia" w:hAnsi="Trebuchet MS"/>
          <w:sz w:val="24"/>
          <w:szCs w:val="24"/>
          <w:lang w:eastAsia="es-MX"/>
        </w:rPr>
        <w:t xml:space="preserve"> establecido para ello</w:t>
      </w:r>
      <w:r w:rsidRPr="00AE47A2">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 xml:space="preserve">tal y como se detalla a continuación; el acuerdo de desechamiento de la queja identificada con el número de expediente PSE-QUEJA-117/2020, </w:t>
      </w:r>
      <w:r w:rsidRPr="00AE47A2">
        <w:rPr>
          <w:rFonts w:ascii="Trebuchet MS" w:eastAsiaTheme="minorEastAsia" w:hAnsi="Trebuchet MS"/>
          <w:sz w:val="24"/>
          <w:szCs w:val="24"/>
          <w:lang w:eastAsia="es-MX"/>
        </w:rPr>
        <w:t xml:space="preserve">fue notificado de manera personal al promovente el </w:t>
      </w:r>
      <w:r w:rsidR="00EA4B9E">
        <w:rPr>
          <w:rFonts w:ascii="Trebuchet MS" w:eastAsiaTheme="minorEastAsia" w:hAnsi="Trebuchet MS"/>
          <w:sz w:val="24"/>
          <w:szCs w:val="24"/>
          <w:lang w:eastAsia="es-MX"/>
        </w:rPr>
        <w:t>día 12 doce de abril del presente</w:t>
      </w:r>
      <w:r w:rsidR="001F729D">
        <w:rPr>
          <w:rFonts w:ascii="Trebuchet MS" w:eastAsiaTheme="minorEastAsia" w:hAnsi="Trebuchet MS"/>
          <w:sz w:val="24"/>
          <w:szCs w:val="24"/>
          <w:lang w:eastAsia="es-MX"/>
        </w:rPr>
        <w:t xml:space="preserve"> año</w:t>
      </w:r>
      <w:r w:rsidRPr="00AE47A2">
        <w:rPr>
          <w:rFonts w:ascii="Trebuchet MS" w:eastAsiaTheme="minorEastAsia" w:hAnsi="Trebuchet MS"/>
          <w:sz w:val="24"/>
          <w:szCs w:val="24"/>
          <w:lang w:eastAsia="es-MX"/>
        </w:rPr>
        <w:t xml:space="preserve">, </w:t>
      </w:r>
      <w:r w:rsidR="008043EE">
        <w:rPr>
          <w:rFonts w:ascii="Trebuchet MS" w:eastAsiaTheme="minorEastAsia" w:hAnsi="Trebuchet MS"/>
          <w:sz w:val="24"/>
          <w:szCs w:val="24"/>
          <w:lang w:eastAsia="es-MX"/>
        </w:rPr>
        <w:t xml:space="preserve">el término de 03 tres días referido en el numeral antes trascrito feneció el pasado día quince del mes y año en cita, </w:t>
      </w:r>
      <w:r w:rsidRPr="00AE47A2">
        <w:rPr>
          <w:rFonts w:ascii="Trebuchet MS" w:eastAsiaTheme="minorEastAsia" w:hAnsi="Trebuchet MS"/>
          <w:sz w:val="24"/>
          <w:szCs w:val="24"/>
          <w:lang w:eastAsia="es-MX"/>
        </w:rPr>
        <w:t>sin embargo, presentó el medio de impugnación</w:t>
      </w:r>
      <w:r w:rsidR="001F729D">
        <w:rPr>
          <w:rFonts w:ascii="Trebuchet MS" w:eastAsiaTheme="minorEastAsia" w:hAnsi="Trebuchet MS"/>
          <w:sz w:val="24"/>
          <w:szCs w:val="24"/>
          <w:lang w:eastAsia="es-MX"/>
        </w:rPr>
        <w:t xml:space="preserve"> hasta</w:t>
      </w:r>
      <w:r w:rsidRPr="00AE47A2">
        <w:rPr>
          <w:rFonts w:ascii="Trebuchet MS" w:eastAsiaTheme="minorEastAsia" w:hAnsi="Trebuchet MS"/>
          <w:sz w:val="24"/>
          <w:szCs w:val="24"/>
          <w:lang w:eastAsia="es-MX"/>
        </w:rPr>
        <w:t xml:space="preserve"> el día </w:t>
      </w:r>
      <w:r w:rsidR="00EA4B9E">
        <w:rPr>
          <w:rFonts w:ascii="Trebuchet MS" w:eastAsiaTheme="minorEastAsia" w:hAnsi="Trebuchet MS"/>
          <w:sz w:val="24"/>
          <w:szCs w:val="24"/>
          <w:lang w:eastAsia="es-MX"/>
        </w:rPr>
        <w:t>diecisiete de abril</w:t>
      </w:r>
      <w:r>
        <w:rPr>
          <w:rFonts w:ascii="Trebuchet MS" w:eastAsiaTheme="minorEastAsia" w:hAnsi="Trebuchet MS"/>
          <w:sz w:val="24"/>
          <w:szCs w:val="24"/>
          <w:lang w:eastAsia="es-MX"/>
        </w:rPr>
        <w:t xml:space="preserve"> </w:t>
      </w:r>
      <w:r w:rsidRPr="00AE47A2">
        <w:rPr>
          <w:rFonts w:ascii="Trebuchet MS" w:eastAsiaTheme="minorEastAsia" w:hAnsi="Trebuchet MS"/>
          <w:sz w:val="24"/>
          <w:szCs w:val="24"/>
          <w:lang w:eastAsia="es-MX"/>
        </w:rPr>
        <w:t xml:space="preserve">siguiente, por lo que transcurrió en exceso el término de tres días a que se refiere el artículo 583, </w:t>
      </w:r>
      <w:r w:rsidR="008043EE">
        <w:rPr>
          <w:rFonts w:ascii="Trebuchet MS" w:eastAsiaTheme="minorEastAsia" w:hAnsi="Trebuchet MS"/>
          <w:sz w:val="24"/>
          <w:szCs w:val="24"/>
          <w:lang w:eastAsia="es-MX"/>
        </w:rPr>
        <w:t xml:space="preserve">ya </w:t>
      </w:r>
      <w:r w:rsidRPr="00AE47A2">
        <w:rPr>
          <w:rFonts w:ascii="Trebuchet MS" w:eastAsiaTheme="minorEastAsia" w:hAnsi="Trebuchet MS"/>
          <w:sz w:val="24"/>
          <w:szCs w:val="24"/>
          <w:lang w:eastAsia="es-MX"/>
        </w:rPr>
        <w:t>como se muestra a continuación:</w:t>
      </w:r>
    </w:p>
    <w:p w:rsidR="00E34D29" w:rsidRPr="00AE47A2" w:rsidRDefault="00E34D29" w:rsidP="00E34D29">
      <w:pPr>
        <w:pStyle w:val="Sinespaciado"/>
        <w:spacing w:line="276" w:lineRule="auto"/>
        <w:jc w:val="both"/>
        <w:rPr>
          <w:rFonts w:ascii="Trebuchet MS" w:eastAsiaTheme="minorEastAsia" w:hAnsi="Trebuchet MS"/>
          <w:sz w:val="24"/>
          <w:szCs w:val="24"/>
          <w:lang w:eastAsia="es-MX"/>
        </w:rPr>
      </w:pPr>
    </w:p>
    <w:tbl>
      <w:tblPr>
        <w:tblStyle w:val="Cuadrculaclara"/>
        <w:tblW w:w="0" w:type="auto"/>
        <w:tblInd w:w="108" w:type="dxa"/>
        <w:tblLook w:val="04A0" w:firstRow="1" w:lastRow="0" w:firstColumn="1" w:lastColumn="0" w:noHBand="0" w:noVBand="1"/>
      </w:tblPr>
      <w:tblGrid>
        <w:gridCol w:w="1489"/>
        <w:gridCol w:w="929"/>
        <w:gridCol w:w="1226"/>
        <w:gridCol w:w="1556"/>
        <w:gridCol w:w="1389"/>
        <w:gridCol w:w="980"/>
        <w:gridCol w:w="1141"/>
      </w:tblGrid>
      <w:tr w:rsidR="00E34D29" w:rsidRPr="00AE47A2" w:rsidTr="00EA4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0" w:type="dxa"/>
            <w:gridSpan w:val="7"/>
            <w:shd w:val="clear" w:color="auto" w:fill="BFBFBF" w:themeFill="background1" w:themeFillShade="BF"/>
          </w:tcPr>
          <w:p w:rsidR="00E34D29" w:rsidRPr="008A4CA6" w:rsidRDefault="00EA4B9E" w:rsidP="002F253C">
            <w:pPr>
              <w:pStyle w:val="Sinespaciado"/>
              <w:spacing w:line="276" w:lineRule="auto"/>
              <w:jc w:val="center"/>
              <w:rPr>
                <w:rFonts w:ascii="Trebuchet MS" w:eastAsiaTheme="minorEastAsia" w:hAnsi="Trebuchet MS"/>
                <w:sz w:val="28"/>
                <w:szCs w:val="28"/>
                <w:lang w:eastAsia="es-MX"/>
              </w:rPr>
            </w:pPr>
            <w:r>
              <w:rPr>
                <w:rFonts w:ascii="Trebuchet MS" w:eastAsiaTheme="minorEastAsia" w:hAnsi="Trebuchet MS"/>
                <w:sz w:val="28"/>
                <w:szCs w:val="28"/>
                <w:lang w:eastAsia="es-MX"/>
              </w:rPr>
              <w:t>Abril 2021</w:t>
            </w:r>
          </w:p>
        </w:tc>
      </w:tr>
      <w:tr w:rsidR="008043EE" w:rsidRPr="00AE47A2" w:rsidTr="0080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dxa"/>
          </w:tcPr>
          <w:p w:rsidR="00E34D29" w:rsidRPr="008A4CA6" w:rsidRDefault="00E34D29" w:rsidP="002F253C">
            <w:pPr>
              <w:pStyle w:val="Sinespaciado"/>
              <w:spacing w:line="276" w:lineRule="auto"/>
              <w:jc w:val="center"/>
              <w:rPr>
                <w:rFonts w:ascii="Trebuchet MS" w:eastAsiaTheme="minorEastAsia" w:hAnsi="Trebuchet MS"/>
                <w:b w:val="0"/>
                <w:sz w:val="24"/>
                <w:szCs w:val="24"/>
                <w:lang w:eastAsia="es-MX"/>
              </w:rPr>
            </w:pPr>
            <w:r w:rsidRPr="008A4CA6">
              <w:rPr>
                <w:rFonts w:ascii="Trebuchet MS" w:eastAsiaTheme="minorEastAsia" w:hAnsi="Trebuchet MS"/>
                <w:b w:val="0"/>
                <w:sz w:val="24"/>
                <w:szCs w:val="24"/>
                <w:lang w:eastAsia="es-MX"/>
              </w:rPr>
              <w:t>Lunes</w:t>
            </w:r>
          </w:p>
        </w:tc>
        <w:tc>
          <w:tcPr>
            <w:tcW w:w="929"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Martes</w:t>
            </w:r>
          </w:p>
        </w:tc>
        <w:tc>
          <w:tcPr>
            <w:tcW w:w="1226"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Miércoles</w:t>
            </w:r>
          </w:p>
        </w:tc>
        <w:tc>
          <w:tcPr>
            <w:tcW w:w="1556"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Jueves</w:t>
            </w:r>
          </w:p>
        </w:tc>
        <w:tc>
          <w:tcPr>
            <w:tcW w:w="1389"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Viernes</w:t>
            </w:r>
          </w:p>
        </w:tc>
        <w:tc>
          <w:tcPr>
            <w:tcW w:w="980"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Sábado</w:t>
            </w:r>
          </w:p>
        </w:tc>
        <w:tc>
          <w:tcPr>
            <w:tcW w:w="1141" w:type="dxa"/>
          </w:tcPr>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Domingo</w:t>
            </w:r>
          </w:p>
        </w:tc>
      </w:tr>
      <w:tr w:rsidR="008043EE" w:rsidRPr="00AE47A2" w:rsidTr="008043EE">
        <w:trPr>
          <w:cnfStyle w:val="000000010000" w:firstRow="0" w:lastRow="0" w:firstColumn="0" w:lastColumn="0" w:oddVBand="0" w:evenVBand="0" w:oddHBand="0" w:evenHBand="1" w:firstRowFirstColumn="0" w:firstRowLastColumn="0" w:lastRowFirstColumn="0" w:lastRowLastColumn="0"/>
          <w:trHeight w:val="1945"/>
        </w:trPr>
        <w:tc>
          <w:tcPr>
            <w:cnfStyle w:val="001000000000" w:firstRow="0" w:lastRow="0" w:firstColumn="1" w:lastColumn="0" w:oddVBand="0" w:evenVBand="0" w:oddHBand="0" w:evenHBand="0" w:firstRowFirstColumn="0" w:firstRowLastColumn="0" w:lastRowFirstColumn="0" w:lastRowLastColumn="0"/>
            <w:tcW w:w="1489" w:type="dxa"/>
          </w:tcPr>
          <w:p w:rsidR="00E34D29" w:rsidRPr="008A4CA6" w:rsidRDefault="00EA4B9E" w:rsidP="002F253C">
            <w:pPr>
              <w:pStyle w:val="Sinespaciado"/>
              <w:spacing w:line="276" w:lineRule="auto"/>
              <w:jc w:val="center"/>
              <w:rPr>
                <w:rFonts w:ascii="Trebuchet MS" w:eastAsiaTheme="minorEastAsia" w:hAnsi="Trebuchet MS"/>
                <w:b w:val="0"/>
                <w:sz w:val="24"/>
                <w:szCs w:val="24"/>
                <w:lang w:eastAsia="es-MX"/>
              </w:rPr>
            </w:pPr>
            <w:r>
              <w:rPr>
                <w:rFonts w:ascii="Trebuchet MS" w:eastAsiaTheme="minorEastAsia" w:hAnsi="Trebuchet MS"/>
                <w:b w:val="0"/>
                <w:sz w:val="24"/>
                <w:szCs w:val="24"/>
                <w:lang w:eastAsia="es-MX"/>
              </w:rPr>
              <w:t>05</w:t>
            </w:r>
          </w:p>
        </w:tc>
        <w:tc>
          <w:tcPr>
            <w:tcW w:w="929"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06</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tc>
        <w:tc>
          <w:tcPr>
            <w:tcW w:w="1226"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07</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tc>
        <w:tc>
          <w:tcPr>
            <w:tcW w:w="1556"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08</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tc>
        <w:tc>
          <w:tcPr>
            <w:tcW w:w="1389"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09</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Se emite el acuerdo impugnado</w:t>
            </w:r>
          </w:p>
        </w:tc>
        <w:tc>
          <w:tcPr>
            <w:tcW w:w="980"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10</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tc>
        <w:tc>
          <w:tcPr>
            <w:tcW w:w="1141" w:type="dxa"/>
          </w:tcPr>
          <w:p w:rsidR="00E34D29" w:rsidRPr="008A4CA6" w:rsidRDefault="00EA4B9E"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11</w:t>
            </w: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p w:rsidR="00E34D29" w:rsidRPr="008A4CA6" w:rsidRDefault="00E34D29" w:rsidP="002F253C">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Trebuchet MS" w:eastAsiaTheme="minorEastAsia" w:hAnsi="Trebuchet MS"/>
                <w:sz w:val="24"/>
                <w:szCs w:val="24"/>
                <w:lang w:eastAsia="es-MX"/>
              </w:rPr>
            </w:pPr>
          </w:p>
        </w:tc>
      </w:tr>
      <w:tr w:rsidR="008043EE" w:rsidRPr="00AE47A2" w:rsidTr="008043EE">
        <w:trPr>
          <w:cnfStyle w:val="000000100000" w:firstRow="0" w:lastRow="0" w:firstColumn="0" w:lastColumn="0" w:oddVBand="0" w:evenVBand="0" w:oddHBand="1" w:evenHBand="0" w:firstRowFirstColumn="0" w:firstRowLastColumn="0" w:lastRowFirstColumn="0" w:lastRowLastColumn="0"/>
          <w:trHeight w:val="1961"/>
        </w:trPr>
        <w:tc>
          <w:tcPr>
            <w:cnfStyle w:val="001000000000" w:firstRow="0" w:lastRow="0" w:firstColumn="1" w:lastColumn="0" w:oddVBand="0" w:evenVBand="0" w:oddHBand="0" w:evenHBand="0" w:firstRowFirstColumn="0" w:firstRowLastColumn="0" w:lastRowFirstColumn="0" w:lastRowLastColumn="0"/>
            <w:tcW w:w="1489" w:type="dxa"/>
            <w:shd w:val="clear" w:color="auto" w:fill="FFFFFF" w:themeFill="background1"/>
          </w:tcPr>
          <w:p w:rsidR="00E34D29" w:rsidRDefault="00EA4B9E" w:rsidP="002F253C">
            <w:pPr>
              <w:pStyle w:val="Sinespaciado"/>
              <w:spacing w:line="276" w:lineRule="auto"/>
              <w:jc w:val="center"/>
              <w:rPr>
                <w:rFonts w:ascii="Trebuchet MS" w:eastAsiaTheme="minorEastAsia" w:hAnsi="Trebuchet MS"/>
                <w:b w:val="0"/>
                <w:sz w:val="24"/>
                <w:szCs w:val="24"/>
                <w:lang w:eastAsia="es-MX"/>
              </w:rPr>
            </w:pPr>
            <w:r>
              <w:rPr>
                <w:rFonts w:ascii="Trebuchet MS" w:eastAsiaTheme="minorEastAsia" w:hAnsi="Trebuchet MS"/>
                <w:b w:val="0"/>
                <w:sz w:val="24"/>
                <w:szCs w:val="24"/>
                <w:lang w:eastAsia="es-MX"/>
              </w:rPr>
              <w:lastRenderedPageBreak/>
              <w:t>12</w:t>
            </w:r>
          </w:p>
          <w:p w:rsidR="00EA4B9E" w:rsidRDefault="00EA4B9E" w:rsidP="002F253C">
            <w:pPr>
              <w:pStyle w:val="Sinespaciado"/>
              <w:spacing w:line="276" w:lineRule="auto"/>
              <w:jc w:val="center"/>
              <w:rPr>
                <w:rFonts w:ascii="Trebuchet MS" w:eastAsiaTheme="minorEastAsia" w:hAnsi="Trebuchet MS"/>
                <w:b w:val="0"/>
                <w:sz w:val="24"/>
                <w:szCs w:val="24"/>
                <w:lang w:eastAsia="es-MX"/>
              </w:rPr>
            </w:pPr>
          </w:p>
          <w:p w:rsidR="00EA4B9E" w:rsidRPr="00EA4B9E" w:rsidRDefault="00EA4B9E" w:rsidP="00EA4B9E">
            <w:pPr>
              <w:pStyle w:val="Sinespaciado"/>
              <w:spacing w:line="276" w:lineRule="auto"/>
              <w:jc w:val="center"/>
              <w:rPr>
                <w:rFonts w:ascii="Trebuchet MS" w:eastAsiaTheme="minorEastAsia" w:hAnsi="Trebuchet MS"/>
                <w:b w:val="0"/>
                <w:sz w:val="24"/>
                <w:szCs w:val="24"/>
                <w:lang w:eastAsia="es-MX"/>
              </w:rPr>
            </w:pPr>
            <w:r w:rsidRPr="00EA4B9E">
              <w:rPr>
                <w:rFonts w:ascii="Trebuchet MS" w:eastAsiaTheme="minorEastAsia" w:hAnsi="Trebuchet MS"/>
                <w:b w:val="0"/>
                <w:sz w:val="24"/>
                <w:szCs w:val="24"/>
                <w:lang w:eastAsia="es-MX"/>
              </w:rPr>
              <w:t>Fecha de notificación</w:t>
            </w:r>
          </w:p>
          <w:p w:rsidR="00EA4B9E" w:rsidRPr="008A4CA6" w:rsidRDefault="00EA4B9E" w:rsidP="002F253C">
            <w:pPr>
              <w:pStyle w:val="Sinespaciado"/>
              <w:spacing w:line="276" w:lineRule="auto"/>
              <w:jc w:val="center"/>
              <w:rPr>
                <w:rFonts w:ascii="Trebuchet MS" w:eastAsiaTheme="minorEastAsia" w:hAnsi="Trebuchet MS"/>
                <w:b w:val="0"/>
                <w:sz w:val="24"/>
                <w:szCs w:val="24"/>
                <w:lang w:eastAsia="es-MX"/>
              </w:rPr>
            </w:pPr>
          </w:p>
        </w:tc>
        <w:tc>
          <w:tcPr>
            <w:tcW w:w="929"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13</w:t>
            </w: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E34D29" w:rsidRPr="008A4CA6" w:rsidRDefault="00EA4B9E" w:rsidP="00EA4B9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Día 1</w:t>
            </w:r>
          </w:p>
        </w:tc>
        <w:tc>
          <w:tcPr>
            <w:tcW w:w="1226"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14</w:t>
            </w:r>
          </w:p>
          <w:p w:rsidR="00E34D29"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Día 2</w:t>
            </w:r>
          </w:p>
        </w:tc>
        <w:tc>
          <w:tcPr>
            <w:tcW w:w="1556"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15</w:t>
            </w: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8043EE" w:rsidRDefault="00E34D29" w:rsidP="008043E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Día </w:t>
            </w:r>
            <w:r w:rsidR="00EA4B9E">
              <w:rPr>
                <w:rFonts w:ascii="Trebuchet MS" w:eastAsiaTheme="minorEastAsia" w:hAnsi="Trebuchet MS"/>
                <w:sz w:val="24"/>
                <w:szCs w:val="24"/>
                <w:lang w:eastAsia="es-MX"/>
              </w:rPr>
              <w:t>3</w:t>
            </w:r>
          </w:p>
          <w:p w:rsidR="008043EE" w:rsidRDefault="008043EE" w:rsidP="008043EE">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vencimiento</w:t>
            </w:r>
          </w:p>
          <w:p w:rsidR="008043EE" w:rsidRPr="008A4CA6" w:rsidRDefault="008043EE" w:rsidP="008043EE">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del término</w:t>
            </w:r>
          </w:p>
        </w:tc>
        <w:tc>
          <w:tcPr>
            <w:tcW w:w="1389"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16</w:t>
            </w: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Día 4</w:t>
            </w:r>
          </w:p>
        </w:tc>
        <w:tc>
          <w:tcPr>
            <w:tcW w:w="980"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17</w:t>
            </w: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E34D29" w:rsidRDefault="00E34D29" w:rsidP="00EA4B9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sidRPr="008A4CA6">
              <w:rPr>
                <w:rFonts w:ascii="Trebuchet MS" w:eastAsiaTheme="minorEastAsia" w:hAnsi="Trebuchet MS"/>
                <w:sz w:val="24"/>
                <w:szCs w:val="24"/>
                <w:lang w:eastAsia="es-MX"/>
              </w:rPr>
              <w:t xml:space="preserve">Día </w:t>
            </w:r>
            <w:r w:rsidR="00EA4B9E">
              <w:rPr>
                <w:rFonts w:ascii="Trebuchet MS" w:eastAsiaTheme="minorEastAsia" w:hAnsi="Trebuchet MS"/>
                <w:sz w:val="24"/>
                <w:szCs w:val="24"/>
                <w:lang w:eastAsia="es-MX"/>
              </w:rPr>
              <w:t>5</w:t>
            </w:r>
          </w:p>
          <w:p w:rsidR="008043EE" w:rsidRPr="008A4CA6" w:rsidRDefault="008043EE" w:rsidP="008043EE">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tc>
        <w:tc>
          <w:tcPr>
            <w:tcW w:w="1141" w:type="dxa"/>
            <w:shd w:val="clear" w:color="auto" w:fill="FFFFFF" w:themeFill="background1"/>
          </w:tcPr>
          <w:p w:rsidR="00E34D29" w:rsidRPr="008A4CA6" w:rsidRDefault="00EA4B9E"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r>
              <w:rPr>
                <w:rFonts w:ascii="Trebuchet MS" w:eastAsiaTheme="minorEastAsia" w:hAnsi="Trebuchet MS"/>
                <w:sz w:val="24"/>
                <w:szCs w:val="24"/>
                <w:lang w:eastAsia="es-MX"/>
              </w:rPr>
              <w:t>18</w:t>
            </w: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p w:rsidR="00E34D29" w:rsidRPr="008A4CA6" w:rsidRDefault="00E34D29" w:rsidP="002F253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sz w:val="24"/>
                <w:szCs w:val="24"/>
                <w:lang w:eastAsia="es-MX"/>
              </w:rPr>
            </w:pPr>
          </w:p>
        </w:tc>
      </w:tr>
    </w:tbl>
    <w:p w:rsidR="00EA4B9E" w:rsidRDefault="00EA4B9E" w:rsidP="00EA4B9E">
      <w:pPr>
        <w:pStyle w:val="Sinespaciado"/>
        <w:spacing w:line="276" w:lineRule="auto"/>
        <w:ind w:left="360"/>
        <w:jc w:val="both"/>
        <w:rPr>
          <w:rFonts w:ascii="Trebuchet MS" w:eastAsiaTheme="minorEastAsia" w:hAnsi="Trebuchet MS"/>
          <w:b/>
          <w:sz w:val="24"/>
          <w:szCs w:val="24"/>
          <w:lang w:eastAsia="es-MX"/>
        </w:rPr>
      </w:pPr>
    </w:p>
    <w:p w:rsidR="00E34D29" w:rsidRDefault="00E34D29" w:rsidP="00E34D29">
      <w:pPr>
        <w:pStyle w:val="Sinespaciado"/>
        <w:spacing w:line="276" w:lineRule="auto"/>
        <w:jc w:val="both"/>
        <w:rPr>
          <w:rFonts w:ascii="Trebuchet MS" w:eastAsiaTheme="minorEastAsia" w:hAnsi="Trebuchet MS"/>
          <w:sz w:val="24"/>
          <w:szCs w:val="24"/>
          <w:lang w:val="es-ES_tradnl" w:eastAsia="es-MX"/>
        </w:rPr>
      </w:pPr>
      <w:r>
        <w:rPr>
          <w:rFonts w:ascii="Trebuchet MS" w:eastAsiaTheme="minorEastAsia" w:hAnsi="Trebuchet MS"/>
          <w:sz w:val="24"/>
          <w:szCs w:val="24"/>
          <w:lang w:val="es-ES_tradnl" w:eastAsia="es-MX"/>
        </w:rPr>
        <w:t xml:space="preserve">Cabe mencionar que aún y cuando </w:t>
      </w:r>
      <w:r w:rsidR="00EA4B9E">
        <w:rPr>
          <w:rFonts w:ascii="Trebuchet MS" w:eastAsiaTheme="minorEastAsia" w:hAnsi="Trebuchet MS"/>
          <w:sz w:val="24"/>
          <w:szCs w:val="24"/>
          <w:lang w:val="es-ES_tradnl" w:eastAsia="es-MX"/>
        </w:rPr>
        <w:t>el medio de impugnación</w:t>
      </w:r>
      <w:r>
        <w:rPr>
          <w:rFonts w:ascii="Trebuchet MS" w:eastAsiaTheme="minorEastAsia" w:hAnsi="Trebuchet MS"/>
          <w:sz w:val="24"/>
          <w:szCs w:val="24"/>
          <w:lang w:val="es-ES_tradnl" w:eastAsia="es-MX"/>
        </w:rPr>
        <w:t xml:space="preserve"> se present</w:t>
      </w:r>
      <w:r w:rsidR="00EA4B9E">
        <w:rPr>
          <w:rFonts w:ascii="Trebuchet MS" w:eastAsiaTheme="minorEastAsia" w:hAnsi="Trebuchet MS"/>
          <w:sz w:val="24"/>
          <w:szCs w:val="24"/>
          <w:lang w:val="es-ES_tradnl" w:eastAsia="es-MX"/>
        </w:rPr>
        <w:t>ó</w:t>
      </w:r>
      <w:r>
        <w:rPr>
          <w:rFonts w:ascii="Trebuchet MS" w:eastAsiaTheme="minorEastAsia" w:hAnsi="Trebuchet MS"/>
          <w:sz w:val="24"/>
          <w:szCs w:val="24"/>
          <w:lang w:val="es-ES_tradnl" w:eastAsia="es-MX"/>
        </w:rPr>
        <w:t xml:space="preserve"> como recurso de apelación, dentro del plazo de seis días que otorga el código local, al haberse reencauzado como recurso de revisión, se encuentra regido por las reglas procesales inherentes a este recurso, es decir, al plazo de tres días que establece el ya referido artículo 583 del ordenamiento citado, sirve de sustento la jurisprudencia siguiente: </w:t>
      </w:r>
    </w:p>
    <w:p w:rsidR="00E34D29" w:rsidRPr="00B06DD8" w:rsidRDefault="00E34D29" w:rsidP="00E34D29">
      <w:pPr>
        <w:pStyle w:val="Sinespaciado"/>
        <w:spacing w:line="276" w:lineRule="auto"/>
        <w:jc w:val="both"/>
        <w:rPr>
          <w:rFonts w:ascii="Trebuchet MS" w:eastAsiaTheme="minorEastAsia" w:hAnsi="Trebuchet MS"/>
          <w:sz w:val="16"/>
          <w:szCs w:val="16"/>
          <w:lang w:val="es-ES_tradnl" w:eastAsia="es-MX"/>
        </w:rPr>
      </w:pPr>
    </w:p>
    <w:p w:rsidR="00E34D29" w:rsidRPr="00454283" w:rsidRDefault="00E34D29" w:rsidP="00E34D29">
      <w:pPr>
        <w:pStyle w:val="Sinespaciado"/>
        <w:spacing w:line="276" w:lineRule="auto"/>
        <w:ind w:left="851" w:right="1495"/>
        <w:jc w:val="both"/>
        <w:rPr>
          <w:rFonts w:ascii="Trebuchet MS" w:eastAsiaTheme="minorEastAsia" w:hAnsi="Trebuchet MS"/>
          <w:i/>
          <w:sz w:val="22"/>
          <w:szCs w:val="22"/>
          <w:lang w:val="es-ES_tradnl" w:eastAsia="es-MX"/>
        </w:rPr>
      </w:pPr>
      <w:r w:rsidRPr="00454283">
        <w:rPr>
          <w:rStyle w:val="Textoennegrita"/>
          <w:rFonts w:ascii="Trebuchet MS" w:hAnsi="Trebuchet MS" w:cs="Arial"/>
          <w:i/>
          <w:sz w:val="22"/>
          <w:szCs w:val="22"/>
          <w:shd w:val="clear" w:color="auto" w:fill="FFFFFF"/>
        </w:rPr>
        <w:t>“REENCAUZAMIENTO</w:t>
      </w:r>
      <w:r w:rsidRPr="00454283">
        <w:rPr>
          <w:rFonts w:ascii="Trebuchet MS" w:hAnsi="Trebuchet MS" w:cs="Arial"/>
          <w:b/>
          <w:bCs/>
          <w:i/>
          <w:sz w:val="22"/>
          <w:szCs w:val="22"/>
          <w:shd w:val="clear" w:color="auto" w:fill="FFFFFF"/>
        </w:rPr>
        <w:t>. EL ANÁLISIS DE LA PROCEDENCIA DEL MEDIO DE IMPUGNACIÓN CORRESPONDE A LA AUTORIDAD U ÓRGANO COMPETENTE.- </w:t>
      </w:r>
      <w:r w:rsidRPr="00454283">
        <w:rPr>
          <w:rFonts w:ascii="Trebuchet MS" w:hAnsi="Trebuchet MS" w:cs="Arial"/>
          <w:i/>
          <w:sz w:val="22"/>
          <w:szCs w:val="22"/>
          <w:shd w:val="clear" w:color="auto" w:fill="FFFFFF"/>
        </w:rPr>
        <w:t>De la interpretación sistemática de los artículos 16, 17, 41, 99, fracción V, in fine, 116, 122, 124 de la Constitución Política de los Estados Unidos Mexicanos; 27 del Código Federal de Instituciones y Procedimientos Electorales y 2 de la Ley General del Sistema de Medios de Impugnación en Materia Electoral, se advierte que se prevé un sistema de distribución de competencias, entre la federación y las entidades federativas, para conocer de los medios de impugnación en materia electoral, así como la obligación de los partidos políticos a garantizar el derecho de acceso a la justicia partidista; en esas condiciones, cuando el promovente equivoque la vía y proceda el </w:t>
      </w:r>
      <w:r w:rsidRPr="00454283">
        <w:rPr>
          <w:rStyle w:val="Textoennegrita"/>
          <w:rFonts w:ascii="Trebuchet MS" w:hAnsi="Trebuchet MS" w:cs="Arial"/>
          <w:i/>
          <w:sz w:val="22"/>
          <w:szCs w:val="22"/>
          <w:shd w:val="clear" w:color="auto" w:fill="FFFFFF"/>
        </w:rPr>
        <w:t>reencauzamiento</w:t>
      </w:r>
      <w:r w:rsidRPr="00454283">
        <w:rPr>
          <w:rFonts w:ascii="Trebuchet MS" w:hAnsi="Trebuchet MS" w:cs="Arial"/>
          <w:i/>
          <w:sz w:val="22"/>
          <w:szCs w:val="22"/>
          <w:shd w:val="clear" w:color="auto" w:fill="FFFFFF"/>
        </w:rPr>
        <w:t> del medio de impugnación, debe ordenarse su remisión, sin prejuzgar sobre la procedencia del mismo, a la autoridad u órgano competente para conocer del asunto, ya que esa determinación corresponde a éstos; con lo anterior se evita, la invasión de los ámbitos de atribuciones respectivos y se garantiza el derecho fundamental de acceso a la justicia.”</w:t>
      </w:r>
      <w:r w:rsidRPr="00454283">
        <w:rPr>
          <w:rStyle w:val="Refdenotaalpie"/>
          <w:rFonts w:ascii="Trebuchet MS" w:hAnsi="Trebuchet MS"/>
          <w:i/>
          <w:sz w:val="22"/>
          <w:szCs w:val="22"/>
          <w:shd w:val="clear" w:color="auto" w:fill="FFFFFF"/>
        </w:rPr>
        <w:footnoteReference w:id="4"/>
      </w:r>
    </w:p>
    <w:p w:rsidR="00E34D29" w:rsidRPr="00B06DD8" w:rsidRDefault="00E34D29" w:rsidP="00E34D29">
      <w:pPr>
        <w:pStyle w:val="Sinespaciado"/>
        <w:spacing w:line="276" w:lineRule="auto"/>
        <w:jc w:val="both"/>
        <w:rPr>
          <w:rFonts w:ascii="Trebuchet MS" w:eastAsiaTheme="minorEastAsia" w:hAnsi="Trebuchet MS"/>
          <w:sz w:val="16"/>
          <w:szCs w:val="16"/>
          <w:lang w:val="es-ES_tradnl" w:eastAsia="es-MX"/>
        </w:rPr>
      </w:pPr>
    </w:p>
    <w:p w:rsidR="00EA4B9E" w:rsidRDefault="00E34D29" w:rsidP="00E34D29">
      <w:pPr>
        <w:pStyle w:val="Sinespaciado"/>
        <w:spacing w:line="276" w:lineRule="auto"/>
        <w:jc w:val="both"/>
        <w:rPr>
          <w:rFonts w:ascii="Trebuchet MS" w:hAnsi="Trebuchet MS"/>
          <w:sz w:val="24"/>
          <w:szCs w:val="24"/>
        </w:rPr>
      </w:pPr>
      <w:r w:rsidRPr="00AE47A2">
        <w:rPr>
          <w:rFonts w:ascii="Trebuchet MS" w:eastAsiaTheme="minorEastAsia" w:hAnsi="Trebuchet MS"/>
          <w:sz w:val="24"/>
          <w:szCs w:val="24"/>
          <w:lang w:val="es-ES_tradnl" w:eastAsia="es-MX"/>
        </w:rPr>
        <w:t xml:space="preserve">En razón de lo anterior, </w:t>
      </w:r>
      <w:r w:rsidR="00EA4B9E">
        <w:rPr>
          <w:rFonts w:ascii="Trebuchet MS" w:eastAsiaTheme="minorEastAsia" w:hAnsi="Trebuchet MS"/>
          <w:sz w:val="24"/>
          <w:szCs w:val="24"/>
          <w:lang w:val="es-ES_tradnl" w:eastAsia="es-MX"/>
        </w:rPr>
        <w:t>al advertirse</w:t>
      </w:r>
      <w:r>
        <w:rPr>
          <w:rFonts w:ascii="Trebuchet MS" w:eastAsiaTheme="minorEastAsia" w:hAnsi="Trebuchet MS"/>
          <w:sz w:val="24"/>
          <w:szCs w:val="24"/>
          <w:lang w:val="es-ES_tradnl" w:eastAsia="es-MX"/>
        </w:rPr>
        <w:t xml:space="preserve"> del estudio de las constancias </w:t>
      </w:r>
      <w:r w:rsidR="00EA4B9E">
        <w:rPr>
          <w:rFonts w:ascii="Trebuchet MS" w:eastAsiaTheme="minorEastAsia" w:hAnsi="Trebuchet MS"/>
          <w:sz w:val="24"/>
          <w:szCs w:val="24"/>
          <w:lang w:val="es-ES_tradnl" w:eastAsia="es-MX"/>
        </w:rPr>
        <w:t xml:space="preserve">que integran el presente medio de inconformidad, </w:t>
      </w:r>
      <w:r>
        <w:rPr>
          <w:rFonts w:ascii="Trebuchet MS" w:eastAsiaTheme="minorEastAsia" w:hAnsi="Trebuchet MS"/>
          <w:sz w:val="24"/>
          <w:szCs w:val="24"/>
          <w:lang w:val="es-ES_tradnl" w:eastAsia="es-MX"/>
        </w:rPr>
        <w:t xml:space="preserve">la extemporaneidad en la presentación </w:t>
      </w:r>
      <w:r>
        <w:rPr>
          <w:rFonts w:ascii="Trebuchet MS" w:eastAsiaTheme="minorEastAsia" w:hAnsi="Trebuchet MS"/>
          <w:sz w:val="24"/>
          <w:szCs w:val="24"/>
          <w:lang w:val="es-ES_tradnl" w:eastAsia="es-MX"/>
        </w:rPr>
        <w:lastRenderedPageBreak/>
        <w:t xml:space="preserve">oportuna del mismo, </w:t>
      </w:r>
      <w:r w:rsidR="00EA4B9E">
        <w:rPr>
          <w:rFonts w:ascii="Trebuchet MS" w:eastAsia="Arial" w:hAnsi="Trebuchet MS" w:cs="Arial"/>
          <w:sz w:val="24"/>
          <w:szCs w:val="24"/>
        </w:rPr>
        <w:t xml:space="preserve">se actualiza la causal </w:t>
      </w:r>
      <w:r w:rsidR="001F729D">
        <w:rPr>
          <w:rFonts w:ascii="Trebuchet MS" w:eastAsia="Arial" w:hAnsi="Trebuchet MS" w:cs="Arial"/>
          <w:sz w:val="24"/>
          <w:szCs w:val="24"/>
        </w:rPr>
        <w:t xml:space="preserve">de improcedencia </w:t>
      </w:r>
      <w:r w:rsidR="00EA4B9E">
        <w:rPr>
          <w:rFonts w:ascii="Trebuchet MS" w:eastAsia="Arial" w:hAnsi="Trebuchet MS" w:cs="Arial"/>
          <w:sz w:val="24"/>
          <w:szCs w:val="24"/>
        </w:rPr>
        <w:t xml:space="preserve">prevista en el arábigo 509 párrafo 1 fracción IV del Código Electoral del Estado de Jalisco, </w:t>
      </w:r>
      <w:r w:rsidR="001F729D">
        <w:rPr>
          <w:rFonts w:ascii="Trebuchet MS" w:eastAsia="Arial" w:hAnsi="Trebuchet MS" w:cs="Arial"/>
          <w:sz w:val="24"/>
          <w:szCs w:val="24"/>
        </w:rPr>
        <w:t xml:space="preserve">en consecuencia, de conformidad con el arábigo 585 párrafo 1 fracción II del citado cuerpo normativo, se desecha de plano </w:t>
      </w:r>
      <w:r w:rsidR="00EA4B9E">
        <w:rPr>
          <w:rFonts w:ascii="Trebuchet MS" w:eastAsiaTheme="minorEastAsia" w:hAnsi="Trebuchet MS"/>
          <w:sz w:val="24"/>
          <w:szCs w:val="24"/>
          <w:lang w:val="es-ES_tradnl" w:eastAsia="es-MX"/>
        </w:rPr>
        <w:t xml:space="preserve">el recurso de revisión </w:t>
      </w:r>
      <w:r w:rsidR="00EA4B9E">
        <w:rPr>
          <w:rFonts w:ascii="Trebuchet MS" w:hAnsi="Trebuchet MS"/>
          <w:iCs/>
          <w:sz w:val="24"/>
          <w:szCs w:val="24"/>
        </w:rPr>
        <w:t xml:space="preserve">identificado con el número de expediente </w:t>
      </w:r>
      <w:r w:rsidR="001F729D">
        <w:rPr>
          <w:rFonts w:ascii="Trebuchet MS" w:hAnsi="Trebuchet MS"/>
          <w:b/>
          <w:iCs/>
          <w:sz w:val="24"/>
          <w:szCs w:val="24"/>
        </w:rPr>
        <w:t>REV-015</w:t>
      </w:r>
      <w:r w:rsidR="00EA4B9E" w:rsidRPr="00B971DE">
        <w:rPr>
          <w:rFonts w:ascii="Trebuchet MS" w:hAnsi="Trebuchet MS"/>
          <w:b/>
          <w:iCs/>
          <w:sz w:val="24"/>
          <w:szCs w:val="24"/>
        </w:rPr>
        <w:t>/202</w:t>
      </w:r>
      <w:r w:rsidR="00EA4B9E">
        <w:rPr>
          <w:rFonts w:ascii="Trebuchet MS" w:hAnsi="Trebuchet MS"/>
          <w:b/>
          <w:iCs/>
          <w:sz w:val="24"/>
          <w:szCs w:val="24"/>
        </w:rPr>
        <w:t>1</w:t>
      </w:r>
      <w:r w:rsidR="00EA4B9E" w:rsidRPr="00B971DE">
        <w:rPr>
          <w:rFonts w:ascii="Trebuchet MS" w:hAnsi="Trebuchet MS"/>
          <w:b/>
          <w:iCs/>
          <w:sz w:val="24"/>
          <w:szCs w:val="24"/>
        </w:rPr>
        <w:t xml:space="preserve"> </w:t>
      </w:r>
      <w:r w:rsidR="00EA4B9E">
        <w:rPr>
          <w:rFonts w:ascii="Trebuchet MS" w:hAnsi="Trebuchet MS"/>
          <w:iCs/>
          <w:sz w:val="24"/>
          <w:szCs w:val="24"/>
        </w:rPr>
        <w:t xml:space="preserve">presentado por el </w:t>
      </w:r>
      <w:r w:rsidR="00EA4B9E" w:rsidRPr="00AE47A2">
        <w:rPr>
          <w:rFonts w:ascii="Trebuchet MS" w:hAnsi="Trebuchet MS"/>
          <w:sz w:val="24"/>
          <w:szCs w:val="24"/>
        </w:rPr>
        <w:t>ciudadano</w:t>
      </w:r>
      <w:r w:rsidR="001F729D">
        <w:rPr>
          <w:rFonts w:ascii="Trebuchet MS" w:hAnsi="Trebuchet MS"/>
          <w:sz w:val="24"/>
          <w:szCs w:val="24"/>
        </w:rPr>
        <w:t xml:space="preserve"> Fidel Ibarra Contreras.</w:t>
      </w:r>
    </w:p>
    <w:p w:rsidR="00EA4B9E" w:rsidRPr="00B06DD8" w:rsidRDefault="00EA4B9E" w:rsidP="00E34D29">
      <w:pPr>
        <w:pStyle w:val="Sinespaciado"/>
        <w:spacing w:line="276" w:lineRule="auto"/>
        <w:jc w:val="both"/>
        <w:rPr>
          <w:rFonts w:ascii="Trebuchet MS" w:hAnsi="Trebuchet MS"/>
          <w:sz w:val="16"/>
          <w:szCs w:val="16"/>
        </w:rPr>
      </w:pPr>
    </w:p>
    <w:p w:rsidR="001F729D" w:rsidRPr="008C7AD9" w:rsidRDefault="001F729D" w:rsidP="001F729D">
      <w:pPr>
        <w:pStyle w:val="NormalWeb"/>
        <w:spacing w:before="0" w:beforeAutospacing="0" w:after="0" w:afterAutospacing="0" w:line="276" w:lineRule="auto"/>
        <w:jc w:val="both"/>
        <w:textAlignment w:val="baseline"/>
        <w:rPr>
          <w:rFonts w:ascii="Trebuchet MS" w:hAnsi="Trebuchet MS"/>
          <w:color w:val="000000"/>
          <w:lang w:val="es-ES"/>
        </w:rPr>
      </w:pPr>
      <w:r>
        <w:rPr>
          <w:rFonts w:ascii="Trebuchet MS" w:hAnsi="Trebuchet MS"/>
          <w:color w:val="000000"/>
          <w:lang w:val="es-ES"/>
        </w:rPr>
        <w:t xml:space="preserve">Por lo anteriormente expuesto y fundado este Consejo General, </w:t>
      </w:r>
    </w:p>
    <w:p w:rsidR="001F729D" w:rsidRPr="00B06DD8" w:rsidRDefault="001F729D" w:rsidP="001F729D">
      <w:pPr>
        <w:pStyle w:val="Sinespaciado"/>
        <w:spacing w:line="276" w:lineRule="auto"/>
        <w:jc w:val="both"/>
        <w:rPr>
          <w:rFonts w:ascii="Trebuchet MS" w:eastAsiaTheme="minorEastAsia" w:hAnsi="Trebuchet MS" w:cs="Arial"/>
          <w:sz w:val="16"/>
          <w:szCs w:val="16"/>
        </w:rPr>
      </w:pPr>
    </w:p>
    <w:p w:rsidR="001F729D" w:rsidRPr="00A07DE6" w:rsidRDefault="001F729D" w:rsidP="001F729D">
      <w:pPr>
        <w:ind w:right="-93"/>
        <w:jc w:val="center"/>
        <w:rPr>
          <w:rFonts w:ascii="Trebuchet MS" w:hAnsi="Trebuchet MS" w:cs="Arial"/>
          <w:b/>
          <w:sz w:val="24"/>
          <w:szCs w:val="24"/>
        </w:rPr>
      </w:pPr>
      <w:r w:rsidRPr="00A07DE6">
        <w:rPr>
          <w:rFonts w:ascii="Trebuchet MS" w:hAnsi="Trebuchet MS" w:cs="Arial"/>
          <w:b/>
          <w:sz w:val="24"/>
          <w:szCs w:val="24"/>
        </w:rPr>
        <w:t xml:space="preserve">R E </w:t>
      </w:r>
      <w:r>
        <w:rPr>
          <w:rFonts w:ascii="Trebuchet MS" w:hAnsi="Trebuchet MS" w:cs="Arial"/>
          <w:b/>
          <w:sz w:val="24"/>
          <w:szCs w:val="24"/>
        </w:rPr>
        <w:t>S U E L V E</w:t>
      </w:r>
      <w:r w:rsidRPr="00A07DE6">
        <w:rPr>
          <w:rFonts w:ascii="Trebuchet MS" w:hAnsi="Trebuchet MS" w:cs="Arial"/>
          <w:b/>
          <w:sz w:val="24"/>
          <w:szCs w:val="24"/>
        </w:rPr>
        <w:t>:</w:t>
      </w:r>
    </w:p>
    <w:p w:rsidR="00E34D29" w:rsidRPr="00AE47A2" w:rsidRDefault="00E34D29" w:rsidP="00E34D29">
      <w:pPr>
        <w:pStyle w:val="Sinespaciado"/>
        <w:spacing w:line="276" w:lineRule="auto"/>
        <w:jc w:val="both"/>
        <w:rPr>
          <w:rFonts w:ascii="Trebuchet MS" w:hAnsi="Trebuchet MS"/>
          <w:sz w:val="24"/>
          <w:szCs w:val="24"/>
        </w:rPr>
      </w:pPr>
    </w:p>
    <w:p w:rsidR="00E34D29" w:rsidRPr="00AE47A2" w:rsidRDefault="00E34D29" w:rsidP="00E34D29">
      <w:pPr>
        <w:pStyle w:val="Sinespaciado"/>
        <w:spacing w:line="276" w:lineRule="auto"/>
        <w:jc w:val="both"/>
        <w:rPr>
          <w:rFonts w:ascii="Trebuchet MS" w:hAnsi="Trebuchet MS"/>
          <w:iCs/>
          <w:sz w:val="24"/>
          <w:szCs w:val="24"/>
          <w:highlight w:val="yellow"/>
        </w:rPr>
      </w:pPr>
      <w:r w:rsidRPr="008A4CA6">
        <w:rPr>
          <w:rFonts w:ascii="Trebuchet MS" w:hAnsi="Trebuchet MS"/>
          <w:b/>
          <w:iCs/>
          <w:sz w:val="24"/>
          <w:szCs w:val="24"/>
        </w:rPr>
        <w:t>Primero.</w:t>
      </w:r>
      <w:r w:rsidRPr="00AE47A2">
        <w:rPr>
          <w:rFonts w:ascii="Trebuchet MS" w:hAnsi="Trebuchet MS"/>
          <w:iCs/>
          <w:sz w:val="24"/>
          <w:szCs w:val="24"/>
        </w:rPr>
        <w:t xml:space="preserve"> Se</w:t>
      </w:r>
      <w:r w:rsidR="001F729D">
        <w:rPr>
          <w:rFonts w:ascii="Trebuchet MS" w:hAnsi="Trebuchet MS"/>
          <w:iCs/>
          <w:sz w:val="24"/>
          <w:szCs w:val="24"/>
        </w:rPr>
        <w:t xml:space="preserve"> desecha de plano</w:t>
      </w:r>
      <w:r>
        <w:rPr>
          <w:rFonts w:ascii="Trebuchet MS" w:hAnsi="Trebuchet MS"/>
          <w:iCs/>
          <w:sz w:val="24"/>
          <w:szCs w:val="24"/>
        </w:rPr>
        <w:t xml:space="preserve"> el recurso </w:t>
      </w:r>
      <w:r w:rsidRPr="00AE47A2">
        <w:rPr>
          <w:rFonts w:ascii="Trebuchet MS" w:hAnsi="Trebuchet MS"/>
          <w:iCs/>
          <w:sz w:val="24"/>
          <w:szCs w:val="24"/>
        </w:rPr>
        <w:t xml:space="preserve">de revisión </w:t>
      </w:r>
      <w:r>
        <w:rPr>
          <w:rFonts w:ascii="Trebuchet MS" w:hAnsi="Trebuchet MS"/>
          <w:iCs/>
          <w:sz w:val="24"/>
          <w:szCs w:val="24"/>
        </w:rPr>
        <w:t xml:space="preserve">interpuesto </w:t>
      </w:r>
      <w:r w:rsidRPr="00AE47A2">
        <w:rPr>
          <w:rFonts w:ascii="Trebuchet MS" w:hAnsi="Trebuchet MS"/>
          <w:iCs/>
          <w:sz w:val="24"/>
          <w:szCs w:val="24"/>
        </w:rPr>
        <w:t xml:space="preserve">por </w:t>
      </w:r>
      <w:r w:rsidR="001F729D">
        <w:rPr>
          <w:rFonts w:ascii="Trebuchet MS" w:hAnsi="Trebuchet MS"/>
          <w:iCs/>
          <w:sz w:val="24"/>
          <w:szCs w:val="24"/>
        </w:rPr>
        <w:t>el</w:t>
      </w:r>
      <w:r w:rsidRPr="00AE47A2">
        <w:rPr>
          <w:rFonts w:ascii="Trebuchet MS" w:hAnsi="Trebuchet MS"/>
          <w:iCs/>
          <w:sz w:val="24"/>
          <w:szCs w:val="24"/>
        </w:rPr>
        <w:t xml:space="preserve"> </w:t>
      </w:r>
      <w:r w:rsidRPr="00AE47A2">
        <w:rPr>
          <w:rFonts w:ascii="Trebuchet MS" w:hAnsi="Trebuchet MS"/>
          <w:sz w:val="24"/>
          <w:szCs w:val="24"/>
        </w:rPr>
        <w:t>ciudadano</w:t>
      </w:r>
      <w:r w:rsidR="001F729D">
        <w:rPr>
          <w:rFonts w:ascii="Trebuchet MS" w:hAnsi="Trebuchet MS"/>
          <w:sz w:val="24"/>
          <w:szCs w:val="24"/>
        </w:rPr>
        <w:t xml:space="preserve"> Fidel Ibarra Contreras</w:t>
      </w:r>
      <w:r w:rsidRPr="00AE47A2">
        <w:rPr>
          <w:rFonts w:ascii="Trebuchet MS" w:hAnsi="Trebuchet MS"/>
          <w:sz w:val="24"/>
          <w:szCs w:val="24"/>
        </w:rPr>
        <w:t xml:space="preserve">, por los motivos y fundamentos expuestos en el considerando </w:t>
      </w:r>
      <w:r>
        <w:rPr>
          <w:rFonts w:ascii="Trebuchet MS" w:hAnsi="Trebuchet MS"/>
          <w:sz w:val="24"/>
          <w:szCs w:val="24"/>
        </w:rPr>
        <w:t>I</w:t>
      </w:r>
      <w:r w:rsidRPr="00AE47A2">
        <w:rPr>
          <w:rFonts w:ascii="Trebuchet MS" w:hAnsi="Trebuchet MS"/>
          <w:sz w:val="24"/>
          <w:szCs w:val="24"/>
        </w:rPr>
        <w:t>I de la presente resolución</w:t>
      </w:r>
      <w:r w:rsidRPr="00AE47A2">
        <w:rPr>
          <w:rFonts w:ascii="Trebuchet MS" w:hAnsi="Trebuchet MS"/>
          <w:iCs/>
          <w:sz w:val="24"/>
          <w:szCs w:val="24"/>
        </w:rPr>
        <w:t>.</w:t>
      </w:r>
    </w:p>
    <w:p w:rsidR="00E34D29" w:rsidRPr="00AE47A2" w:rsidRDefault="00E34D29" w:rsidP="00E34D29">
      <w:pPr>
        <w:pStyle w:val="Sinespaciado"/>
        <w:spacing w:line="276" w:lineRule="auto"/>
        <w:jc w:val="both"/>
        <w:rPr>
          <w:rFonts w:ascii="Trebuchet MS" w:hAnsi="Trebuchet MS"/>
          <w:iCs/>
          <w:sz w:val="24"/>
          <w:szCs w:val="24"/>
        </w:rPr>
      </w:pPr>
    </w:p>
    <w:p w:rsidR="00E34D29" w:rsidRPr="00AE47A2" w:rsidRDefault="00E34D29" w:rsidP="00E34D29">
      <w:pPr>
        <w:pStyle w:val="Sinespaciado"/>
        <w:spacing w:line="276" w:lineRule="auto"/>
        <w:jc w:val="both"/>
        <w:rPr>
          <w:rFonts w:ascii="Trebuchet MS" w:hAnsi="Trebuchet MS"/>
          <w:sz w:val="24"/>
          <w:szCs w:val="24"/>
          <w:lang w:val="es-ES_tradnl"/>
        </w:rPr>
      </w:pPr>
      <w:r w:rsidRPr="0035490C">
        <w:rPr>
          <w:rFonts w:ascii="Trebuchet MS" w:hAnsi="Trebuchet MS"/>
          <w:b/>
          <w:iCs/>
          <w:sz w:val="24"/>
          <w:szCs w:val="24"/>
        </w:rPr>
        <w:t>Segundo.</w:t>
      </w:r>
      <w:r w:rsidRPr="00AE47A2">
        <w:rPr>
          <w:rFonts w:ascii="Trebuchet MS" w:hAnsi="Trebuchet MS"/>
          <w:iCs/>
          <w:sz w:val="24"/>
          <w:szCs w:val="24"/>
        </w:rPr>
        <w:t xml:space="preserve"> </w:t>
      </w:r>
      <w:r w:rsidRPr="00AE47A2">
        <w:rPr>
          <w:rFonts w:ascii="Trebuchet MS" w:hAnsi="Trebuchet MS"/>
          <w:sz w:val="24"/>
          <w:szCs w:val="24"/>
          <w:lang w:val="es-ES_tradnl"/>
        </w:rPr>
        <w:t>Notifíquese personalmente a</w:t>
      </w:r>
      <w:r w:rsidR="001F729D">
        <w:rPr>
          <w:rFonts w:ascii="Trebuchet MS" w:hAnsi="Trebuchet MS"/>
          <w:sz w:val="24"/>
          <w:szCs w:val="24"/>
          <w:lang w:val="es-ES_tradnl"/>
        </w:rPr>
        <w:t>l promovente</w:t>
      </w:r>
      <w:r w:rsidRPr="00AE47A2">
        <w:rPr>
          <w:rFonts w:ascii="Trebuchet MS" w:hAnsi="Trebuchet MS"/>
          <w:sz w:val="24"/>
          <w:szCs w:val="24"/>
          <w:lang w:val="es-ES_tradnl"/>
        </w:rPr>
        <w:t xml:space="preserve">. </w:t>
      </w:r>
    </w:p>
    <w:p w:rsidR="00E34D29" w:rsidRPr="00AE47A2" w:rsidRDefault="00E34D29" w:rsidP="00E34D29">
      <w:pPr>
        <w:pStyle w:val="Sinespaciado"/>
        <w:spacing w:line="276" w:lineRule="auto"/>
        <w:jc w:val="both"/>
        <w:rPr>
          <w:rFonts w:ascii="Trebuchet MS" w:hAnsi="Trebuchet MS"/>
          <w:sz w:val="24"/>
          <w:szCs w:val="24"/>
        </w:rPr>
      </w:pPr>
    </w:p>
    <w:p w:rsidR="00E34D29" w:rsidRPr="00AE47A2" w:rsidRDefault="00E34D29" w:rsidP="00E34D29">
      <w:pPr>
        <w:pStyle w:val="Sinespaciado"/>
        <w:spacing w:line="276" w:lineRule="auto"/>
        <w:jc w:val="both"/>
        <w:rPr>
          <w:rFonts w:ascii="Trebuchet MS" w:hAnsi="Trebuchet MS"/>
          <w:sz w:val="24"/>
          <w:szCs w:val="24"/>
          <w:lang w:val="es-ES_tradnl"/>
        </w:rPr>
      </w:pPr>
      <w:r w:rsidRPr="0035490C">
        <w:rPr>
          <w:rFonts w:ascii="Trebuchet MS" w:hAnsi="Trebuchet MS"/>
          <w:b/>
          <w:sz w:val="24"/>
          <w:szCs w:val="24"/>
          <w:lang w:val="es-ES_tradnl"/>
        </w:rPr>
        <w:t>Tercero.</w:t>
      </w:r>
      <w:r w:rsidRPr="00AE47A2">
        <w:rPr>
          <w:rFonts w:ascii="Trebuchet MS" w:hAnsi="Trebuchet MS"/>
          <w:sz w:val="24"/>
          <w:szCs w:val="24"/>
          <w:lang w:val="es-ES_tradnl"/>
        </w:rPr>
        <w:t xml:space="preserve"> Publíquese la presente resolución en el portal oficial de internet de este organismo.</w:t>
      </w:r>
    </w:p>
    <w:p w:rsidR="00E34D29" w:rsidRPr="00AE47A2" w:rsidRDefault="00E34D29" w:rsidP="00E34D29">
      <w:pPr>
        <w:pStyle w:val="Sinespaciado"/>
        <w:spacing w:line="276" w:lineRule="auto"/>
        <w:jc w:val="both"/>
        <w:rPr>
          <w:rFonts w:ascii="Trebuchet MS" w:hAnsi="Trebuchet MS"/>
          <w:sz w:val="24"/>
          <w:szCs w:val="24"/>
          <w:lang w:val="es-ES_tradnl"/>
        </w:rPr>
      </w:pPr>
      <w:r w:rsidRPr="00AE47A2">
        <w:rPr>
          <w:rFonts w:ascii="Trebuchet MS" w:hAnsi="Trebuchet MS"/>
          <w:sz w:val="24"/>
          <w:szCs w:val="24"/>
          <w:lang w:val="es-ES_tradnl"/>
        </w:rPr>
        <w:t xml:space="preserve">   </w:t>
      </w:r>
    </w:p>
    <w:p w:rsidR="00E34D29" w:rsidRPr="00AE47A2" w:rsidRDefault="00E34D29" w:rsidP="00E34D29">
      <w:pPr>
        <w:pStyle w:val="Sinespaciado"/>
        <w:spacing w:line="276" w:lineRule="auto"/>
        <w:jc w:val="both"/>
        <w:rPr>
          <w:rFonts w:ascii="Trebuchet MS" w:hAnsi="Trebuchet MS"/>
          <w:sz w:val="24"/>
          <w:szCs w:val="24"/>
          <w:lang w:val="es-ES_tradnl"/>
        </w:rPr>
      </w:pPr>
      <w:r w:rsidRPr="0035490C">
        <w:rPr>
          <w:rFonts w:ascii="Trebuchet MS" w:hAnsi="Trebuchet MS"/>
          <w:b/>
          <w:sz w:val="24"/>
          <w:szCs w:val="24"/>
          <w:lang w:val="es-ES_tradnl"/>
        </w:rPr>
        <w:t>Cuarto.</w:t>
      </w:r>
      <w:r w:rsidRPr="00AE47A2">
        <w:rPr>
          <w:rFonts w:ascii="Trebuchet MS" w:hAnsi="Trebuchet MS"/>
          <w:sz w:val="24"/>
          <w:szCs w:val="24"/>
          <w:lang w:val="es-ES_tradnl"/>
        </w:rPr>
        <w:t xml:space="preserve"> En su oportunidad, archívese el presente expediente como asunto concluido.</w:t>
      </w:r>
    </w:p>
    <w:p w:rsidR="00E34D29" w:rsidRPr="00AE47A2" w:rsidRDefault="00E34D29" w:rsidP="00E34D29">
      <w:pPr>
        <w:pStyle w:val="Sinespaciado"/>
        <w:spacing w:line="276" w:lineRule="auto"/>
        <w:jc w:val="both"/>
        <w:rPr>
          <w:rFonts w:ascii="Trebuchet MS" w:hAnsi="Trebuchet MS"/>
          <w:sz w:val="24"/>
          <w:szCs w:val="24"/>
          <w:lang w:val="es-ES_tradnl"/>
        </w:rPr>
      </w:pPr>
    </w:p>
    <w:p w:rsidR="00E34D29" w:rsidRDefault="00B06DD8" w:rsidP="00B06DD8">
      <w:pPr>
        <w:pStyle w:val="Sinespaciado"/>
        <w:tabs>
          <w:tab w:val="center" w:pos="4419"/>
          <w:tab w:val="left" w:pos="7380"/>
        </w:tabs>
        <w:spacing w:line="276" w:lineRule="auto"/>
        <w:rPr>
          <w:rFonts w:ascii="Trebuchet MS" w:eastAsiaTheme="minorEastAsia" w:hAnsi="Trebuchet MS"/>
          <w:kern w:val="18"/>
          <w:sz w:val="24"/>
          <w:szCs w:val="24"/>
          <w:lang w:eastAsia="es-MX"/>
        </w:rPr>
      </w:pPr>
      <w:r>
        <w:rPr>
          <w:rFonts w:ascii="Trebuchet MS" w:eastAsiaTheme="minorEastAsia" w:hAnsi="Trebuchet MS"/>
          <w:kern w:val="18"/>
          <w:sz w:val="24"/>
          <w:szCs w:val="24"/>
          <w:lang w:eastAsia="es-MX"/>
        </w:rPr>
        <w:tab/>
      </w:r>
      <w:r w:rsidR="00E34D29" w:rsidRPr="00AE47A2">
        <w:rPr>
          <w:rFonts w:ascii="Trebuchet MS" w:eastAsiaTheme="minorEastAsia" w:hAnsi="Trebuchet MS"/>
          <w:kern w:val="18"/>
          <w:sz w:val="24"/>
          <w:szCs w:val="24"/>
          <w:lang w:eastAsia="es-MX"/>
        </w:rPr>
        <w:t xml:space="preserve">Guadalajara, Jalisco, </w:t>
      </w:r>
      <w:r w:rsidR="00970FA8">
        <w:rPr>
          <w:rFonts w:ascii="Trebuchet MS" w:eastAsiaTheme="minorEastAsia" w:hAnsi="Trebuchet MS"/>
          <w:kern w:val="18"/>
          <w:sz w:val="24"/>
          <w:szCs w:val="24"/>
          <w:lang w:eastAsia="es-MX"/>
        </w:rPr>
        <w:t xml:space="preserve"> 25</w:t>
      </w:r>
      <w:r w:rsidR="00E34D29" w:rsidRPr="00AE47A2">
        <w:rPr>
          <w:rFonts w:ascii="Trebuchet MS" w:eastAsiaTheme="minorEastAsia" w:hAnsi="Trebuchet MS"/>
          <w:kern w:val="18"/>
          <w:sz w:val="24"/>
          <w:szCs w:val="24"/>
          <w:lang w:eastAsia="es-MX"/>
        </w:rPr>
        <w:t xml:space="preserve"> de </w:t>
      </w:r>
      <w:r w:rsidR="00970FA8">
        <w:rPr>
          <w:rFonts w:ascii="Trebuchet MS" w:eastAsiaTheme="minorEastAsia" w:hAnsi="Trebuchet MS"/>
          <w:kern w:val="18"/>
          <w:sz w:val="24"/>
          <w:szCs w:val="24"/>
          <w:lang w:eastAsia="es-MX"/>
        </w:rPr>
        <w:t>mayo</w:t>
      </w:r>
      <w:r w:rsidR="00E34D29" w:rsidRPr="00AE47A2">
        <w:rPr>
          <w:rFonts w:ascii="Trebuchet MS" w:eastAsiaTheme="minorEastAsia" w:hAnsi="Trebuchet MS"/>
          <w:kern w:val="18"/>
          <w:sz w:val="24"/>
          <w:szCs w:val="24"/>
          <w:lang w:eastAsia="es-MX"/>
        </w:rPr>
        <w:t xml:space="preserve"> de 20</w:t>
      </w:r>
      <w:r w:rsidR="001F729D">
        <w:rPr>
          <w:rFonts w:ascii="Trebuchet MS" w:eastAsiaTheme="minorEastAsia" w:hAnsi="Trebuchet MS"/>
          <w:kern w:val="18"/>
          <w:sz w:val="24"/>
          <w:szCs w:val="24"/>
          <w:lang w:eastAsia="es-MX"/>
        </w:rPr>
        <w:t>21</w:t>
      </w:r>
      <w:r w:rsidR="00E34D29" w:rsidRPr="00AE47A2">
        <w:rPr>
          <w:rFonts w:ascii="Trebuchet MS" w:eastAsiaTheme="minorEastAsia" w:hAnsi="Trebuchet MS"/>
          <w:kern w:val="18"/>
          <w:sz w:val="24"/>
          <w:szCs w:val="24"/>
          <w:lang w:eastAsia="es-MX"/>
        </w:rPr>
        <w:t>.</w:t>
      </w:r>
      <w:r>
        <w:rPr>
          <w:rFonts w:ascii="Trebuchet MS" w:eastAsiaTheme="minorEastAsia" w:hAnsi="Trebuchet MS"/>
          <w:kern w:val="18"/>
          <w:sz w:val="24"/>
          <w:szCs w:val="24"/>
          <w:lang w:eastAsia="es-MX"/>
        </w:rPr>
        <w:tab/>
      </w:r>
    </w:p>
    <w:p w:rsidR="00B06DD8" w:rsidRPr="00B06DD8" w:rsidRDefault="00B06DD8" w:rsidP="00B06DD8">
      <w:pPr>
        <w:pStyle w:val="Sinespaciado"/>
        <w:tabs>
          <w:tab w:val="center" w:pos="4419"/>
          <w:tab w:val="left" w:pos="7380"/>
        </w:tabs>
        <w:spacing w:line="276" w:lineRule="auto"/>
        <w:rPr>
          <w:rFonts w:ascii="Trebuchet MS" w:eastAsiaTheme="minorEastAsia" w:hAnsi="Trebuchet MS"/>
          <w:kern w:val="18"/>
          <w:sz w:val="16"/>
          <w:szCs w:val="16"/>
          <w:lang w:eastAsia="es-MX"/>
        </w:rPr>
      </w:pPr>
    </w:p>
    <w:p w:rsidR="00B06DD8" w:rsidRPr="00B06DD8" w:rsidRDefault="00B06DD8" w:rsidP="00B06DD8">
      <w:pPr>
        <w:pStyle w:val="Sinespaciado"/>
        <w:tabs>
          <w:tab w:val="center" w:pos="4419"/>
          <w:tab w:val="left" w:pos="7380"/>
        </w:tabs>
        <w:spacing w:line="276" w:lineRule="auto"/>
        <w:rPr>
          <w:rFonts w:ascii="Trebuchet MS" w:eastAsiaTheme="minorEastAsia" w:hAnsi="Trebuchet MS"/>
          <w:kern w:val="18"/>
          <w:sz w:val="16"/>
          <w:szCs w:val="16"/>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B06DD8" w:rsidRPr="00B86481" w:rsidTr="00A851B1">
        <w:tc>
          <w:tcPr>
            <w:tcW w:w="5677" w:type="dxa"/>
            <w:shd w:val="clear" w:color="auto" w:fill="auto"/>
          </w:tcPr>
          <w:p w:rsidR="00B06DD8" w:rsidRPr="00B06DD8" w:rsidRDefault="00B06DD8" w:rsidP="00A851B1">
            <w:pPr>
              <w:jc w:val="center"/>
              <w:rPr>
                <w:rFonts w:ascii="Trebuchet MS" w:eastAsia="Trebuchet MS" w:hAnsi="Trebuchet MS" w:cs="Trebuchet MS"/>
                <w:sz w:val="16"/>
                <w:szCs w:val="16"/>
              </w:rPr>
            </w:pPr>
          </w:p>
          <w:p w:rsidR="00B06DD8" w:rsidRPr="00B06DD8" w:rsidRDefault="00B06DD8" w:rsidP="00A851B1">
            <w:pPr>
              <w:jc w:val="center"/>
              <w:rPr>
                <w:rFonts w:ascii="Trebuchet MS" w:eastAsia="Trebuchet MS" w:hAnsi="Trebuchet MS" w:cs="Trebuchet MS"/>
                <w:sz w:val="23"/>
                <w:szCs w:val="23"/>
              </w:rPr>
            </w:pPr>
            <w:r w:rsidRPr="00B06DD8">
              <w:rPr>
                <w:rFonts w:ascii="Trebuchet MS" w:eastAsia="Trebuchet MS" w:hAnsi="Trebuchet MS" w:cs="Trebuchet MS"/>
                <w:sz w:val="23"/>
                <w:szCs w:val="23"/>
              </w:rPr>
              <w:t>Guillermo Amado Alcaraz Cross</w:t>
            </w:r>
          </w:p>
          <w:p w:rsidR="00B06DD8" w:rsidRPr="00B06DD8" w:rsidRDefault="00B06DD8" w:rsidP="00A851B1">
            <w:pPr>
              <w:jc w:val="center"/>
              <w:rPr>
                <w:rFonts w:ascii="Trebuchet MS" w:eastAsia="Trebuchet MS" w:hAnsi="Trebuchet MS" w:cs="Trebuchet MS"/>
                <w:sz w:val="23"/>
                <w:szCs w:val="23"/>
              </w:rPr>
            </w:pPr>
            <w:bookmarkStart w:id="0" w:name="_GoBack"/>
            <w:bookmarkEnd w:id="0"/>
            <w:r w:rsidRPr="00B06DD8">
              <w:rPr>
                <w:rFonts w:ascii="Trebuchet MS" w:eastAsia="Trebuchet MS" w:hAnsi="Trebuchet MS" w:cs="Trebuchet MS"/>
                <w:sz w:val="23"/>
                <w:szCs w:val="23"/>
              </w:rPr>
              <w:t>Consejero Presidente</w:t>
            </w:r>
          </w:p>
        </w:tc>
        <w:tc>
          <w:tcPr>
            <w:tcW w:w="4530" w:type="dxa"/>
            <w:shd w:val="clear" w:color="auto" w:fill="auto"/>
          </w:tcPr>
          <w:p w:rsidR="00B06DD8" w:rsidRPr="00B06DD8" w:rsidRDefault="00B06DD8" w:rsidP="00A851B1">
            <w:pPr>
              <w:pBdr>
                <w:top w:val="nil"/>
                <w:left w:val="nil"/>
                <w:bottom w:val="nil"/>
                <w:right w:val="nil"/>
                <w:between w:val="nil"/>
              </w:pBdr>
              <w:rPr>
                <w:rFonts w:ascii="Trebuchet MS" w:hAnsi="Trebuchet MS"/>
                <w:color w:val="000000"/>
                <w:sz w:val="23"/>
                <w:szCs w:val="23"/>
              </w:rPr>
            </w:pPr>
          </w:p>
          <w:p w:rsidR="00B06DD8" w:rsidRPr="00B06DD8" w:rsidRDefault="00B06DD8" w:rsidP="00A851B1">
            <w:pPr>
              <w:pBdr>
                <w:top w:val="nil"/>
                <w:left w:val="nil"/>
                <w:bottom w:val="nil"/>
                <w:right w:val="nil"/>
                <w:between w:val="nil"/>
              </w:pBdr>
              <w:rPr>
                <w:rFonts w:ascii="Trebuchet MS" w:hAnsi="Trebuchet MS"/>
                <w:color w:val="000000"/>
                <w:sz w:val="23"/>
                <w:szCs w:val="23"/>
              </w:rPr>
            </w:pPr>
            <w:r w:rsidRPr="00B06DD8">
              <w:rPr>
                <w:rFonts w:ascii="Trebuchet MS" w:eastAsia="Trebuchet MS" w:hAnsi="Trebuchet MS" w:cs="Trebuchet MS"/>
                <w:color w:val="000000"/>
                <w:sz w:val="23"/>
                <w:szCs w:val="23"/>
              </w:rPr>
              <w:t>Manuel Alejandro Murillo Gutiérrez</w:t>
            </w:r>
          </w:p>
          <w:p w:rsidR="00B06DD8" w:rsidRPr="00B06DD8" w:rsidRDefault="00B06DD8" w:rsidP="00B06DD8">
            <w:pPr>
              <w:pBdr>
                <w:top w:val="nil"/>
                <w:left w:val="nil"/>
                <w:bottom w:val="nil"/>
                <w:right w:val="nil"/>
                <w:between w:val="nil"/>
              </w:pBdr>
              <w:jc w:val="center"/>
              <w:rPr>
                <w:rFonts w:ascii="Trebuchet MS" w:hAnsi="Trebuchet MS"/>
                <w:color w:val="000000"/>
                <w:sz w:val="23"/>
                <w:szCs w:val="23"/>
              </w:rPr>
            </w:pPr>
            <w:r w:rsidRPr="00B06DD8">
              <w:rPr>
                <w:rFonts w:ascii="Trebuchet MS" w:eastAsia="Trebuchet MS" w:hAnsi="Trebuchet MS" w:cs="Trebuchet MS"/>
                <w:color w:val="000000"/>
                <w:sz w:val="23"/>
                <w:szCs w:val="23"/>
              </w:rPr>
              <w:t>Secretario Ejecutivo</w:t>
            </w:r>
          </w:p>
          <w:p w:rsidR="00B06DD8" w:rsidRPr="00B06DD8" w:rsidRDefault="00B06DD8" w:rsidP="00A851B1">
            <w:pPr>
              <w:jc w:val="center"/>
              <w:rPr>
                <w:rFonts w:ascii="Trebuchet MS" w:eastAsia="Trebuchet MS" w:hAnsi="Trebuchet MS" w:cs="Trebuchet MS"/>
                <w:sz w:val="23"/>
                <w:szCs w:val="23"/>
              </w:rPr>
            </w:pPr>
          </w:p>
        </w:tc>
      </w:tr>
    </w:tbl>
    <w:p w:rsidR="00B06DD8" w:rsidRPr="00B06DD8" w:rsidRDefault="00B06DD8" w:rsidP="00B06DD8">
      <w:pPr>
        <w:pStyle w:val="Sinespaciado"/>
        <w:tabs>
          <w:tab w:val="center" w:pos="4419"/>
          <w:tab w:val="left" w:pos="7380"/>
        </w:tabs>
        <w:spacing w:line="276" w:lineRule="auto"/>
        <w:rPr>
          <w:rFonts w:ascii="Trebuchet MS" w:eastAsiaTheme="minorEastAsia" w:hAnsi="Trebuchet MS"/>
          <w:kern w:val="18"/>
          <w:sz w:val="16"/>
          <w:szCs w:val="16"/>
          <w:lang w:eastAsia="es-MX"/>
        </w:rPr>
      </w:pPr>
    </w:p>
    <w:p w:rsidR="00E32119" w:rsidRPr="000255A6" w:rsidRDefault="00E32119" w:rsidP="00E32119">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w:t>
      </w:r>
      <w:r>
        <w:rPr>
          <w:rFonts w:ascii="Trebuchet MS" w:hAnsi="Trebuchet MS"/>
          <w:sz w:val="18"/>
          <w:szCs w:val="18"/>
        </w:rPr>
        <w:t xml:space="preserve">la presente resolución, </w:t>
      </w:r>
      <w:r w:rsidRPr="000255A6">
        <w:rPr>
          <w:rFonts w:ascii="Trebuchet MS" w:hAnsi="Trebuchet MS"/>
          <w:sz w:val="18"/>
          <w:szCs w:val="18"/>
        </w:rPr>
        <w:t>fue aprobad</w:t>
      </w:r>
      <w:r>
        <w:rPr>
          <w:rFonts w:ascii="Trebuchet MS" w:hAnsi="Trebuchet MS"/>
          <w:sz w:val="18"/>
          <w:szCs w:val="18"/>
        </w:rPr>
        <w:t>a</w:t>
      </w:r>
      <w:r w:rsidRPr="000255A6">
        <w:rPr>
          <w:rFonts w:ascii="Trebuchet MS" w:hAnsi="Trebuchet MS"/>
          <w:sz w:val="18"/>
          <w:szCs w:val="18"/>
        </w:rPr>
        <w:t xml:space="preserve"> en sesión ordinaria del Consejo General celebrada el </w:t>
      </w:r>
      <w:r>
        <w:rPr>
          <w:rFonts w:ascii="Trebuchet MS" w:hAnsi="Trebuchet MS"/>
          <w:sz w:val="18"/>
          <w:szCs w:val="18"/>
        </w:rPr>
        <w:t>veinticinco</w:t>
      </w:r>
      <w:r>
        <w:rPr>
          <w:rFonts w:ascii="Trebuchet MS" w:hAnsi="Trebuchet MS"/>
          <w:sz w:val="18"/>
          <w:szCs w:val="18"/>
        </w:rPr>
        <w:t xml:space="preserv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E32119" w:rsidRPr="000255A6" w:rsidRDefault="00E32119" w:rsidP="00E32119">
      <w:pPr>
        <w:jc w:val="both"/>
        <w:rPr>
          <w:rFonts w:ascii="Trebuchet MS" w:hAnsi="Trebuchet MS"/>
          <w:sz w:val="18"/>
          <w:szCs w:val="18"/>
        </w:rPr>
      </w:pPr>
    </w:p>
    <w:p w:rsidR="00E32119" w:rsidRPr="000255A6" w:rsidRDefault="00E32119" w:rsidP="00E32119">
      <w:pPr>
        <w:jc w:val="both"/>
        <w:rPr>
          <w:rFonts w:ascii="Trebuchet MS" w:hAnsi="Trebuchet MS"/>
          <w:sz w:val="18"/>
          <w:szCs w:val="18"/>
        </w:rPr>
      </w:pPr>
    </w:p>
    <w:p w:rsidR="00E32119" w:rsidRPr="000255A6" w:rsidRDefault="00E32119" w:rsidP="00E32119">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E32119" w:rsidRPr="00B86481" w:rsidRDefault="00E32119" w:rsidP="00E32119">
      <w:pPr>
        <w:jc w:val="center"/>
        <w:rPr>
          <w:rFonts w:ascii="Trebuchet MS" w:eastAsia="Trebuchet MS" w:hAnsi="Trebuchet MS" w:cs="Trebuchet MS"/>
          <w:sz w:val="23"/>
          <w:szCs w:val="23"/>
        </w:rPr>
      </w:pPr>
      <w:r w:rsidRPr="000255A6">
        <w:rPr>
          <w:rFonts w:ascii="Trebuchet MS" w:hAnsi="Trebuchet MS" w:cs="Arial"/>
          <w:sz w:val="18"/>
          <w:szCs w:val="18"/>
        </w:rPr>
        <w:t>Secretario ejecutivo</w:t>
      </w:r>
    </w:p>
    <w:p w:rsidR="00970FA8" w:rsidRPr="00491157" w:rsidRDefault="00970FA8" w:rsidP="00970FA8">
      <w:pPr>
        <w:pStyle w:val="Sinespaciado"/>
        <w:spacing w:line="276" w:lineRule="auto"/>
        <w:jc w:val="both"/>
        <w:rPr>
          <w:rFonts w:ascii="Trebuchet MS" w:hAnsi="Trebuchet MS"/>
          <w:b/>
          <w:sz w:val="24"/>
          <w:szCs w:val="24"/>
        </w:rPr>
      </w:pPr>
    </w:p>
    <w:sectPr w:rsidR="00970FA8" w:rsidRPr="0049115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D5" w:rsidRDefault="001C1CD5" w:rsidP="00F6121D">
      <w:r>
        <w:separator/>
      </w:r>
    </w:p>
  </w:endnote>
  <w:endnote w:type="continuationSeparator" w:id="0">
    <w:p w:rsidR="001C1CD5" w:rsidRDefault="001C1CD5" w:rsidP="00F6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22" w:rsidRDefault="001F729D" w:rsidP="00A636A9">
    <w:pPr>
      <w:pStyle w:val="Piedepgina"/>
      <w:jc w:val="center"/>
      <w:rPr>
        <w:color w:val="A6A6A6" w:themeColor="background1" w:themeShade="A6"/>
      </w:rPr>
    </w:pPr>
    <w:r>
      <w:rPr>
        <w:color w:val="A6A6A6" w:themeColor="background1" w:themeShade="A6"/>
      </w:rPr>
      <w:t>Parque de las Estrellas 2764</w:t>
    </w:r>
    <w:r w:rsidRPr="00085BF0">
      <w:rPr>
        <w:color w:val="A6A6A6" w:themeColor="background1" w:themeShade="A6"/>
      </w:rPr>
      <w:t xml:space="preserve">, Col. </w:t>
    </w:r>
    <w:r>
      <w:rPr>
        <w:color w:val="A6A6A6" w:themeColor="background1" w:themeShade="A6"/>
      </w:rPr>
      <w:t>Jardines del Bosque Centro</w:t>
    </w:r>
    <w:r w:rsidRPr="00085BF0">
      <w:rPr>
        <w:color w:val="A6A6A6" w:themeColor="background1" w:themeShade="A6"/>
      </w:rPr>
      <w:t>, C.P.</w:t>
    </w:r>
    <w:r>
      <w:rPr>
        <w:color w:val="A6A6A6" w:themeColor="background1" w:themeShade="A6"/>
      </w:rPr>
      <w:t xml:space="preserve"> </w:t>
    </w:r>
    <w:r w:rsidRPr="00085BF0">
      <w:rPr>
        <w:color w:val="A6A6A6" w:themeColor="background1" w:themeShade="A6"/>
      </w:rPr>
      <w:t>44</w:t>
    </w:r>
    <w:r>
      <w:rPr>
        <w:color w:val="A6A6A6" w:themeColor="background1" w:themeShade="A6"/>
      </w:rPr>
      <w:t>520</w:t>
    </w:r>
    <w:r w:rsidRPr="00085BF0">
      <w:rPr>
        <w:color w:val="A6A6A6" w:themeColor="background1" w:themeShade="A6"/>
      </w:rPr>
      <w:t xml:space="preserve">, </w:t>
    </w:r>
  </w:p>
  <w:p w:rsidR="00A636A9" w:rsidRDefault="001F729D" w:rsidP="00A636A9">
    <w:pPr>
      <w:pStyle w:val="Piedepgina"/>
      <w:jc w:val="center"/>
    </w:pPr>
    <w:r w:rsidRPr="00085BF0">
      <w:rPr>
        <w:color w:val="A6A6A6" w:themeColor="background1" w:themeShade="A6"/>
      </w:rPr>
      <w:t>Guadalajara, Jalisco, México</w:t>
    </w:r>
  </w:p>
  <w:p w:rsidR="00A636A9" w:rsidRPr="00085BF0" w:rsidRDefault="001F729D" w:rsidP="00A636A9">
    <w:pPr>
      <w:pStyle w:val="Piedepgina"/>
      <w:jc w:val="center"/>
      <w:rPr>
        <w:color w:val="7030A0"/>
      </w:rPr>
    </w:pPr>
    <w:r w:rsidRPr="00085BF0">
      <w:rPr>
        <w:color w:val="7030A0"/>
      </w:rPr>
      <w:t>_______________________________________________________________________</w:t>
    </w:r>
  </w:p>
  <w:p w:rsidR="00A636A9" w:rsidRPr="00085BF0" w:rsidRDefault="001F729D" w:rsidP="00A636A9">
    <w:pPr>
      <w:pStyle w:val="Piedepgina"/>
      <w:jc w:val="center"/>
      <w:rPr>
        <w:color w:val="7030A0"/>
      </w:rPr>
    </w:pPr>
    <w:r w:rsidRPr="00085BF0">
      <w:rPr>
        <w:color w:val="7030A0"/>
      </w:rPr>
      <w:t>www.iepcjalisco.org.mx</w:t>
    </w:r>
  </w:p>
  <w:p w:rsidR="00A636A9" w:rsidRDefault="001C1C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D5" w:rsidRDefault="001C1CD5" w:rsidP="00F6121D">
      <w:r>
        <w:separator/>
      </w:r>
    </w:p>
  </w:footnote>
  <w:footnote w:type="continuationSeparator" w:id="0">
    <w:p w:rsidR="001C1CD5" w:rsidRDefault="001C1CD5" w:rsidP="00F6121D">
      <w:r>
        <w:continuationSeparator/>
      </w:r>
    </w:p>
  </w:footnote>
  <w:footnote w:id="1">
    <w:p w:rsidR="00F6121D" w:rsidRPr="0092476E" w:rsidRDefault="00F6121D" w:rsidP="00F6121D">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w:t>
      </w:r>
      <w:r w:rsidRPr="0092476E">
        <w:rPr>
          <w:rFonts w:ascii="Trebuchet MS" w:hAnsi="Trebuchet MS" w:cs="Arial"/>
          <w:sz w:val="16"/>
        </w:rPr>
        <w:t>Los hechos que se narran co</w:t>
      </w:r>
      <w:r>
        <w:rPr>
          <w:rFonts w:ascii="Trebuchet MS" w:hAnsi="Trebuchet MS" w:cs="Arial"/>
          <w:sz w:val="16"/>
        </w:rPr>
        <w:t>rresponden al año dos mil veintiuno</w:t>
      </w:r>
      <w:r w:rsidRPr="0092476E">
        <w:rPr>
          <w:rFonts w:ascii="Trebuchet MS" w:hAnsi="Trebuchet MS" w:cs="Arial"/>
          <w:sz w:val="16"/>
        </w:rPr>
        <w:t>, con excepción de que se precise lo contrario.</w:t>
      </w:r>
    </w:p>
  </w:footnote>
  <w:footnote w:id="2">
    <w:p w:rsidR="00F6121D" w:rsidRPr="00440C21" w:rsidRDefault="00F6121D" w:rsidP="00F6121D">
      <w:pPr>
        <w:pStyle w:val="Textonotapie"/>
        <w:jc w:val="both"/>
        <w:rPr>
          <w:rFonts w:ascii="Trebuchet MS" w:hAnsi="Trebuchet MS"/>
          <w:sz w:val="16"/>
          <w:szCs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Pr="00440C21">
        <w:rPr>
          <w:rFonts w:ascii="Trebuchet MS" w:hAnsi="Trebuchet MS" w:cs="Arial"/>
          <w:sz w:val="16"/>
          <w:szCs w:val="16"/>
        </w:rPr>
        <w:t xml:space="preserve">Social del Estado de Jalisco, </w:t>
      </w:r>
      <w:r w:rsidRPr="00440C21">
        <w:rPr>
          <w:rFonts w:ascii="Trebuchet MS" w:hAnsi="Trebuchet MS" w:cs="Arial"/>
          <w:bCs/>
          <w:sz w:val="16"/>
          <w:szCs w:val="16"/>
        </w:rPr>
        <w:t xml:space="preserve">en lo sucesivo será referido como el </w:t>
      </w:r>
      <w:r w:rsidRPr="00440C21">
        <w:rPr>
          <w:rFonts w:ascii="Trebuchet MS" w:hAnsi="Trebuchet MS"/>
          <w:sz w:val="16"/>
          <w:szCs w:val="16"/>
        </w:rPr>
        <w:t>instituto</w:t>
      </w:r>
      <w:r w:rsidRPr="00440C21">
        <w:rPr>
          <w:rFonts w:ascii="Trebuchet MS" w:hAnsi="Trebuchet MS" w:cs="Arial"/>
          <w:bCs/>
          <w:sz w:val="16"/>
          <w:szCs w:val="16"/>
        </w:rPr>
        <w:t>.</w:t>
      </w:r>
    </w:p>
  </w:footnote>
  <w:footnote w:id="3">
    <w:p w:rsidR="00773B04" w:rsidRPr="00405AA7" w:rsidRDefault="00773B04" w:rsidP="00773B04">
      <w:pPr>
        <w:pStyle w:val="Textonotapie"/>
        <w:rPr>
          <w:rFonts w:ascii="Trebuchet MS" w:hAnsi="Trebuchet MS"/>
          <w:sz w:val="16"/>
          <w:szCs w:val="16"/>
          <w:lang w:val="es-MX"/>
        </w:rPr>
      </w:pPr>
      <w:r w:rsidRPr="00711BB9">
        <w:rPr>
          <w:rStyle w:val="Refdenotaalpie"/>
          <w:rFonts w:ascii="Trebuchet MS" w:hAnsi="Trebuchet MS"/>
          <w:sz w:val="16"/>
          <w:szCs w:val="16"/>
        </w:rPr>
        <w:footnoteRef/>
      </w:r>
      <w:r w:rsidRPr="00711BB9">
        <w:rPr>
          <w:rFonts w:ascii="Trebuchet MS" w:hAnsi="Trebuchet MS"/>
          <w:sz w:val="16"/>
          <w:szCs w:val="16"/>
        </w:rPr>
        <w:t xml:space="preserve"> </w:t>
      </w:r>
      <w:r w:rsidRPr="00405AA7">
        <w:rPr>
          <w:rFonts w:ascii="Trebuchet MS" w:hAnsi="Trebuchet MS"/>
          <w:sz w:val="16"/>
          <w:szCs w:val="16"/>
          <w:lang w:val="es-MX"/>
        </w:rPr>
        <w:t>SG-JE-051/2020.</w:t>
      </w:r>
    </w:p>
  </w:footnote>
  <w:footnote w:id="4">
    <w:p w:rsidR="00E34D29" w:rsidRPr="00B971DE" w:rsidRDefault="00E34D29" w:rsidP="00E34D29">
      <w:pPr>
        <w:pStyle w:val="Textonotapie"/>
        <w:rPr>
          <w:lang w:val="es-MX"/>
        </w:rPr>
      </w:pPr>
      <w:r>
        <w:rPr>
          <w:rStyle w:val="Refdenotaalpie"/>
        </w:rPr>
        <w:footnoteRef/>
      </w:r>
      <w:r>
        <w:t xml:space="preserve"> </w:t>
      </w:r>
      <w:r w:rsidRPr="00B971DE">
        <w:rPr>
          <w:rFonts w:ascii="Trebuchet MS" w:hAnsi="Trebuchet MS"/>
          <w:sz w:val="16"/>
          <w:szCs w:val="16"/>
          <w:lang w:val="es-MX"/>
        </w:rPr>
        <w:t xml:space="preserve">Jurisprudencia 9/2012. Visible en el link: https://www.te.gob.mx/IUSEapp/tesisjur.aspx?idtesis=9/2012&amp;tpoBusqueda=S&amp;sWord=reencauzamiento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8C" w:rsidRDefault="001F729D" w:rsidP="00EE1D8C">
    <w:pPr>
      <w:rPr>
        <w:rFonts w:ascii="Trebuchet MS" w:eastAsia="Calibri" w:hAnsi="Trebuchet MS"/>
        <w:b/>
      </w:rPr>
    </w:pPr>
    <w:r>
      <w:rPr>
        <w:noProof/>
        <w:lang w:val="es-MX" w:eastAsia="es-MX"/>
      </w:rPr>
      <w:drawing>
        <wp:anchor distT="0" distB="0" distL="114300" distR="114300" simplePos="0" relativeHeight="251659264" behindDoc="1" locked="0" layoutInCell="1" allowOverlap="1" wp14:anchorId="596ED1B7" wp14:editId="0B705198">
          <wp:simplePos x="0" y="0"/>
          <wp:positionH relativeFrom="margin">
            <wp:align>left</wp:align>
          </wp:positionH>
          <wp:positionV relativeFrom="paragraph">
            <wp:posOffset>-268605</wp:posOffset>
          </wp:positionV>
          <wp:extent cx="1647825" cy="925379"/>
          <wp:effectExtent l="0" t="0" r="0" b="8255"/>
          <wp:wrapNone/>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253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D8C">
      <w:rPr>
        <w:rFonts w:ascii="Trebuchet MS" w:eastAsia="Calibri" w:hAnsi="Trebuchet MS"/>
        <w:b/>
      </w:rPr>
      <w:t xml:space="preserve"> </w:t>
    </w:r>
  </w:p>
  <w:p w:rsidR="00FC46C3" w:rsidRDefault="001C1CD5" w:rsidP="00EE1D8C">
    <w:pPr>
      <w:rPr>
        <w:rFonts w:ascii="Trebuchet MS" w:eastAsia="Calibri" w:hAnsi="Trebuchet MS"/>
        <w:b/>
      </w:rPr>
    </w:pPr>
  </w:p>
  <w:p w:rsidR="001306E1" w:rsidRDefault="001C1CD5" w:rsidP="001306E1">
    <w:pPr>
      <w:pStyle w:val="Encabezado"/>
      <w:jc w:val="right"/>
    </w:pPr>
  </w:p>
  <w:p w:rsidR="001306E1" w:rsidRDefault="004F363A" w:rsidP="001306E1">
    <w:pPr>
      <w:pStyle w:val="Encabezado"/>
      <w:jc w:val="right"/>
      <w:rPr>
        <w:rFonts w:ascii="Trebuchet MS" w:hAnsi="Trebuchet MS"/>
        <w:b/>
        <w:sz w:val="24"/>
        <w:szCs w:val="24"/>
      </w:rPr>
    </w:pPr>
    <w:r>
      <w:rPr>
        <w:rFonts w:ascii="Trebuchet MS" w:hAnsi="Trebuchet MS"/>
        <w:b/>
        <w:sz w:val="24"/>
        <w:szCs w:val="24"/>
      </w:rPr>
      <w:t>REV-015</w:t>
    </w:r>
    <w:r w:rsidR="001F729D" w:rsidRPr="008C7AD9">
      <w:rPr>
        <w:rFonts w:ascii="Trebuchet MS" w:hAnsi="Trebuchet MS"/>
        <w:b/>
        <w:sz w:val="24"/>
        <w:szCs w:val="24"/>
      </w:rPr>
      <w:t>/2021</w:t>
    </w:r>
  </w:p>
  <w:p w:rsidR="00491157" w:rsidRPr="008C7AD9" w:rsidRDefault="001C1CD5" w:rsidP="001306E1">
    <w:pPr>
      <w:pStyle w:val="Encabezado"/>
      <w:jc w:val="right"/>
      <w:rPr>
        <w:rFonts w:ascii="Trebuchet MS" w:hAnsi="Trebuchet MS"/>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2">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1D"/>
    <w:rsid w:val="001C1CD5"/>
    <w:rsid w:val="001F729D"/>
    <w:rsid w:val="00447DEF"/>
    <w:rsid w:val="004F363A"/>
    <w:rsid w:val="005A1AAD"/>
    <w:rsid w:val="00773B04"/>
    <w:rsid w:val="008043EE"/>
    <w:rsid w:val="008C22AB"/>
    <w:rsid w:val="00926B68"/>
    <w:rsid w:val="00960D8F"/>
    <w:rsid w:val="00970FA8"/>
    <w:rsid w:val="009E0463"/>
    <w:rsid w:val="00A0341A"/>
    <w:rsid w:val="00B06DD8"/>
    <w:rsid w:val="00C433A3"/>
    <w:rsid w:val="00CF4135"/>
    <w:rsid w:val="00E32119"/>
    <w:rsid w:val="00E34D29"/>
    <w:rsid w:val="00E522EC"/>
    <w:rsid w:val="00EA4B9E"/>
    <w:rsid w:val="00EE5EFB"/>
    <w:rsid w:val="00F61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21D"/>
    <w:pPr>
      <w:tabs>
        <w:tab w:val="center" w:pos="4419"/>
        <w:tab w:val="right" w:pos="8838"/>
      </w:tabs>
    </w:pPr>
  </w:style>
  <w:style w:type="character" w:customStyle="1" w:styleId="EncabezadoCar">
    <w:name w:val="Encabezado Car"/>
    <w:basedOn w:val="Fuentedeprrafopredeter"/>
    <w:link w:val="Encabezado"/>
    <w:uiPriority w:val="99"/>
    <w:rsid w:val="00F612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6121D"/>
    <w:pPr>
      <w:tabs>
        <w:tab w:val="center" w:pos="4419"/>
        <w:tab w:val="right" w:pos="8838"/>
      </w:tabs>
    </w:pPr>
  </w:style>
  <w:style w:type="character" w:customStyle="1" w:styleId="PiedepginaCar">
    <w:name w:val="Pie de página Car"/>
    <w:basedOn w:val="Fuentedeprrafopredeter"/>
    <w:link w:val="Piedepgina"/>
    <w:uiPriority w:val="99"/>
    <w:rsid w:val="00F6121D"/>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F6121D"/>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F6121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6121D"/>
    <w:pPr>
      <w:spacing w:before="100" w:beforeAutospacing="1" w:after="100" w:afterAutospacing="1"/>
    </w:pPr>
    <w:rPr>
      <w:sz w:val="24"/>
      <w:szCs w:val="24"/>
      <w:lang w:val="es-MX"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F6121D"/>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F6121D"/>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F6121D"/>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121D"/>
    <w:pPr>
      <w:jc w:val="both"/>
    </w:pPr>
    <w:rPr>
      <w:rFonts w:asciiTheme="minorHAnsi" w:eastAsiaTheme="minorHAnsi" w:hAnsiTheme="minorHAnsi"/>
      <w:sz w:val="22"/>
      <w:szCs w:val="22"/>
      <w:vertAlign w:val="superscript"/>
      <w:lang w:val="es-MX" w:eastAsia="en-US"/>
    </w:rPr>
  </w:style>
  <w:style w:type="character" w:styleId="Textoennegrita">
    <w:name w:val="Strong"/>
    <w:basedOn w:val="Fuentedeprrafopredeter"/>
    <w:uiPriority w:val="22"/>
    <w:qFormat/>
    <w:rsid w:val="00F6121D"/>
    <w:rPr>
      <w:b/>
      <w:bCs/>
    </w:rPr>
  </w:style>
  <w:style w:type="paragraph" w:styleId="Prrafodelista">
    <w:name w:val="List Paragraph"/>
    <w:basedOn w:val="Normal"/>
    <w:uiPriority w:val="34"/>
    <w:qFormat/>
    <w:rsid w:val="00E34D29"/>
    <w:pPr>
      <w:spacing w:after="200" w:line="276" w:lineRule="auto"/>
      <w:ind w:left="720"/>
      <w:contextualSpacing/>
    </w:pPr>
    <w:rPr>
      <w:rFonts w:ascii="Calibri" w:eastAsia="Calibri" w:hAnsi="Calibri"/>
      <w:sz w:val="22"/>
      <w:szCs w:val="22"/>
      <w:lang w:val="es-MX" w:eastAsia="en-US"/>
    </w:rPr>
  </w:style>
  <w:style w:type="table" w:styleId="Cuadrculaclara">
    <w:name w:val="Light Grid"/>
    <w:basedOn w:val="Tablanormal"/>
    <w:uiPriority w:val="62"/>
    <w:rsid w:val="00E34D2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21D"/>
    <w:pPr>
      <w:tabs>
        <w:tab w:val="center" w:pos="4419"/>
        <w:tab w:val="right" w:pos="8838"/>
      </w:tabs>
    </w:pPr>
  </w:style>
  <w:style w:type="character" w:customStyle="1" w:styleId="EncabezadoCar">
    <w:name w:val="Encabezado Car"/>
    <w:basedOn w:val="Fuentedeprrafopredeter"/>
    <w:link w:val="Encabezado"/>
    <w:uiPriority w:val="99"/>
    <w:rsid w:val="00F612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6121D"/>
    <w:pPr>
      <w:tabs>
        <w:tab w:val="center" w:pos="4419"/>
        <w:tab w:val="right" w:pos="8838"/>
      </w:tabs>
    </w:pPr>
  </w:style>
  <w:style w:type="character" w:customStyle="1" w:styleId="PiedepginaCar">
    <w:name w:val="Pie de página Car"/>
    <w:basedOn w:val="Fuentedeprrafopredeter"/>
    <w:link w:val="Piedepgina"/>
    <w:uiPriority w:val="99"/>
    <w:rsid w:val="00F6121D"/>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F6121D"/>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F6121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6121D"/>
    <w:pPr>
      <w:spacing w:before="100" w:beforeAutospacing="1" w:after="100" w:afterAutospacing="1"/>
    </w:pPr>
    <w:rPr>
      <w:sz w:val="24"/>
      <w:szCs w:val="24"/>
      <w:lang w:val="es-MX"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F6121D"/>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F6121D"/>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F6121D"/>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121D"/>
    <w:pPr>
      <w:jc w:val="both"/>
    </w:pPr>
    <w:rPr>
      <w:rFonts w:asciiTheme="minorHAnsi" w:eastAsiaTheme="minorHAnsi" w:hAnsiTheme="minorHAnsi"/>
      <w:sz w:val="22"/>
      <w:szCs w:val="22"/>
      <w:vertAlign w:val="superscript"/>
      <w:lang w:val="es-MX" w:eastAsia="en-US"/>
    </w:rPr>
  </w:style>
  <w:style w:type="character" w:styleId="Textoennegrita">
    <w:name w:val="Strong"/>
    <w:basedOn w:val="Fuentedeprrafopredeter"/>
    <w:uiPriority w:val="22"/>
    <w:qFormat/>
    <w:rsid w:val="00F6121D"/>
    <w:rPr>
      <w:b/>
      <w:bCs/>
    </w:rPr>
  </w:style>
  <w:style w:type="paragraph" w:styleId="Prrafodelista">
    <w:name w:val="List Paragraph"/>
    <w:basedOn w:val="Normal"/>
    <w:uiPriority w:val="34"/>
    <w:qFormat/>
    <w:rsid w:val="00E34D29"/>
    <w:pPr>
      <w:spacing w:after="200" w:line="276" w:lineRule="auto"/>
      <w:ind w:left="720"/>
      <w:contextualSpacing/>
    </w:pPr>
    <w:rPr>
      <w:rFonts w:ascii="Calibri" w:eastAsia="Calibri" w:hAnsi="Calibri"/>
      <w:sz w:val="22"/>
      <w:szCs w:val="22"/>
      <w:lang w:val="es-MX" w:eastAsia="en-US"/>
    </w:rPr>
  </w:style>
  <w:style w:type="table" w:styleId="Cuadrculaclara">
    <w:name w:val="Light Grid"/>
    <w:basedOn w:val="Tablanormal"/>
    <w:uiPriority w:val="62"/>
    <w:rsid w:val="00E34D2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1446</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Tammy Erika Torres Cornejo</cp:lastModifiedBy>
  <cp:revision>5</cp:revision>
  <dcterms:created xsi:type="dcterms:W3CDTF">2021-05-26T20:06:00Z</dcterms:created>
  <dcterms:modified xsi:type="dcterms:W3CDTF">2021-05-26T20:11:00Z</dcterms:modified>
</cp:coreProperties>
</file>