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CA" w:rsidRDefault="006525CA" w:rsidP="003527AB">
      <w:pPr>
        <w:spacing w:line="276" w:lineRule="auto"/>
        <w:ind w:left="-993" w:hanging="708"/>
        <w:jc w:val="center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6525CA" w:rsidRDefault="006525CA" w:rsidP="003527AB">
      <w:pPr>
        <w:spacing w:line="276" w:lineRule="auto"/>
        <w:rPr>
          <w:b/>
          <w:sz w:val="32"/>
        </w:rPr>
      </w:pPr>
    </w:p>
    <w:p w:rsidR="00DB6839" w:rsidRPr="00DE4FF2" w:rsidRDefault="009279D7" w:rsidP="00DE4FF2">
      <w:pPr>
        <w:spacing w:line="276" w:lineRule="auto"/>
        <w:jc w:val="both"/>
      </w:pPr>
      <w:r w:rsidRPr="009279D7">
        <w:rPr>
          <w:b/>
          <w:sz w:val="32"/>
        </w:rPr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CF4BB5">
        <w:rPr>
          <w:b/>
          <w:sz w:val="32"/>
        </w:rPr>
        <w:t>FEBRERO</w:t>
      </w:r>
      <w:r w:rsidR="00DE25C2">
        <w:rPr>
          <w:b/>
          <w:sz w:val="32"/>
        </w:rPr>
        <w:t xml:space="preserve">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:rsidR="00F90BAC" w:rsidRDefault="003527AB" w:rsidP="00F7707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respecto la Secretar</w:t>
      </w:r>
      <w:r w:rsidR="00CF4BB5">
        <w:rPr>
          <w:sz w:val="24"/>
          <w:szCs w:val="24"/>
        </w:rPr>
        <w:t>í</w:t>
      </w:r>
      <w:r>
        <w:rPr>
          <w:sz w:val="24"/>
          <w:szCs w:val="24"/>
        </w:rPr>
        <w:t>a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</w:t>
      </w:r>
      <w:r w:rsidR="00F90BAC">
        <w:rPr>
          <w:sz w:val="24"/>
          <w:szCs w:val="24"/>
        </w:rPr>
        <w:t xml:space="preserve">, en alcance al informe presentado de los asuntos del mes de enero, se recibió ante el Instituto la queja con el número de expediente </w:t>
      </w:r>
      <w:r w:rsidR="00C678B4">
        <w:rPr>
          <w:sz w:val="24"/>
          <w:szCs w:val="24"/>
        </w:rPr>
        <w:t>PSE-QUEJA-011/2021</w:t>
      </w:r>
      <w:r w:rsidR="0022550C">
        <w:rPr>
          <w:sz w:val="24"/>
          <w:szCs w:val="24"/>
        </w:rPr>
        <w:t>.</w:t>
      </w:r>
      <w:r w:rsidR="00F90BAC">
        <w:rPr>
          <w:sz w:val="24"/>
          <w:szCs w:val="24"/>
        </w:rPr>
        <w:t xml:space="preserve"> Así mismo se da cuenta que durante el mes de febrero se present</w:t>
      </w:r>
      <w:r w:rsidR="00A902EA">
        <w:rPr>
          <w:sz w:val="24"/>
          <w:szCs w:val="24"/>
        </w:rPr>
        <w:t>ó una</w:t>
      </w:r>
      <w:r w:rsidR="00F90BAC">
        <w:rPr>
          <w:sz w:val="24"/>
          <w:szCs w:val="24"/>
        </w:rPr>
        <w:t xml:space="preserve"> queja ante este organismo electoral</w:t>
      </w:r>
      <w:r w:rsidR="00A902EA">
        <w:rPr>
          <w:sz w:val="24"/>
          <w:szCs w:val="24"/>
        </w:rPr>
        <w:t xml:space="preserve"> con el número de expediente </w:t>
      </w:r>
      <w:r w:rsidR="00A902EA" w:rsidRPr="00A902EA">
        <w:rPr>
          <w:sz w:val="24"/>
          <w:szCs w:val="24"/>
        </w:rPr>
        <w:t>PSE-QUEJA-019/2021</w:t>
      </w:r>
      <w:r w:rsidR="00A902EA">
        <w:rPr>
          <w:sz w:val="24"/>
          <w:szCs w:val="24"/>
        </w:rPr>
        <w:t>.</w:t>
      </w:r>
    </w:p>
    <w:p w:rsidR="006A4110" w:rsidRDefault="0019716C" w:rsidP="002474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la Comisión de Quejas y Denuncias resolvió las quejas presentadas con el número de expediente </w:t>
      </w:r>
      <w:r w:rsidRPr="0019716C">
        <w:rPr>
          <w:sz w:val="24"/>
          <w:szCs w:val="24"/>
        </w:rPr>
        <w:t>PSE-QUEJA-007/202</w:t>
      </w:r>
      <w:r w:rsidR="00F90BAC">
        <w:rPr>
          <w:sz w:val="24"/>
          <w:szCs w:val="24"/>
        </w:rPr>
        <w:t xml:space="preserve">1, </w:t>
      </w:r>
      <w:r w:rsidRPr="0019716C">
        <w:rPr>
          <w:sz w:val="24"/>
          <w:szCs w:val="24"/>
        </w:rPr>
        <w:t>PSE-QUEJA-008/2021</w:t>
      </w:r>
      <w:r w:rsidR="00F90BAC">
        <w:rPr>
          <w:sz w:val="24"/>
          <w:szCs w:val="24"/>
        </w:rPr>
        <w:t xml:space="preserve"> y PSE-QUEJA-011/2021</w:t>
      </w:r>
      <w:r w:rsidR="00773B54">
        <w:rPr>
          <w:sz w:val="24"/>
          <w:szCs w:val="24"/>
        </w:rPr>
        <w:t xml:space="preserve"> con fecha de sesión del 30 de enero de 2021</w:t>
      </w:r>
      <w:r w:rsidR="008C14F9">
        <w:rPr>
          <w:sz w:val="24"/>
          <w:szCs w:val="24"/>
        </w:rPr>
        <w:t xml:space="preserve"> que versan sobre el mismo asunto</w:t>
      </w:r>
      <w:r w:rsidR="00773B54">
        <w:rPr>
          <w:sz w:val="24"/>
          <w:szCs w:val="24"/>
        </w:rPr>
        <w:t>.</w:t>
      </w:r>
      <w:r w:rsidR="00310ADB">
        <w:rPr>
          <w:sz w:val="24"/>
          <w:szCs w:val="24"/>
        </w:rPr>
        <w:t xml:space="preserve"> </w:t>
      </w:r>
      <w:r w:rsidR="00681D0C" w:rsidRPr="00681D0C">
        <w:rPr>
          <w:sz w:val="24"/>
          <w:szCs w:val="24"/>
        </w:rPr>
        <w:lastRenderedPageBreak/>
        <w:t>Para mayor apreciación el presente informe expone de manera detallada la siguiente información:</w:t>
      </w:r>
      <w:r w:rsidR="00BE22D2" w:rsidRPr="00BE22D2">
        <w:rPr>
          <w:noProof/>
          <w:lang w:eastAsia="es-MX"/>
        </w:rPr>
        <w:drawing>
          <wp:inline distT="0" distB="0" distL="0" distR="0">
            <wp:extent cx="5847715" cy="75914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93" cy="75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10" w:rsidRDefault="00BE22D2" w:rsidP="00FD524C">
      <w:pPr>
        <w:spacing w:line="276" w:lineRule="auto"/>
        <w:rPr>
          <w:sz w:val="24"/>
          <w:szCs w:val="24"/>
        </w:rPr>
      </w:pPr>
      <w:r w:rsidRPr="00BE22D2">
        <w:rPr>
          <w:noProof/>
          <w:lang w:eastAsia="es-MX"/>
        </w:rPr>
        <w:drawing>
          <wp:inline distT="0" distB="0" distL="0" distR="0">
            <wp:extent cx="5965043" cy="5162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32" cy="51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10" w:rsidRDefault="006A4110" w:rsidP="00FD524C">
      <w:pPr>
        <w:spacing w:line="276" w:lineRule="auto"/>
        <w:rPr>
          <w:sz w:val="24"/>
          <w:szCs w:val="24"/>
        </w:rPr>
      </w:pPr>
    </w:p>
    <w:p w:rsidR="006A4110" w:rsidRDefault="006A4110" w:rsidP="00FD524C">
      <w:pPr>
        <w:spacing w:line="276" w:lineRule="auto"/>
        <w:rPr>
          <w:sz w:val="24"/>
          <w:szCs w:val="24"/>
        </w:rPr>
      </w:pPr>
    </w:p>
    <w:p w:rsidR="006A4110" w:rsidRDefault="006A4110" w:rsidP="00FD524C">
      <w:pPr>
        <w:spacing w:line="276" w:lineRule="auto"/>
        <w:rPr>
          <w:sz w:val="24"/>
          <w:szCs w:val="24"/>
        </w:rPr>
      </w:pPr>
    </w:p>
    <w:p w:rsidR="006A4110" w:rsidRPr="00B46A54" w:rsidRDefault="006A4110" w:rsidP="00FD524C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6A4110" w:rsidRPr="00B46A54" w:rsidSect="006525CA">
      <w:headerReference w:type="default" r:id="rId11"/>
      <w:footerReference w:type="default" r:id="rId12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5C" w:rsidRDefault="000A3B5C" w:rsidP="004C755D">
      <w:pPr>
        <w:spacing w:after="0" w:line="240" w:lineRule="auto"/>
      </w:pPr>
      <w:r>
        <w:separator/>
      </w:r>
    </w:p>
  </w:endnote>
  <w:endnote w:type="continuationSeparator" w:id="0">
    <w:p w:rsidR="000A3B5C" w:rsidRDefault="000A3B5C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23530"/>
      <w:docPartObj>
        <w:docPartGallery w:val="Page Numbers (Bottom of Page)"/>
        <w:docPartUnique/>
      </w:docPartObj>
    </w:sdtPr>
    <w:sdtEndPr/>
    <w:sdtContent>
      <w:p w:rsidR="004C75C3" w:rsidRDefault="00B13968">
        <w:pPr>
          <w:pStyle w:val="Piedepgina"/>
          <w:jc w:val="right"/>
        </w:pPr>
        <w:r>
          <w:fldChar w:fldCharType="begin"/>
        </w:r>
        <w:r w:rsidR="004C75C3">
          <w:instrText>PAGE   \* MERGEFORMAT</w:instrText>
        </w:r>
        <w:r>
          <w:fldChar w:fldCharType="separate"/>
        </w:r>
        <w:r w:rsidR="002474A7" w:rsidRPr="002474A7">
          <w:rPr>
            <w:noProof/>
            <w:lang w:val="es-ES"/>
          </w:rPr>
          <w:t>4</w:t>
        </w:r>
        <w:r>
          <w:fldChar w:fldCharType="end"/>
        </w:r>
      </w:p>
    </w:sdtContent>
  </w:sdt>
  <w:p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5C" w:rsidRDefault="000A3B5C" w:rsidP="004C755D">
      <w:pPr>
        <w:spacing w:after="0" w:line="240" w:lineRule="auto"/>
      </w:pPr>
      <w:r>
        <w:separator/>
      </w:r>
    </w:p>
  </w:footnote>
  <w:footnote w:type="continuationSeparator" w:id="0">
    <w:p w:rsidR="000A3B5C" w:rsidRDefault="000A3B5C" w:rsidP="004C755D">
      <w:pPr>
        <w:spacing w:after="0" w:line="240" w:lineRule="auto"/>
      </w:pPr>
      <w:r>
        <w:continuationSeparator/>
      </w:r>
    </w:p>
  </w:footnote>
  <w:footnote w:id="1">
    <w:p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C3" w:rsidRDefault="004C75C3" w:rsidP="004C75C3">
    <w:pPr>
      <w:pStyle w:val="Encabezado"/>
      <w:jc w:val="center"/>
    </w:pPr>
  </w:p>
  <w:p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5DD"/>
    <w:rsid w:val="00002E98"/>
    <w:rsid w:val="00032B13"/>
    <w:rsid w:val="0004041A"/>
    <w:rsid w:val="000735E1"/>
    <w:rsid w:val="00083676"/>
    <w:rsid w:val="00085021"/>
    <w:rsid w:val="00093B2E"/>
    <w:rsid w:val="00093E30"/>
    <w:rsid w:val="00094268"/>
    <w:rsid w:val="00094339"/>
    <w:rsid w:val="000A0B72"/>
    <w:rsid w:val="000A3B5C"/>
    <w:rsid w:val="000B2AFF"/>
    <w:rsid w:val="0012229F"/>
    <w:rsid w:val="001369BC"/>
    <w:rsid w:val="001436BC"/>
    <w:rsid w:val="0014496A"/>
    <w:rsid w:val="00155C75"/>
    <w:rsid w:val="001672C8"/>
    <w:rsid w:val="0019716C"/>
    <w:rsid w:val="001B1D75"/>
    <w:rsid w:val="001B4C0D"/>
    <w:rsid w:val="001C4FF5"/>
    <w:rsid w:val="001E1231"/>
    <w:rsid w:val="00203705"/>
    <w:rsid w:val="002042E9"/>
    <w:rsid w:val="002042F7"/>
    <w:rsid w:val="002067B4"/>
    <w:rsid w:val="002133C7"/>
    <w:rsid w:val="002210E2"/>
    <w:rsid w:val="0022550C"/>
    <w:rsid w:val="002447B1"/>
    <w:rsid w:val="002474A7"/>
    <w:rsid w:val="0026210C"/>
    <w:rsid w:val="00263083"/>
    <w:rsid w:val="002B7E86"/>
    <w:rsid w:val="002E37EB"/>
    <w:rsid w:val="00310ADB"/>
    <w:rsid w:val="00315670"/>
    <w:rsid w:val="003202B0"/>
    <w:rsid w:val="003527AB"/>
    <w:rsid w:val="003728D3"/>
    <w:rsid w:val="003C2948"/>
    <w:rsid w:val="003C299A"/>
    <w:rsid w:val="003C452F"/>
    <w:rsid w:val="003E567D"/>
    <w:rsid w:val="00425BF0"/>
    <w:rsid w:val="0044272C"/>
    <w:rsid w:val="00443527"/>
    <w:rsid w:val="00470CB8"/>
    <w:rsid w:val="00474997"/>
    <w:rsid w:val="004811DE"/>
    <w:rsid w:val="004C285D"/>
    <w:rsid w:val="004C755D"/>
    <w:rsid w:val="004C75C3"/>
    <w:rsid w:val="004C76D8"/>
    <w:rsid w:val="004D7745"/>
    <w:rsid w:val="004E32D1"/>
    <w:rsid w:val="004E5EEA"/>
    <w:rsid w:val="004F62C6"/>
    <w:rsid w:val="00513348"/>
    <w:rsid w:val="00521B09"/>
    <w:rsid w:val="005235DD"/>
    <w:rsid w:val="00525CFF"/>
    <w:rsid w:val="00564BA3"/>
    <w:rsid w:val="00577F62"/>
    <w:rsid w:val="0058131C"/>
    <w:rsid w:val="00595B3D"/>
    <w:rsid w:val="005A5CAF"/>
    <w:rsid w:val="005C0899"/>
    <w:rsid w:val="00601295"/>
    <w:rsid w:val="006113D0"/>
    <w:rsid w:val="00631465"/>
    <w:rsid w:val="00641A78"/>
    <w:rsid w:val="006525CA"/>
    <w:rsid w:val="00653D64"/>
    <w:rsid w:val="006812BA"/>
    <w:rsid w:val="00681D0C"/>
    <w:rsid w:val="006A4110"/>
    <w:rsid w:val="006A6790"/>
    <w:rsid w:val="006E4D91"/>
    <w:rsid w:val="007073A9"/>
    <w:rsid w:val="00717ADF"/>
    <w:rsid w:val="00755414"/>
    <w:rsid w:val="00770EE9"/>
    <w:rsid w:val="00773B54"/>
    <w:rsid w:val="00776E9E"/>
    <w:rsid w:val="007803AA"/>
    <w:rsid w:val="007812E0"/>
    <w:rsid w:val="007933AB"/>
    <w:rsid w:val="007C0E41"/>
    <w:rsid w:val="007C1920"/>
    <w:rsid w:val="007C7B86"/>
    <w:rsid w:val="00802142"/>
    <w:rsid w:val="008539E0"/>
    <w:rsid w:val="00871B21"/>
    <w:rsid w:val="00871EAB"/>
    <w:rsid w:val="00886DB9"/>
    <w:rsid w:val="008A562B"/>
    <w:rsid w:val="008C14F9"/>
    <w:rsid w:val="008F13CC"/>
    <w:rsid w:val="009279D7"/>
    <w:rsid w:val="00950292"/>
    <w:rsid w:val="00980C19"/>
    <w:rsid w:val="009A26FC"/>
    <w:rsid w:val="009B34D9"/>
    <w:rsid w:val="009B7FD4"/>
    <w:rsid w:val="009D15BA"/>
    <w:rsid w:val="009E40D1"/>
    <w:rsid w:val="00A31B46"/>
    <w:rsid w:val="00A67EEA"/>
    <w:rsid w:val="00A72642"/>
    <w:rsid w:val="00A902EA"/>
    <w:rsid w:val="00AC2456"/>
    <w:rsid w:val="00B13968"/>
    <w:rsid w:val="00B4598B"/>
    <w:rsid w:val="00B466AA"/>
    <w:rsid w:val="00B46A54"/>
    <w:rsid w:val="00B52734"/>
    <w:rsid w:val="00B531AA"/>
    <w:rsid w:val="00B5518A"/>
    <w:rsid w:val="00B93CF6"/>
    <w:rsid w:val="00B9584B"/>
    <w:rsid w:val="00BA186A"/>
    <w:rsid w:val="00BE22D2"/>
    <w:rsid w:val="00BE2798"/>
    <w:rsid w:val="00C1492D"/>
    <w:rsid w:val="00C15F84"/>
    <w:rsid w:val="00C27EDC"/>
    <w:rsid w:val="00C320BC"/>
    <w:rsid w:val="00C3733C"/>
    <w:rsid w:val="00C378DD"/>
    <w:rsid w:val="00C44576"/>
    <w:rsid w:val="00C52791"/>
    <w:rsid w:val="00C67231"/>
    <w:rsid w:val="00C678B4"/>
    <w:rsid w:val="00C81BF4"/>
    <w:rsid w:val="00CA72DD"/>
    <w:rsid w:val="00CB0A10"/>
    <w:rsid w:val="00CB263F"/>
    <w:rsid w:val="00CC5259"/>
    <w:rsid w:val="00CD140C"/>
    <w:rsid w:val="00CF3764"/>
    <w:rsid w:val="00CF4BB5"/>
    <w:rsid w:val="00CF52BB"/>
    <w:rsid w:val="00D17743"/>
    <w:rsid w:val="00D44AFB"/>
    <w:rsid w:val="00D826F4"/>
    <w:rsid w:val="00D94543"/>
    <w:rsid w:val="00D95B7D"/>
    <w:rsid w:val="00DB6839"/>
    <w:rsid w:val="00DE25C2"/>
    <w:rsid w:val="00DE4FF2"/>
    <w:rsid w:val="00E24769"/>
    <w:rsid w:val="00E355FB"/>
    <w:rsid w:val="00E479B3"/>
    <w:rsid w:val="00E7452A"/>
    <w:rsid w:val="00EA1EFE"/>
    <w:rsid w:val="00EB07AC"/>
    <w:rsid w:val="00EC10B6"/>
    <w:rsid w:val="00EC68B0"/>
    <w:rsid w:val="00EE4737"/>
    <w:rsid w:val="00EE7F3A"/>
    <w:rsid w:val="00EF3202"/>
    <w:rsid w:val="00F132CC"/>
    <w:rsid w:val="00F13F85"/>
    <w:rsid w:val="00F14BEB"/>
    <w:rsid w:val="00F63196"/>
    <w:rsid w:val="00F77074"/>
    <w:rsid w:val="00F90BAC"/>
    <w:rsid w:val="00F93549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691DB-5C09-4185-95FE-83C3F6C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8129-26FB-4E86-9AD4-71EE369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 CASTANEDA, ANDREA CAROLINA</dc:creator>
  <cp:lastModifiedBy>Ricardo Escobar Cibrian</cp:lastModifiedBy>
  <cp:revision>3</cp:revision>
  <cp:lastPrinted>2021-03-01T22:35:00Z</cp:lastPrinted>
  <dcterms:created xsi:type="dcterms:W3CDTF">2021-03-01T16:01:00Z</dcterms:created>
  <dcterms:modified xsi:type="dcterms:W3CDTF">2021-03-01T22:35:00Z</dcterms:modified>
</cp:coreProperties>
</file>