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77AF" w14:textId="0A6F4C70" w:rsidR="001149A1" w:rsidRPr="004A561B" w:rsidRDefault="001C0C76" w:rsidP="004A561B">
      <w:pPr>
        <w:suppressAutoHyphens/>
        <w:spacing w:after="0" w:line="240" w:lineRule="auto"/>
        <w:jc w:val="both"/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</w:pPr>
      <w:r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INFORME</w:t>
      </w:r>
      <w:r w:rsidR="00390171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 xml:space="preserve"> </w:t>
      </w:r>
      <w:r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SOBRE</w:t>
      </w:r>
      <w:r w:rsidR="00030A4D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 xml:space="preserve"> EL OTORGAMIENTO DE INCENTIVOS </w:t>
      </w:r>
      <w:r w:rsidR="004A561B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DEL EJERCICIO VALORADO DE SEPTIEMBRE DE 202</w:t>
      </w:r>
      <w:r w:rsidR="00E9526F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2</w:t>
      </w:r>
      <w:r w:rsidR="004A561B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 xml:space="preserve"> A AGOSTO DE 202</w:t>
      </w:r>
      <w:r w:rsidR="00E9526F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3</w:t>
      </w:r>
      <w:r w:rsidR="00674E23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,</w:t>
      </w:r>
      <w:r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 xml:space="preserve"> </w:t>
      </w:r>
      <w:r w:rsidR="009C23D3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AL PERSONAL DEL SERVICIO PROFESIONAL ELECTORAL NACIONAL DE ESTE ORGANISMO ELECTORAL</w:t>
      </w:r>
      <w:r w:rsidR="001149A1" w:rsidRPr="004A561B">
        <w:rPr>
          <w:rFonts w:ascii="Lucida Sans Unicode" w:eastAsia="Trebuchet MS" w:hAnsi="Lucida Sans Unicode" w:cs="Lucida Sans Unicode"/>
          <w:b/>
          <w:sz w:val="20"/>
          <w:szCs w:val="20"/>
          <w:lang w:val="es-ES" w:eastAsia="es-ES" w:bidi="es-ES"/>
        </w:rPr>
        <w:t>.</w:t>
      </w:r>
    </w:p>
    <w:p w14:paraId="4BCFF4D2" w14:textId="07D33620" w:rsidR="00235B7E" w:rsidRPr="004A561B" w:rsidRDefault="00235B7E" w:rsidP="004A561B">
      <w:pPr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es-ES"/>
        </w:rPr>
      </w:pPr>
    </w:p>
    <w:p w14:paraId="3B424065" w14:textId="41407D3F" w:rsidR="00E85803" w:rsidRPr="004A561B" w:rsidRDefault="00674E2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cumplimiento de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l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artículo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15, primer párrafo, incisos i) y k) de los Lineamientos para el 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torgamiento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I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ncentivos al 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ersonal del Servicio Profesional Electoral Nacional en el sistema de los Organismos Públicos Locales Electorales (Lineamientos), aprobados por la Junta General Ejecutiva el 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19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marzo de 2021 mediante Acuerdo INE/JGE53/2021, el objetivo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del presente documento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es informar a la </w:t>
      </w:r>
      <w:r w:rsidR="004A561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Dirección Ejecutiva del Servicio Profesional Electoral Nacional (DESPEN) </w:t>
      </w:r>
      <w:r w:rsidR="008A258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sobre dicho otorgamiento.</w:t>
      </w:r>
    </w:p>
    <w:p w14:paraId="2531372B" w14:textId="77777777" w:rsidR="008A2586" w:rsidRPr="004A561B" w:rsidRDefault="008A2586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331CD972" w14:textId="7BA45478" w:rsidR="006B1C7B" w:rsidRPr="004A561B" w:rsidRDefault="00E6257C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Uno de los 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mecanismos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del Servicio Profesional Electoral Nacional, es el que se refiere al reconocimiento de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las y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los integrantes del Servicio tras un año en que, a partir del desempeño de sus labores, alcanzaron metas con un alto grado de calidad, al tiempo que cumplieron con sus procesos formativos, de capacitación y de disciplina. Este reconocimiento</w:t>
      </w:r>
      <w:r w:rsidR="00F60EAD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será parte de su ficha técnica y motivará a continuar con el nivel alcanzado</w:t>
      </w:r>
      <w:r w:rsidR="0068193C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="00F60EAD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674E2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</w:t>
      </w:r>
      <w:r w:rsidR="00F60EAD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impulsará a los demás integrantes a también llegar a ser reconocidos. Se trata del proceso de incentivos, reconocido en el Estatuto del Servicio Profesional Electoral Nacional y de la Rama Administrativa (Estatuto) en los artículos 438 a 441 para el Sistema de los Organismos Públicos Locales Electorales (OPLE).</w:t>
      </w:r>
    </w:p>
    <w:p w14:paraId="61B7820C" w14:textId="77777777" w:rsidR="007F7053" w:rsidRPr="004A561B" w:rsidRDefault="007F705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392C7BBA" w14:textId="52E51039" w:rsidR="006B1C7B" w:rsidRPr="004A561B" w:rsidRDefault="00EC2D12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</w:t>
      </w:r>
      <w:r w:rsidR="00F60EAD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l </w:t>
      </w:r>
      <w:r w:rsidR="00C310A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24 de febrero de 2022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="00C310A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el Consejo General del </w:t>
      </w:r>
      <w:r w:rsidR="004A561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Instituto Electoral y de Participación Ciudadana del Estado de Jalisco (IEPC Jalisco) </w:t>
      </w:r>
      <w:r w:rsidR="00C310A2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emitió el acuerdo </w:t>
      </w:r>
      <w:r w:rsidR="00C310A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IEPC-ACG-017/2022</w:t>
      </w:r>
      <w:r w:rsidR="00C310A2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mediante el cual aprobó el Programa de Incentivos a otorgar a las y los miembros del Servicio Profesional Electoral Nacional del IEPC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Jalisco</w:t>
      </w:r>
      <w:r w:rsidR="00C310A2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</w:p>
    <w:p w14:paraId="784017E9" w14:textId="77777777" w:rsidR="006B1C7B" w:rsidRPr="004A561B" w:rsidRDefault="006B1C7B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7CB209AB" w14:textId="0358D38D" w:rsidR="00F33BD4" w:rsidRPr="004A561B" w:rsidRDefault="00C310A2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El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incentivo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se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otorga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a aquellos integrantes del Servicio que cuenten con los mejores promedios de tres factores: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1) 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la evaluación del desempeño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;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2) 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la formación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;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y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3)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la capacitación.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Adicionalmente a contar con las mejores calificaciones, deben cumplir de manera satisfactori</w:t>
      </w:r>
      <w:r w:rsidR="00D06759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 con factores de disciplina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="00D06759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por lo que</w:t>
      </w:r>
      <w:r w:rsidR="00D06759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no </w:t>
      </w:r>
      <w:r w:rsidR="007F705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deben de 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haber sido sujetos de proceso disciplinario durante el año evaluado.</w:t>
      </w:r>
    </w:p>
    <w:p w14:paraId="4F421A09" w14:textId="77777777" w:rsidR="00C310A2" w:rsidRPr="004A561B" w:rsidRDefault="00C310A2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43529B79" w14:textId="0935F5F1" w:rsidR="00E9526F" w:rsidRPr="00290C22" w:rsidRDefault="007F7053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1. </w:t>
      </w:r>
      <w:r w:rsidR="00C310A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Sobre la </w:t>
      </w:r>
      <w:r w:rsidR="00C310A2" w:rsidRPr="004A561B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>evaluación del desempeño</w:t>
      </w:r>
      <w:r w:rsidR="00C310A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C310A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l 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31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</w:t>
      </w:r>
      <w:r w:rsidR="00EC2D1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ago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st</w:t>
      </w:r>
      <w:r w:rsidR="00EC2D1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202</w:t>
      </w:r>
      <w:r w:rsidR="00CC4AB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la DESPEN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a través de la circular número INE/DESPEN/02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7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/202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notificó al IEPC </w:t>
      </w:r>
      <w:r w:rsidR="004A561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Jalisco 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que, el periodo de evaluación para metas individuales y colectivas comprendería de</w:t>
      </w:r>
      <w:r w:rsidR="00EC2D1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6B1C7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septiembre 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de 202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a agosto de 202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.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E9526F"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esta circular, además,</w:t>
      </w:r>
      <w:r w:rsidR="00E9526F" w:rsidRPr="00290C22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 xml:space="preserve"> </w:t>
      </w:r>
      <w:r w:rsidR="00E9526F" w:rsidRPr="00290C22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se comunicó el primer bloque de metas.</w:t>
      </w:r>
    </w:p>
    <w:p w14:paraId="53234A0C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0BDC8714" w14:textId="678E54CC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290C22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lastRenderedPageBreak/>
        <w:t xml:space="preserve">El </w:t>
      </w:r>
      <w:r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29</w:t>
      </w:r>
      <w:r w:rsidRPr="00290C22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septiembre mediante </w:t>
      </w:r>
      <w:r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circular número INE/DESPEN/029/2022, se dio a conocer una meta colectiva adicional.</w:t>
      </w:r>
    </w:p>
    <w:p w14:paraId="2636C024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</w:pPr>
    </w:p>
    <w:p w14:paraId="1D75EF8F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Para el caso de este Instituto, se determinó evaluar cuatro metas colectivas y una individual, de acuerdo con los distintos cargos y puestos, a saber:</w:t>
      </w:r>
    </w:p>
    <w:p w14:paraId="5074098E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0E9F66CE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Coordinación de Educación Cívica: 1) Fortalecimiento de redes de colaboración que coadyuven a los fines del Instituto y formación de cuadros políticos de educación cívica (Colectiva). 2)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3) Promover espacios de diálogo y deliberación en clave democrática para las y los actores políticos locales (Colectiva).</w:t>
      </w:r>
    </w:p>
    <w:p w14:paraId="143794A0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334D82E9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Asistencia Técnica de Educación Cívica: 1) Fortalecimiento de redes de colaboración que coadyuven a los fines del Instituto y formación de cuadros políticos de educación cívica (Colectiva). 2)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3) Promover espacios de diálogo y deliberación en clave democrática para las y los actores políticos locales (Colectiva).</w:t>
      </w:r>
    </w:p>
    <w:p w14:paraId="3FA3F4BE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0FF0FD89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Coordinación de Participación Ciudadana: 1) Fortalecimiento de redes de colaboración que coadyuven a los fines del Instituto y formación de cuadros políticos de educación cívica (Colectiva). 2)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3) Promover espacios de diálogo y deliberación en clave democrática para las y los actores políticos locales (Colectiva).</w:t>
      </w:r>
    </w:p>
    <w:p w14:paraId="2B3B2273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16A559AA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Asistencia Técnica de Participación Ciudadana: 1) Fortalecimiento de redes de colaboración que coadyuven a los fines del Instituto y formación de cuadros políticos de educación cívica (Colectiva). 2)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3) Promover espacios de diálogo y deliberación en clave democrática para las y los actores políticos locales (Colectiva).</w:t>
      </w:r>
    </w:p>
    <w:p w14:paraId="606D97F6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676BA3F6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Coordinación de Organización Electoral: 1)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2) Organizar procesos electorales </w:t>
      </w: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lastRenderedPageBreak/>
        <w:t>con efectividad y eficiencia (Colectiva). 3) Promover espacios de diálogo y deliberación en clave democrática para las y los actores políticos locales (Colectiva).</w:t>
      </w:r>
    </w:p>
    <w:p w14:paraId="277E0E47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29F68193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Asistencia Técnica de Organización Electoral: 1)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2) Organizar procesos electorales con efectividad y eficiencia (Colectiva). 3) Promover espacios de diálogo y deliberación en clave democrática para las y los actores políticos locales (Colectiva).</w:t>
      </w:r>
    </w:p>
    <w:p w14:paraId="70D5BEB0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5301616B" w14:textId="77777777" w:rsidR="00E9526F" w:rsidRPr="00E9526F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Coordinación de Prerrogativas y Partidos Políticos: 1) Diseño de acciones de capacitación y difusión en materia de prevención, atención y erradicación de la violencia política contra las mujeres </w:t>
      </w:r>
      <w:proofErr w:type="gramStart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2) Puesta a disposición de pautas y ordenes de transmisión (Individual). 3) Promover espacios de diálogo y deliberación en clave democrática para las y los actores políticos locales (Colectiva).</w:t>
      </w:r>
    </w:p>
    <w:p w14:paraId="77032CE5" w14:textId="77777777" w:rsidR="00E9526F" w:rsidRPr="00290C22" w:rsidRDefault="00E9526F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4DE24C11" w14:textId="022D8E49" w:rsidR="006B1C7B" w:rsidRPr="004A561B" w:rsidRDefault="00E9526F" w:rsidP="00E9526F">
      <w:pPr>
        <w:pStyle w:val="Prrafodelista"/>
        <w:numPr>
          <w:ilvl w:val="0"/>
          <w:numId w:val="4"/>
        </w:num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Asistencia Técnica de Prerrogativas y Partidos Políticos: 1) Diseño de acciones de capacitación y difusión en materia de prevención, atención y erradicación de la violencia política contra las mujeres </w:t>
      </w:r>
      <w:proofErr w:type="gramStart"/>
      <w:r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en razón de</w:t>
      </w:r>
      <w:proofErr w:type="gramEnd"/>
      <w:r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género (Colectiva). </w:t>
      </w:r>
      <w:r w:rsidR="00792FA4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</w:t>
      </w:r>
      <w:r w:rsidRPr="00290C22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) Promover espacios de diálogo y deliberación en clave democrática para las y los actores políticos locales (Colectiva).</w:t>
      </w:r>
    </w:p>
    <w:p w14:paraId="4BE9C997" w14:textId="77777777" w:rsidR="00C310A2" w:rsidRPr="004A561B" w:rsidRDefault="00C310A2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</w:pPr>
    </w:p>
    <w:p w14:paraId="190D7843" w14:textId="2A9C63E6" w:rsidR="00674E23" w:rsidRPr="004A561B" w:rsidRDefault="00C310A2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El 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27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f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br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ero de 202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la DESPEN comunicó al Órgano de Enlace, la integración del Dictamen General que contiene los resultados de la evaluación del desempeño del personal del Servicio y de la rama administrativa del IEPC</w:t>
      </w:r>
      <w:r w:rsidR="004A561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Jalisco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que ocupó una plaza </w:t>
      </w:r>
      <w:proofErr w:type="gramStart"/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del mismo</w:t>
      </w:r>
      <w:proofErr w:type="gramEnd"/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por al menos seis meses del periodo que se evalúa.</w:t>
      </w:r>
    </w:p>
    <w:p w14:paraId="76DBEDC7" w14:textId="77777777" w:rsidR="00674E23" w:rsidRPr="004A561B" w:rsidRDefault="00674E2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7AD2C050" w14:textId="77777777" w:rsidR="00E9526F" w:rsidRPr="008C250F" w:rsidRDefault="00981202" w:rsidP="00E9526F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El 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14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</w:t>
      </w:r>
      <w:r w:rsidR="00E5086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ma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r</w:t>
      </w:r>
      <w:r w:rsidR="00E50866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z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 202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en sesión </w:t>
      </w:r>
      <w:r w:rsidR="00E9526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extra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ordinaria, el Consejo General de este </w:t>
      </w:r>
      <w:r w:rsidR="00E9526F" w:rsidRPr="008C250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órgano colegiado, mediante acuerdo identificado con la clave IEPC-ACG-036/2024</w:t>
      </w:r>
      <w:r w:rsidR="00E9526F" w:rsidRPr="008C250F">
        <w:rPr>
          <w:rStyle w:val="Refdenotaalpie"/>
          <w:rFonts w:ascii="Lucida Sans Unicode" w:eastAsia="Times New Roman" w:hAnsi="Lucida Sans Unicode" w:cs="Lucida Sans Unicode"/>
          <w:sz w:val="20"/>
          <w:szCs w:val="20"/>
          <w:lang w:eastAsia="ar-SA"/>
        </w:rPr>
        <w:footnoteReference w:id="1"/>
      </w:r>
      <w:r w:rsidR="00E9526F" w:rsidRPr="008C250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aprobó el Dictamen</w:t>
      </w:r>
      <w:r w:rsidR="00E9526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del personal del SPEN adscrito a este Instituto</w:t>
      </w:r>
      <w:r w:rsidR="00E9526F" w:rsidRPr="008C250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correspondiente al periodo de septiembre de 2022 a agosto de 2023.</w:t>
      </w:r>
    </w:p>
    <w:p w14:paraId="09338A56" w14:textId="77777777" w:rsidR="00674E23" w:rsidRPr="004A561B" w:rsidRDefault="00674E2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1FD6B502" w14:textId="54289EC0" w:rsidR="00981202" w:rsidRDefault="00AB20BD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Una vez aprobado el Dictamen General de Resultados de la Evaluación del Desempeño por el Consejo General de este Instituto Electoral, se notificó la calificación obtenida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vía 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lastRenderedPageBreak/>
        <w:t>memorando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a cada un</w:t>
      </w:r>
      <w:r w:rsidR="001B3F7D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a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las </w:t>
      </w:r>
      <w:r w:rsidR="001B3F7D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personas integrantes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del </w:t>
      </w:r>
      <w:r w:rsidR="004A561B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Servicio Profesional Electoral Nacional (SPEN) 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de este organismo electoral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sin recibir solicitudes de revisión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por lo que fueron tomadas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como referencia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dicha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calificaci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o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n</w:t>
      </w:r>
      <w:r w:rsidR="00E5086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es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por el titular del Órgano de Enlace, para la elaboración de los proyectos de dictamen para el otorgamiento de incentivos.</w:t>
      </w:r>
    </w:p>
    <w:p w14:paraId="3818AD80" w14:textId="77777777" w:rsidR="00F0574E" w:rsidRPr="004A561B" w:rsidRDefault="00F0574E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0AEACED8" w14:textId="5521D6AB" w:rsidR="00981202" w:rsidRPr="004A561B" w:rsidRDefault="007F705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2. 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Sobre el </w:t>
      </w:r>
      <w:r w:rsidR="00981202" w:rsidRPr="004A561B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>Programa de Formación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el concentrado de calificaciones a considerar para el otorgamiento de incentivos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ejercicio evaluado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fue el correspondiente al periodo académico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</w:t>
      </w:r>
      <w:r w:rsidR="00981202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/1.</w:t>
      </w:r>
    </w:p>
    <w:p w14:paraId="55BA2EC5" w14:textId="77777777" w:rsidR="00866CA3" w:rsidRPr="004A561B" w:rsidRDefault="00866CA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62A12FEE" w14:textId="5562D866" w:rsidR="00866CA3" w:rsidRPr="004A561B" w:rsidRDefault="007F705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3. 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En lo referente a </w:t>
      </w:r>
      <w:r w:rsidR="00866CA3" w:rsidRPr="004A561B">
        <w:rPr>
          <w:rFonts w:ascii="Lucida Sans Unicode" w:eastAsia="Times New Roman" w:hAnsi="Lucida Sans Unicode" w:cs="Lucida Sans Unicode"/>
          <w:b/>
          <w:bCs/>
          <w:sz w:val="20"/>
          <w:szCs w:val="20"/>
          <w:lang w:eastAsia="ar-SA"/>
        </w:rPr>
        <w:t>Capacitación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el 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27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m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rzo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la DESPEN compartió el concentrado de calificaciones del proceso de Capacitación a considerar para el otorgamiento de incentivos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 que fueron aquellos cursos llevados a cabo durante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.</w:t>
      </w:r>
    </w:p>
    <w:p w14:paraId="40B3727E" w14:textId="77777777" w:rsidR="00CD49F0" w:rsidRPr="004A561B" w:rsidRDefault="00CD49F0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6D57FCCA" w14:textId="77777777" w:rsidR="00F509D5" w:rsidRPr="004A561B" w:rsidRDefault="00866CA3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Adicional a la obtención de los mejores promedios, los aspirantes a obtener </w:t>
      </w:r>
      <w:proofErr w:type="gramStart"/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incentivos,</w:t>
      </w:r>
      <w:proofErr w:type="gramEnd"/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no deben ser sanciona</w:t>
      </w:r>
      <w:r w:rsidR="00F509D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dos de forma grave o muy grave.</w:t>
      </w:r>
    </w:p>
    <w:p w14:paraId="3737B050" w14:textId="77777777" w:rsidR="00F509D5" w:rsidRPr="004A561B" w:rsidRDefault="00F509D5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54E38110" w14:textId="6A4EDE6C" w:rsidR="00674E23" w:rsidRPr="004A561B" w:rsidRDefault="00F509D5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Para lo anterior,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el 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1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 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feb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r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er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mediante memorándum número 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01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0/202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la 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Dirección Jurídica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del IEPC </w:t>
      </w:r>
      <w:r w:rsidR="004A561B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Jalisco 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informó que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durante 202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no hubo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procedimientos laborales sancionadores o administrativos o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sanciones graves o muy graves a ninguno los integrantes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en activo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del </w:t>
      </w:r>
      <w:r w:rsidR="003C6958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SPEN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del IEPC</w:t>
      </w:r>
      <w:r w:rsidR="001B3F7D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Jalisco</w:t>
      </w:r>
      <w:r w:rsidR="00866CA3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.</w:t>
      </w:r>
    </w:p>
    <w:p w14:paraId="1FE10B5A" w14:textId="77777777" w:rsidR="000748EF" w:rsidRPr="004A561B" w:rsidRDefault="000748EF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177D310C" w14:textId="6CB78DD8" w:rsidR="000748EF" w:rsidRPr="004A561B" w:rsidRDefault="000748EF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 raíz de lo anterior, se obtuvieron los siguientes resultados:</w:t>
      </w:r>
    </w:p>
    <w:p w14:paraId="58C97966" w14:textId="77777777" w:rsidR="000748EF" w:rsidRPr="004A561B" w:rsidRDefault="000748EF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4443277B" w14:textId="5B1C1B30" w:rsidR="000748EF" w:rsidRPr="004A561B" w:rsidRDefault="00002021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002021">
        <w:rPr>
          <w:noProof/>
        </w:rPr>
        <w:drawing>
          <wp:inline distT="0" distB="0" distL="0" distR="0" wp14:anchorId="4019015F" wp14:editId="5C58DD0D">
            <wp:extent cx="5612130" cy="1486535"/>
            <wp:effectExtent l="0" t="0" r="7620" b="0"/>
            <wp:docPr id="1979613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6C855" w14:textId="77777777" w:rsidR="000748EF" w:rsidRPr="004A561B" w:rsidRDefault="000748EF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5B55EAA6" w14:textId="08F7E12E" w:rsidR="000748EF" w:rsidRPr="004A561B" w:rsidRDefault="000748EF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 lo anterior, se agrega un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nota: 1) Cynthia Teresa Elizalde Vivas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y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ole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d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d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C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h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i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u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Pablo</w:t>
      </w:r>
      <w:r w:rsidR="00CD49F0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ya no forman parte del SPEN en el IEPC Jalisco, por lo que en términos del </w:t>
      </w:r>
      <w:r w:rsidR="00DD380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artículo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28</w:t>
      </w:r>
      <w:r w:rsidR="00DD380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fracci</w:t>
      </w:r>
      <w:r w:rsidR="00DD380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o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n</w:t>
      </w:r>
      <w:r w:rsidR="00DD380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es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II y III</w:t>
      </w:r>
      <w:r w:rsidR="00DD380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,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DD380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de los Lineamientos, 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no son candidat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 a ganador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s.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2)</w:t>
      </w:r>
      <w:r w:rsidR="00E76BFB" w:rsidRP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Alondra Rivas Escoto, Jonathan Emmanuel Amaral Rocha, Bertha Rocío Reyes </w:t>
      </w:r>
      <w:proofErr w:type="spellStart"/>
      <w:r w:rsidR="00E76BFB" w:rsidRP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Reyes</w:t>
      </w:r>
      <w:proofErr w:type="spellEnd"/>
      <w:r w:rsidR="00E76BFB" w:rsidRP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María Fernanda Beas Barroso y Luis Enríquez Ortega no son aspirantes al incentivo 2022-2023 derivado de que no </w:t>
      </w:r>
      <w:r w:rsidR="00E76BFB" w:rsidRP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lastRenderedPageBreak/>
        <w:t>cuentan con evaluación del desempeño en el IEPC Jalisco para el periodo revisado.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3) </w:t>
      </w:r>
      <w:r w:rsidR="00256AFF" w:rsidRPr="00256AF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Carlos Manuel Chávez Verdín carece de dos o más factores a ponderar, por lo que en términos del art. 27 </w:t>
      </w:r>
      <w:proofErr w:type="spellStart"/>
      <w:r w:rsidR="00256AFF" w:rsidRPr="00256AF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fracc.</w:t>
      </w:r>
      <w:proofErr w:type="spellEnd"/>
      <w:r w:rsidR="00256AFF" w:rsidRPr="00256AF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IV, no es candidato a ganador.</w:t>
      </w:r>
      <w:r w:rsidR="00E76BF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Por ende, el universo de elegibles fueron 1</w:t>
      </w:r>
      <w:r w:rsidR="00256AF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2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evaluados, de los cuales, conforme al Programa de Incentivos, el 20% (2.</w:t>
      </w:r>
      <w:r w:rsidR="00256AFF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) serían acreedores al Incentivo.</w:t>
      </w:r>
    </w:p>
    <w:p w14:paraId="457D3247" w14:textId="77777777" w:rsidR="003C6958" w:rsidRPr="004A561B" w:rsidRDefault="003C6958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09414DC7" w14:textId="5C69AF6D" w:rsidR="005A21C8" w:rsidRPr="004A561B" w:rsidRDefault="000748EF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Posteriormente,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e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l </w:t>
      </w:r>
      <w:r w:rsidR="00256AF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28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</w:t>
      </w:r>
      <w:r w:rsidR="00CD49F0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ma</w:t>
      </w:r>
      <w:r w:rsidR="00256AF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rz</w:t>
      </w:r>
      <w:r w:rsidR="00CD49F0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o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202</w:t>
      </w:r>
      <w:r w:rsidR="00256AF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4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el Órgano de Enlace remitió a la DESPEN, los proyectos de dictamen de otorgamiento de incentivos para su valoración.</w:t>
      </w:r>
      <w:r w:rsidR="00841B40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El</w:t>
      </w:r>
      <w:r w:rsidR="005A21C8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CD49F0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1</w:t>
      </w:r>
      <w:r w:rsidR="00256AF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0</w:t>
      </w:r>
      <w:r w:rsidR="005A21C8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</w:t>
      </w:r>
      <w:r w:rsidR="00DD3805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m</w:t>
      </w:r>
      <w:r w:rsidR="00256AF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ay</w:t>
      </w:r>
      <w:r w:rsidR="00DD3805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o </w:t>
      </w:r>
      <w:r w:rsidR="00256AFF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del mismo</w:t>
      </w:r>
      <w:r w:rsidR="00DD3805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año</w:t>
      </w:r>
      <w:r w:rsidR="005A21C8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</w:t>
      </w:r>
      <w:r w:rsidR="003C5163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la DESPEN</w:t>
      </w:r>
      <w:r w:rsidR="005A21C8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otorgó el visto bueno respecto de los dictámenes preliminares par</w:t>
      </w:r>
      <w:r w:rsidR="00841B40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a el otorgamiento de incentivos</w:t>
      </w:r>
      <w:r w:rsidR="005A21C8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</w:p>
    <w:p w14:paraId="60687D50" w14:textId="77777777" w:rsidR="006842A2" w:rsidRPr="004A561B" w:rsidRDefault="006842A2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eastAsia="ar-SA"/>
        </w:rPr>
      </w:pPr>
    </w:p>
    <w:p w14:paraId="6532251E" w14:textId="1C7E4BC9" w:rsidR="00DD3805" w:rsidRPr="004A561B" w:rsidRDefault="001149A1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El 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13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may</w:t>
      </w:r>
      <w:r w:rsidR="00011A46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o</w:t>
      </w:r>
      <w:r w:rsidR="00C20FD7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202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4</w:t>
      </w:r>
      <w:r w:rsidR="00CB6C6F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el titular del Órgano de E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nlace con el </w:t>
      </w:r>
      <w:r w:rsidR="00303954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SPEN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mediante </w:t>
      </w:r>
      <w:r w:rsidR="003C688C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correo electrónico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comunicó a la presidencia de </w:t>
      </w:r>
      <w:r w:rsidR="000C37B9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l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a Comisión</w:t>
      </w:r>
      <w:r w:rsidR="000C37B9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Seguimiento al Servicio Profesional Electoral Nacional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los dictámenes para el otorgamiento de incentivos 20</w:t>
      </w:r>
      <w:r w:rsidR="00CA420B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4</w:t>
      </w:r>
      <w:r w:rsidR="00CA420B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ejercicio valorado </w:t>
      </w:r>
      <w:r w:rsidR="006842A2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de septiembre de 202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</w:t>
      </w:r>
      <w:r w:rsidR="006842A2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a agosto de </w:t>
      </w:r>
      <w:r w:rsidR="00CA420B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20</w:t>
      </w:r>
      <w:r w:rsidR="000C37B9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3</w:t>
      </w:r>
      <w:r w:rsidR="00DD3805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</w:p>
    <w:p w14:paraId="1BA5C1C3" w14:textId="77777777" w:rsidR="00DD3805" w:rsidRPr="004A561B" w:rsidRDefault="00DD3805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46A9B257" w14:textId="08846E33" w:rsidR="00DD3805" w:rsidRPr="004A561B" w:rsidRDefault="0067564E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El </w:t>
      </w:r>
      <w:r w:rsidR="00747C9C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1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7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may</w:t>
      </w:r>
      <w:r w:rsidR="00747C9C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o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, la Comisión de Seguimiento al Servicio Profesional Electoral Nacional, en sesión ordinaria, </w:t>
      </w:r>
      <w:r w:rsidR="00994F0F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autorizó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</w:t>
      </w:r>
      <w:r w:rsidR="00994F0F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someter a consideración del Consejo General el proyecto de acuerdo</w:t>
      </w: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</w:p>
    <w:p w14:paraId="5A3D7E59" w14:textId="77777777" w:rsidR="00DD3805" w:rsidRPr="004A561B" w:rsidRDefault="00DD3805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</w:p>
    <w:p w14:paraId="1058C800" w14:textId="637B8A1D" w:rsidR="00B95F3F" w:rsidRPr="004A561B" w:rsidRDefault="0007126B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Finalmente, e</w:t>
      </w:r>
      <w:r w:rsidR="00B95F3F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l 2</w:t>
      </w:r>
      <w:r w:rsidR="00747C9C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6</w:t>
      </w:r>
      <w:r w:rsidR="00B95F3F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de </w:t>
      </w:r>
      <w:r w:rsidR="00747C9C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j</w:t>
      </w:r>
      <w:r w:rsidR="00B95F3F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u</w:t>
      </w:r>
      <w:r w:rsidR="00A60101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n</w:t>
      </w:r>
      <w:r w:rsidR="00747C9C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io</w:t>
      </w:r>
      <w:r w:rsidR="00B95F3F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el Consejo General aprobó los dictámenes para el otorgamiento de incentivos 202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4</w:t>
      </w:r>
      <w:r w:rsidR="00B95F3F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 ejercicio valorado 202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3</w:t>
      </w:r>
      <w:r w:rsidR="00DD3805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,</w:t>
      </w:r>
      <w:r w:rsidR="00F44F67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 xml:space="preserve"> mediante acuerdo IEPC-ACG-</w:t>
      </w:r>
      <w:r w:rsidR="00747C9C" w:rsidRP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3</w:t>
      </w:r>
      <w:r w:rsidR="00A60101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23</w:t>
      </w:r>
      <w:r w:rsidR="00F44F67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/202</w:t>
      </w:r>
      <w:r w:rsidR="007807DC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4</w:t>
      </w:r>
      <w:r w:rsidR="00B95F3F" w:rsidRPr="004A561B">
        <w:rPr>
          <w:rFonts w:ascii="Lucida Sans Unicode" w:eastAsia="Times New Roman" w:hAnsi="Lucida Sans Unicode" w:cs="Lucida Sans Unicode"/>
          <w:sz w:val="20"/>
          <w:szCs w:val="20"/>
          <w:lang w:eastAsia="ar-SA"/>
        </w:rPr>
        <w:t>.</w:t>
      </w:r>
    </w:p>
    <w:p w14:paraId="58AC9D85" w14:textId="642994A6" w:rsidR="00F509D5" w:rsidRPr="004A561B" w:rsidRDefault="00F509D5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19BCBF62" w14:textId="78760846" w:rsidR="00DD3805" w:rsidRDefault="003C6958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La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s 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personas acreedoras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a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l Incentivo 202</w:t>
      </w:r>
      <w:r w:rsidR="007807DC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4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ejercicio evaluado 202</w:t>
      </w:r>
      <w:r w:rsidR="007807DC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3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, fueron </w:t>
      </w:r>
      <w:r w:rsidR="00F509D5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la</w:t>
      </w:r>
      <w:r w:rsidR="00F07424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siguiente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integrante</w:t>
      </w:r>
      <w:r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>s</w:t>
      </w:r>
      <w:r w:rsidR="00333AB1" w:rsidRPr="004A561B"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  <w:t xml:space="preserve"> del SPEN:</w:t>
      </w:r>
    </w:p>
    <w:p w14:paraId="632863C2" w14:textId="77777777" w:rsidR="001442A0" w:rsidRPr="004A561B" w:rsidRDefault="001442A0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2126"/>
        <w:gridCol w:w="2126"/>
      </w:tblGrid>
      <w:tr w:rsidR="00F07424" w:rsidRPr="00F0574E" w14:paraId="57DD7A21" w14:textId="77777777" w:rsidTr="001442A0">
        <w:trPr>
          <w:trHeight w:val="274"/>
          <w:tblHeader/>
          <w:jc w:val="center"/>
        </w:trPr>
        <w:tc>
          <w:tcPr>
            <w:tcW w:w="2694" w:type="dxa"/>
            <w:shd w:val="clear" w:color="auto" w:fill="4DBBB8"/>
            <w:vAlign w:val="center"/>
            <w:hideMark/>
          </w:tcPr>
          <w:p w14:paraId="44798784" w14:textId="77777777" w:rsidR="00F07424" w:rsidRPr="00F0574E" w:rsidRDefault="00F07424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F0574E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1985" w:type="dxa"/>
            <w:shd w:val="clear" w:color="auto" w:fill="4DBBB8"/>
            <w:vAlign w:val="center"/>
          </w:tcPr>
          <w:p w14:paraId="0550B112" w14:textId="77777777" w:rsidR="00F07424" w:rsidRPr="00F0574E" w:rsidRDefault="00F07424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F0574E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Cargo del que es titular</w:t>
            </w:r>
          </w:p>
        </w:tc>
        <w:tc>
          <w:tcPr>
            <w:tcW w:w="2126" w:type="dxa"/>
            <w:shd w:val="clear" w:color="auto" w:fill="4DBBB8"/>
            <w:vAlign w:val="center"/>
            <w:hideMark/>
          </w:tcPr>
          <w:p w14:paraId="03A5A070" w14:textId="77777777" w:rsidR="00F07424" w:rsidRPr="00F0574E" w:rsidRDefault="00F07424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highlight w:val="yellow"/>
                <w:lang w:eastAsia="es-MX"/>
              </w:rPr>
            </w:pPr>
            <w:r w:rsidRPr="00F0574E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Cargo por el que se evaluó</w:t>
            </w:r>
          </w:p>
        </w:tc>
        <w:tc>
          <w:tcPr>
            <w:tcW w:w="2126" w:type="dxa"/>
            <w:shd w:val="clear" w:color="auto" w:fill="4DBBB8"/>
            <w:vAlign w:val="center"/>
          </w:tcPr>
          <w:p w14:paraId="04089234" w14:textId="77777777" w:rsidR="00F07424" w:rsidRPr="00F0574E" w:rsidRDefault="00F07424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F0574E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Cargo que ocupa actualmente</w:t>
            </w:r>
          </w:p>
        </w:tc>
      </w:tr>
      <w:tr w:rsidR="00F07424" w:rsidRPr="00F0574E" w14:paraId="379693E1" w14:textId="77777777" w:rsidTr="001442A0">
        <w:trPr>
          <w:trHeight w:val="14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14:paraId="66A32864" w14:textId="6D4FA6FA" w:rsidR="00F07424" w:rsidRPr="00F0574E" w:rsidRDefault="00F07424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M</w:t>
            </w:r>
            <w:r w:rsidR="007807DC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ó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n</w:t>
            </w:r>
            <w:r w:rsidR="007807DC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ica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 xml:space="preserve"> </w:t>
            </w:r>
            <w:r w:rsidR="007807DC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Ri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z</w:t>
            </w:r>
            <w:r w:rsidR="007807DC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o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 xml:space="preserve"> </w:t>
            </w:r>
            <w:r w:rsidR="007807DC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985" w:type="dxa"/>
            <w:vAlign w:val="center"/>
          </w:tcPr>
          <w:p w14:paraId="1C516D74" w14:textId="601993B5" w:rsidR="00F07424" w:rsidRPr="00F0574E" w:rsidRDefault="007807DC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Coordinación</w:t>
            </w:r>
            <w:r w:rsidR="00F07424"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O</w:t>
            </w:r>
            <w:r w:rsidR="00F07424"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ganiz</w:t>
            </w:r>
            <w:r w:rsidR="00F07424"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ación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Electoral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AE0CEE8" w14:textId="2E42107C" w:rsidR="00F07424" w:rsidRPr="00F0574E" w:rsidRDefault="007807DC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Coordinación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O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ganiz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ación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Electoral</w:t>
            </w:r>
          </w:p>
        </w:tc>
        <w:tc>
          <w:tcPr>
            <w:tcW w:w="2126" w:type="dxa"/>
            <w:vAlign w:val="center"/>
          </w:tcPr>
          <w:p w14:paraId="1D6E9D55" w14:textId="2557B643" w:rsidR="00F07424" w:rsidRPr="00F0574E" w:rsidRDefault="007807DC" w:rsidP="004A561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Coordinación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O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ganiz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ación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Electoral</w:t>
            </w:r>
          </w:p>
        </w:tc>
      </w:tr>
      <w:tr w:rsidR="001442A0" w:rsidRPr="00F0574E" w14:paraId="090BA722" w14:textId="77777777" w:rsidTr="00F0574E">
        <w:trPr>
          <w:trHeight w:val="370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14:paraId="26B3FBF3" w14:textId="4DFDEF44" w:rsidR="001442A0" w:rsidRPr="00F0574E" w:rsidRDefault="001442A0" w:rsidP="001442A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Hug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o</w:t>
            </w: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 xml:space="preserve"> Elías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 xml:space="preserve"> Ra</w:t>
            </w: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mírez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G</w:t>
            </w:r>
            <w:r w:rsidRPr="00F0574E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a</w:t>
            </w:r>
            <w:r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rcía</w:t>
            </w:r>
          </w:p>
        </w:tc>
        <w:tc>
          <w:tcPr>
            <w:tcW w:w="1985" w:type="dxa"/>
            <w:vAlign w:val="center"/>
          </w:tcPr>
          <w:p w14:paraId="61D5719E" w14:textId="79123987" w:rsidR="001442A0" w:rsidRPr="00F0574E" w:rsidRDefault="001442A0" w:rsidP="001442A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Asistencia 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Técnica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O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ganiz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ación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Electoral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4749A28" w14:textId="038C4AB1" w:rsidR="001442A0" w:rsidRPr="00F0574E" w:rsidRDefault="001442A0" w:rsidP="001442A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Asistencia 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Técnica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O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ganiz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ación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Electoral</w:t>
            </w:r>
          </w:p>
        </w:tc>
        <w:tc>
          <w:tcPr>
            <w:tcW w:w="2126" w:type="dxa"/>
            <w:vAlign w:val="center"/>
          </w:tcPr>
          <w:p w14:paraId="184ACF9E" w14:textId="5CF32F9A" w:rsidR="001442A0" w:rsidRPr="00F0574E" w:rsidRDefault="001442A0" w:rsidP="001442A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Asistencia 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Técnica de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O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ganiz</w:t>
            </w:r>
            <w:r w:rsidRPr="00F0574E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 xml:space="preserve">ación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Electoral</w:t>
            </w:r>
          </w:p>
        </w:tc>
      </w:tr>
    </w:tbl>
    <w:p w14:paraId="1F14E52D" w14:textId="77777777" w:rsidR="001149A1" w:rsidRPr="004A561B" w:rsidRDefault="001149A1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sz w:val="20"/>
          <w:szCs w:val="20"/>
          <w:lang w:eastAsia="ar-SA"/>
        </w:rPr>
      </w:pPr>
    </w:p>
    <w:p w14:paraId="375B61DD" w14:textId="1A9ECA78" w:rsidR="00BF06F8" w:rsidRPr="004A561B" w:rsidRDefault="00BF06F8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En consecuencia, la Dirección Ejecutiva de Administración e Innovación </w:t>
      </w:r>
      <w:r w:rsidR="00DD3805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instruyó a la Coordinación de Recursos Humanos, quien es la unidad administrativa encargada de generar y entregar los recursos económicos de nómina e incentivos,</w:t>
      </w:r>
      <w:r w:rsidR="00333AB1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</w:t>
      </w:r>
      <w:r w:rsidR="00DD3805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la documentación soporte que respalda la instrucción de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otorg</w:t>
      </w:r>
      <w:r w:rsidR="00333AB1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ar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los incentivos a </w:t>
      </w:r>
      <w:r w:rsidR="009B1CD6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las personas 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integrantes del </w:t>
      </w:r>
      <w:r w:rsidR="009B1CD6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lastRenderedPageBreak/>
        <w:t>S</w:t>
      </w:r>
      <w:r w:rsidR="009C23D3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PEN de este Instituto</w:t>
      </w:r>
      <w:r w:rsidR="009B1CD6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que resultaron acreedor</w:t>
      </w:r>
      <w:r w:rsidR="009B1CD6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a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s, cuyos nombres se encuentran contenidos en la tabla anterior.</w:t>
      </w:r>
    </w:p>
    <w:p w14:paraId="5A60D81A" w14:textId="77777777" w:rsidR="00DD3805" w:rsidRPr="004A561B" w:rsidRDefault="00DD3805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</w:pPr>
    </w:p>
    <w:p w14:paraId="08FDFF53" w14:textId="12B2C868" w:rsidR="008B53D7" w:rsidRPr="00444AB4" w:rsidRDefault="00DD3805" w:rsidP="008B53D7">
      <w:pPr>
        <w:pStyle w:val="Sinespaciado"/>
        <w:jc w:val="both"/>
        <w:rPr>
          <w:rFonts w:ascii="Lucida Sans Unicode" w:eastAsia="Trebuchet MS" w:hAnsi="Lucida Sans Unicode" w:cs="Lucida Sans Unicode"/>
          <w:b/>
          <w:bCs/>
          <w:color w:val="09090A"/>
          <w:sz w:val="20"/>
          <w:szCs w:val="20"/>
          <w:lang w:val="es-MX" w:eastAsia="es-ES" w:bidi="es-ES"/>
        </w:rPr>
      </w:pPr>
      <w:r w:rsidRPr="004A561B">
        <w:rPr>
          <w:rFonts w:ascii="Lucida Sans Unicode" w:hAnsi="Lucida Sans Unicode" w:cs="Lucida Sans Unicode"/>
          <w:sz w:val="20"/>
          <w:szCs w:val="20"/>
        </w:rPr>
        <w:t xml:space="preserve">Cabe mencionar que </w:t>
      </w:r>
      <w:r w:rsidR="001442A0">
        <w:rPr>
          <w:rFonts w:ascii="Lucida Sans Unicode" w:hAnsi="Lucida Sans Unicode" w:cs="Lucida Sans Unicode"/>
          <w:sz w:val="20"/>
          <w:szCs w:val="20"/>
        </w:rPr>
        <w:t>desde 2022,</w:t>
      </w:r>
      <w:r w:rsidRPr="004A561B">
        <w:rPr>
          <w:rFonts w:ascii="Lucida Sans Unicode" w:hAnsi="Lucida Sans Unicode" w:cs="Lucida Sans Unicode"/>
          <w:sz w:val="20"/>
          <w:szCs w:val="20"/>
        </w:rPr>
        <w:t xml:space="preserve"> el IEPC</w:t>
      </w:r>
      <w:r w:rsidR="004A561B" w:rsidRPr="004A561B">
        <w:rPr>
          <w:rFonts w:ascii="Lucida Sans Unicode" w:hAnsi="Lucida Sans Unicode" w:cs="Lucida Sans Unicode"/>
          <w:sz w:val="20"/>
          <w:szCs w:val="20"/>
        </w:rPr>
        <w:t xml:space="preserve"> Jalisco</w:t>
      </w:r>
      <w:r w:rsidRPr="004A561B">
        <w:rPr>
          <w:rFonts w:ascii="Lucida Sans Unicode" w:hAnsi="Lucida Sans Unicode" w:cs="Lucida Sans Unicode"/>
          <w:sz w:val="20"/>
          <w:szCs w:val="20"/>
        </w:rPr>
        <w:t xml:space="preserve"> se procuró contar con presupuesto destinado a este incentivo. </w:t>
      </w:r>
      <w:r w:rsidRPr="004A561B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F07424" w:rsidRPr="004A561B">
        <w:rPr>
          <w:rFonts w:ascii="Lucida Sans Unicode" w:hAnsi="Lucida Sans Unicode" w:cs="Lucida Sans Unicode"/>
          <w:bCs/>
          <w:sz w:val="20"/>
          <w:szCs w:val="20"/>
        </w:rPr>
        <w:t>5</w:t>
      </w:r>
      <w:r w:rsidRPr="004A561B">
        <w:rPr>
          <w:rFonts w:ascii="Lucida Sans Unicode" w:hAnsi="Lucida Sans Unicode" w:cs="Lucida Sans Unicode"/>
          <w:bCs/>
          <w:sz w:val="20"/>
          <w:szCs w:val="20"/>
        </w:rPr>
        <w:t xml:space="preserve"> de e</w:t>
      </w:r>
      <w:r w:rsidR="001442A0">
        <w:rPr>
          <w:rFonts w:ascii="Lucida Sans Unicode" w:hAnsi="Lucida Sans Unicode" w:cs="Lucida Sans Unicode"/>
          <w:bCs/>
          <w:sz w:val="20"/>
          <w:szCs w:val="20"/>
        </w:rPr>
        <w:t>ne</w:t>
      </w:r>
      <w:r w:rsidRPr="004A561B">
        <w:rPr>
          <w:rFonts w:ascii="Lucida Sans Unicode" w:hAnsi="Lucida Sans Unicode" w:cs="Lucida Sans Unicode"/>
          <w:bCs/>
          <w:sz w:val="20"/>
          <w:szCs w:val="20"/>
        </w:rPr>
        <w:t>r</w:t>
      </w:r>
      <w:r w:rsidR="001442A0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4A561B">
        <w:rPr>
          <w:rFonts w:ascii="Lucida Sans Unicode" w:hAnsi="Lucida Sans Unicode" w:cs="Lucida Sans Unicode"/>
          <w:bCs/>
          <w:sz w:val="20"/>
          <w:szCs w:val="20"/>
        </w:rPr>
        <w:t xml:space="preserve"> de 202</w:t>
      </w:r>
      <w:r w:rsidR="001442A0">
        <w:rPr>
          <w:rFonts w:ascii="Lucida Sans Unicode" w:hAnsi="Lucida Sans Unicode" w:cs="Lucida Sans Unicode"/>
          <w:bCs/>
          <w:sz w:val="20"/>
          <w:szCs w:val="20"/>
        </w:rPr>
        <w:t>4</w:t>
      </w:r>
      <w:r w:rsidRPr="004A561B">
        <w:rPr>
          <w:rFonts w:ascii="Lucida Sans Unicode" w:hAnsi="Lucida Sans Unicode" w:cs="Lucida Sans Unicode"/>
          <w:bCs/>
          <w:sz w:val="20"/>
          <w:szCs w:val="20"/>
        </w:rPr>
        <w:t xml:space="preserve">, en sesión </w:t>
      </w:r>
      <w:r w:rsidR="001442A0">
        <w:rPr>
          <w:rFonts w:ascii="Lucida Sans Unicode" w:hAnsi="Lucida Sans Unicode" w:cs="Lucida Sans Unicode"/>
          <w:bCs/>
          <w:sz w:val="20"/>
          <w:szCs w:val="20"/>
        </w:rPr>
        <w:t>extra</w:t>
      </w:r>
      <w:r w:rsidRPr="004A561B">
        <w:rPr>
          <w:rFonts w:ascii="Lucida Sans Unicode" w:hAnsi="Lucida Sans Unicode" w:cs="Lucida Sans Unicode"/>
          <w:bCs/>
          <w:sz w:val="20"/>
          <w:szCs w:val="20"/>
        </w:rPr>
        <w:t xml:space="preserve">ordinaria celebrada por el Consejo General del Instituto Electoral, se emitió el acuerdo identificado con la clave </w:t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>IEPC-ACG-001/2024</w:t>
      </w:r>
      <w:r w:rsidR="008B53D7" w:rsidRPr="00577BA2">
        <w:rPr>
          <w:rStyle w:val="Refdenotaalpie"/>
          <w:rFonts w:ascii="Lucida Sans Unicode" w:hAnsi="Lucida Sans Unicode" w:cs="Lucida Sans Unicode"/>
          <w:bCs/>
          <w:sz w:val="20"/>
          <w:szCs w:val="20"/>
        </w:rPr>
        <w:footnoteReference w:id="2"/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>, mediante el cual se aprobó el presupuesto de egresos de este organismo electoral para el ejercicio fiscal de 2024,</w:t>
      </w:r>
      <w:r w:rsidR="008B53D7">
        <w:rPr>
          <w:rFonts w:ascii="Lucida Sans Unicode" w:hAnsi="Lucida Sans Unicode" w:cs="Lucida Sans Unicode"/>
          <w:bCs/>
          <w:sz w:val="20"/>
          <w:szCs w:val="20"/>
        </w:rPr>
        <w:t xml:space="preserve"> y que se vincula al acuerdo del anteproyecto </w:t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>identificado con la clave IEPC-ACG-0</w:t>
      </w:r>
      <w:r w:rsidR="008B53D7">
        <w:rPr>
          <w:rFonts w:ascii="Lucida Sans Unicode" w:hAnsi="Lucida Sans Unicode" w:cs="Lucida Sans Unicode"/>
          <w:bCs/>
          <w:sz w:val="20"/>
          <w:szCs w:val="20"/>
        </w:rPr>
        <w:t>45</w:t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>/202</w:t>
      </w:r>
      <w:r w:rsidR="008B53D7">
        <w:rPr>
          <w:rFonts w:ascii="Lucida Sans Unicode" w:hAnsi="Lucida Sans Unicode" w:cs="Lucida Sans Unicode"/>
          <w:bCs/>
          <w:sz w:val="20"/>
          <w:szCs w:val="20"/>
        </w:rPr>
        <w:t>3</w:t>
      </w:r>
      <w:r w:rsidR="008B53D7">
        <w:rPr>
          <w:rStyle w:val="Refdenotaalpie"/>
          <w:rFonts w:ascii="Lucida Sans Unicode" w:hAnsi="Lucida Sans Unicode" w:cs="Lucida Sans Unicode"/>
          <w:bCs/>
          <w:sz w:val="20"/>
          <w:szCs w:val="20"/>
        </w:rPr>
        <w:footnoteReference w:id="3"/>
      </w:r>
      <w:r w:rsidR="008B53D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en el cual se incluyó la partida presupuestal 1543</w:t>
      </w:r>
      <w:r w:rsidR="008B53D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 xml:space="preserve"> que podrá ser destinada para el otorgamiento de estímulos al personal del S</w:t>
      </w:r>
      <w:r w:rsidR="008B53D7">
        <w:rPr>
          <w:rFonts w:ascii="Lucida Sans Unicode" w:hAnsi="Lucida Sans Unicode" w:cs="Lucida Sans Unicode"/>
          <w:bCs/>
          <w:sz w:val="20"/>
          <w:szCs w:val="20"/>
        </w:rPr>
        <w:t>PEN</w:t>
      </w:r>
      <w:r w:rsidR="008B53D7" w:rsidRPr="00577BA2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A958DFD" w14:textId="1338D4A5" w:rsidR="00066D20" w:rsidRPr="004A561B" w:rsidRDefault="00066D20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</w:pPr>
    </w:p>
    <w:p w14:paraId="7E52D3DD" w14:textId="0CB0C719" w:rsidR="00E62AF7" w:rsidRPr="00F0574E" w:rsidRDefault="00333AB1" w:rsidP="004A561B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</w:pP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Como </w:t>
      </w:r>
      <w:r w:rsidR="00390171" w:rsidRPr="004A561B">
        <w:rPr>
          <w:rFonts w:ascii="Lucida Sans Unicode" w:eastAsia="Times New Roman" w:hAnsi="Lucida Sans Unicode" w:cs="Lucida Sans Unicode"/>
          <w:bCs/>
          <w:color w:val="000000"/>
          <w:sz w:val="20"/>
          <w:szCs w:val="20"/>
          <w:lang w:eastAsia="ar-SA"/>
        </w:rPr>
        <w:t>parte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</w:t>
      </w:r>
      <w:r w:rsidR="00390171"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de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 xml:space="preserve"> este informe, se presentan las evidencias documentales que soportan que los incentivos fueron entregados a los integrantes del SPEN acreedores al mismo</w:t>
      </w:r>
      <w:r w:rsidR="003C695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, así como copia simple del Acuerdo aprobado por el Órgano de Dirección de este Instituto</w:t>
      </w:r>
      <w:r w:rsidRPr="004A5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ar-SA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B974B9" w:rsidRPr="004A561B" w14:paraId="3F93D2FA" w14:textId="77777777" w:rsidTr="00925B93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6C425D5" w14:textId="77777777" w:rsidR="00F0574E" w:rsidRPr="00F0574E" w:rsidRDefault="00F0574E" w:rsidP="00F0574E">
            <w:pPr>
              <w:spacing w:after="0" w:line="240" w:lineRule="auto"/>
              <w:rPr>
                <w:rFonts w:ascii="Lucida Sans Unicode" w:hAnsi="Lucida Sans Unicode" w:cs="Lucida Sans Unicode"/>
                <w:b/>
                <w:sz w:val="14"/>
                <w:szCs w:val="14"/>
              </w:rPr>
            </w:pPr>
          </w:p>
          <w:p w14:paraId="630E8867" w14:textId="76169793" w:rsidR="00B974B9" w:rsidRPr="004A561B" w:rsidRDefault="00B974B9" w:rsidP="00F0574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A56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Guadalajara, Jalisco, a </w:t>
            </w:r>
            <w:r w:rsidR="003C6958" w:rsidRPr="008B53D7">
              <w:rPr>
                <w:rFonts w:ascii="Lucida Sans Unicode" w:hAnsi="Lucida Sans Unicode" w:cs="Lucida Sans Unicode"/>
                <w:b/>
                <w:sz w:val="20"/>
                <w:szCs w:val="20"/>
                <w:highlight w:val="yellow"/>
              </w:rPr>
              <w:t>15</w:t>
            </w:r>
            <w:r w:rsidRPr="004A56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</w:t>
            </w:r>
            <w:r w:rsidR="00A60101" w:rsidRPr="00A60101">
              <w:rPr>
                <w:rFonts w:ascii="Lucida Sans Unicode" w:hAnsi="Lucida Sans Unicode" w:cs="Lucida Sans Unicode"/>
                <w:b/>
                <w:sz w:val="20"/>
                <w:szCs w:val="20"/>
                <w:highlight w:val="yellow"/>
              </w:rPr>
              <w:t>julio</w:t>
            </w:r>
            <w:r w:rsidRPr="004A561B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202</w:t>
            </w:r>
            <w:r w:rsidR="008B53D7">
              <w:rPr>
                <w:rFonts w:ascii="Lucida Sans Unicode" w:hAnsi="Lucida Sans Unicode" w:cs="Lucida Sans Unicode"/>
                <w:b/>
                <w:sz w:val="20"/>
                <w:szCs w:val="20"/>
              </w:rPr>
              <w:t>4</w:t>
            </w:r>
          </w:p>
        </w:tc>
      </w:tr>
      <w:tr w:rsidR="00B974B9" w:rsidRPr="004A561B" w14:paraId="7C07303B" w14:textId="77777777" w:rsidTr="00925B93">
        <w:trPr>
          <w:jc w:val="center"/>
        </w:trPr>
        <w:tc>
          <w:tcPr>
            <w:tcW w:w="2500" w:type="pct"/>
            <w:shd w:val="clear" w:color="auto" w:fill="auto"/>
          </w:tcPr>
          <w:p w14:paraId="0D50EA99" w14:textId="77777777" w:rsidR="00B974B9" w:rsidRDefault="00B974B9" w:rsidP="00F0574E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74163D22" w14:textId="6FBEFF31" w:rsidR="008B53D7" w:rsidRPr="004A561B" w:rsidRDefault="008B53D7" w:rsidP="00F0574E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617C2372" w14:textId="77777777" w:rsidR="00B974B9" w:rsidRDefault="00B974B9" w:rsidP="00F0574E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40F59AA" w14:textId="77777777" w:rsidR="008B53D7" w:rsidRDefault="008B53D7" w:rsidP="00F0574E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3795771C" w14:textId="7268A859" w:rsidR="008B53D7" w:rsidRPr="004A561B" w:rsidRDefault="008B53D7" w:rsidP="00F0574E">
            <w:pPr>
              <w:spacing w:after="0" w:line="240" w:lineRule="auto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DD3805" w:rsidRPr="004A561B" w14:paraId="1C7213A2" w14:textId="77777777" w:rsidTr="00DD380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2AB78C3" w14:textId="213544CA" w:rsidR="00DD3805" w:rsidRPr="004A561B" w:rsidRDefault="00DD3805" w:rsidP="00F0574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A561B">
              <w:rPr>
                <w:rFonts w:ascii="Lucida Sans Unicode" w:hAnsi="Lucida Sans Unicode" w:cs="Lucida Sans Unicode"/>
                <w:b/>
                <w:sz w:val="20"/>
                <w:szCs w:val="20"/>
              </w:rPr>
              <w:t>Lic. Fernando Pérez Núñez</w:t>
            </w:r>
          </w:p>
          <w:p w14:paraId="12F0212C" w14:textId="77777777" w:rsidR="00DD3805" w:rsidRPr="004A561B" w:rsidRDefault="00DD3805" w:rsidP="00F0574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A561B">
              <w:rPr>
                <w:rFonts w:ascii="Lucida Sans Unicode" w:hAnsi="Lucida Sans Unicode" w:cs="Lucida Sans Unicode"/>
                <w:b/>
                <w:sz w:val="20"/>
                <w:szCs w:val="20"/>
              </w:rPr>
              <w:t>Director Ejecutivo de Administración e Innovación y</w:t>
            </w:r>
          </w:p>
          <w:p w14:paraId="774490C0" w14:textId="061C6C4A" w:rsidR="00DD3805" w:rsidRPr="004A561B" w:rsidRDefault="00DD3805" w:rsidP="00F0574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4A561B">
              <w:rPr>
                <w:rFonts w:ascii="Lucida Sans Unicode" w:hAnsi="Lucida Sans Unicode" w:cs="Lucida Sans Unicode"/>
                <w:b/>
                <w:sz w:val="20"/>
                <w:szCs w:val="20"/>
              </w:rPr>
              <w:t>Titular del Órgano de Enlace con el SPEN</w:t>
            </w:r>
          </w:p>
        </w:tc>
      </w:tr>
    </w:tbl>
    <w:p w14:paraId="7619485E" w14:textId="3655F168" w:rsidR="005C1D51" w:rsidRPr="00F0574E" w:rsidRDefault="005C1D51" w:rsidP="005C1D51">
      <w:pPr>
        <w:rPr>
          <w:rFonts w:ascii="Trebuchet MS" w:eastAsia="Times New Roman" w:hAnsi="Trebuchet MS" w:cs="Traditional Arabic"/>
          <w:bCs/>
          <w:sz w:val="10"/>
          <w:szCs w:val="10"/>
          <w:lang w:eastAsia="ar-SA"/>
        </w:rPr>
      </w:pPr>
    </w:p>
    <w:sectPr w:rsidR="005C1D51" w:rsidRPr="00F0574E" w:rsidSect="001149A1">
      <w:headerReference w:type="default" r:id="rId9"/>
      <w:footerReference w:type="even" r:id="rId10"/>
      <w:footerReference w:type="default" r:id="rId11"/>
      <w:pgSz w:w="12240" w:h="15840" w:code="1"/>
      <w:pgMar w:top="2552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0EB7" w14:textId="77777777" w:rsidR="00BF0000" w:rsidRDefault="00BF0000" w:rsidP="001149A1">
      <w:pPr>
        <w:spacing w:after="0" w:line="240" w:lineRule="auto"/>
      </w:pPr>
      <w:r>
        <w:separator/>
      </w:r>
    </w:p>
  </w:endnote>
  <w:endnote w:type="continuationSeparator" w:id="0">
    <w:p w14:paraId="44FCDA58" w14:textId="77777777" w:rsidR="00BF0000" w:rsidRDefault="00BF0000" w:rsidP="0011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9A3A" w14:textId="77777777" w:rsidR="00DC06F0" w:rsidRDefault="00A9497D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358719" w14:textId="77777777" w:rsidR="00DC06F0" w:rsidRDefault="00000000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2BA3" w14:textId="7938D9DC" w:rsidR="004A561B" w:rsidRPr="005C43C4" w:rsidRDefault="004A561B" w:rsidP="004A561B">
    <w:pPr>
      <w:pStyle w:val="Piedepgina"/>
      <w:jc w:val="right"/>
      <w:rPr>
        <w:rFonts w:ascii="Lucida Sans Unicode" w:hAnsi="Lucida Sans Unicode" w:cs="Lucida Sans Unicode"/>
        <w:sz w:val="16"/>
        <w:szCs w:val="16"/>
      </w:rPr>
    </w:pPr>
    <w:r>
      <w:rPr>
        <w:color w:val="5B9BD5" w:themeColor="accent1"/>
        <w:lang w:val="es-ES"/>
      </w:rPr>
      <w:tab/>
    </w:r>
    <w:r>
      <w:rPr>
        <w:color w:val="5B9BD5" w:themeColor="accent1"/>
        <w:lang w:val="es-ES"/>
      </w:rPr>
      <w:tab/>
    </w:r>
    <w:r>
      <w:rPr>
        <w:color w:val="5B9BD5" w:themeColor="accent1"/>
        <w:lang w:val="es-ES"/>
      </w:rPr>
      <w:tab/>
    </w:r>
    <w:sdt>
      <w:sdtPr>
        <w:id w:val="945736696"/>
        <w:docPartObj>
          <w:docPartGallery w:val="Page Numbers (Bottom of Page)"/>
          <w:docPartUnique/>
        </w:docPartObj>
      </w:sdtPr>
      <w:sdtEndPr>
        <w:rPr>
          <w:rFonts w:ascii="Lucida Sans Unicode" w:hAnsi="Lucida Sans Unicode" w:cs="Lucida Sans Unicode"/>
          <w:sz w:val="16"/>
          <w:szCs w:val="16"/>
        </w:rPr>
      </w:sdtEndPr>
      <w:sdtContent>
        <w:r w:rsidRPr="004A561B">
          <w:rPr>
            <w:noProof/>
            <w:u w:val="single"/>
            <w:lang w:eastAsia="es-MX"/>
          </w:rPr>
          <w:drawing>
            <wp:inline distT="0" distB="0" distL="0" distR="0" wp14:anchorId="4FDA8A89" wp14:editId="0E017899">
              <wp:extent cx="5612130" cy="130810"/>
              <wp:effectExtent l="0" t="0" r="0" b="2540"/>
              <wp:docPr id="2119160578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Lucida Sans Unicode" w:hAnsi="Lucida Sans Unicode" w:cs="Lucida Sans Unicode"/>
              <w:sz w:val="16"/>
              <w:szCs w:val="16"/>
            </w:rPr>
          </w:sdtEndPr>
          <w:sdtContent>
            <w:r w:rsidRPr="005C43C4">
              <w:rPr>
                <w:rFonts w:ascii="Lucida Sans Unicode" w:hAnsi="Lucida Sans Unicode" w:cs="Lucida Sans Unicode"/>
                <w:sz w:val="16"/>
                <w:szCs w:val="16"/>
                <w:lang w:val="es-ES"/>
              </w:rPr>
              <w:t xml:space="preserve">Página </w:t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3C695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7</w:t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5C43C4">
              <w:rPr>
                <w:rFonts w:ascii="Lucida Sans Unicode" w:hAnsi="Lucida Sans Unicode" w:cs="Lucida Sans Unicode"/>
                <w:sz w:val="16"/>
                <w:szCs w:val="16"/>
                <w:lang w:val="es-ES"/>
              </w:rPr>
              <w:t xml:space="preserve"> de </w:t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3C695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7</w:t>
            </w:r>
            <w:r w:rsidRPr="005C43C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49C00E0" w14:textId="77777777" w:rsidR="004A561B" w:rsidRPr="009B02AF" w:rsidRDefault="004A561B" w:rsidP="004A561B">
    <w:pPr>
      <w:pStyle w:val="Piedepgina"/>
    </w:pPr>
  </w:p>
  <w:p w14:paraId="67E5E064" w14:textId="7E7BF73F" w:rsidR="00DC06F0" w:rsidRPr="009B02AF" w:rsidRDefault="00000000" w:rsidP="004A561B">
    <w:pPr>
      <w:pStyle w:val="Piedepgina"/>
      <w:tabs>
        <w:tab w:val="left" w:pos="18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99AF" w14:textId="77777777" w:rsidR="00BF0000" w:rsidRDefault="00BF0000" w:rsidP="001149A1">
      <w:pPr>
        <w:spacing w:after="0" w:line="240" w:lineRule="auto"/>
      </w:pPr>
      <w:r>
        <w:separator/>
      </w:r>
    </w:p>
  </w:footnote>
  <w:footnote w:type="continuationSeparator" w:id="0">
    <w:p w14:paraId="54E98BC7" w14:textId="77777777" w:rsidR="00BF0000" w:rsidRDefault="00BF0000" w:rsidP="001149A1">
      <w:pPr>
        <w:spacing w:after="0" w:line="240" w:lineRule="auto"/>
      </w:pPr>
      <w:r>
        <w:continuationSeparator/>
      </w:r>
    </w:p>
  </w:footnote>
  <w:footnote w:id="1">
    <w:p w14:paraId="7102BF3C" w14:textId="77777777" w:rsidR="00E9526F" w:rsidRPr="00FA4E6D" w:rsidRDefault="00E9526F" w:rsidP="00E9526F">
      <w:pPr>
        <w:pStyle w:val="Textonotapie"/>
        <w:jc w:val="both"/>
        <w:rPr>
          <w:lang w:val="es-MX"/>
        </w:rPr>
      </w:pPr>
      <w:r w:rsidRPr="00D572B0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D572B0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t xml:space="preserve"> 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 xml:space="preserve">El acuerdo se publicó el 13 de enero de 2024, en el periódico oficial “El Estado de Jalisco”, consultable en el enlace: </w:t>
      </w:r>
      <w:r w:rsidRPr="008C250F">
        <w:rPr>
          <w:rFonts w:ascii="Lucida Sans Unicode" w:hAnsi="Lucida Sans Unicode" w:cs="Lucida Sans Unicode"/>
          <w:sz w:val="14"/>
          <w:szCs w:val="14"/>
          <w:lang w:val="es-MX"/>
        </w:rPr>
        <w:t>https://apiperiodico.jalisco.gob.mx/api/newspaper/getAsset?q=newspaper/22017/1711050764-2024-03-21-III.pdf</w:t>
      </w:r>
    </w:p>
  </w:footnote>
  <w:footnote w:id="2">
    <w:p w14:paraId="064267FB" w14:textId="77777777" w:rsidR="008B53D7" w:rsidRPr="00C17C46" w:rsidRDefault="008B53D7" w:rsidP="008B53D7">
      <w:pPr>
        <w:pStyle w:val="Textonotapie"/>
        <w:jc w:val="both"/>
        <w:rPr>
          <w:lang w:val="es-MX"/>
        </w:rPr>
      </w:pPr>
      <w:r w:rsidRPr="00D572B0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D572B0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t xml:space="preserve"> </w:t>
      </w:r>
      <w:r w:rsidRPr="00D572B0">
        <w:rPr>
          <w:rFonts w:ascii="Lucida Sans Unicode" w:hAnsi="Lucida Sans Unicode" w:cs="Lucida Sans Unicode"/>
          <w:sz w:val="14"/>
          <w:szCs w:val="14"/>
          <w:lang w:val="es-MX"/>
        </w:rPr>
        <w:t>El acuerdo se publicó el 13 de enero de 2024, en el periódico oficial “El Estado de Jalisco”, consultable en el enlace: https://apiperiodico.jalisco.gob.mx/api/newspaper/getAsset?q=newspaper/21781/1705091227-2024-01-13-V.pdf</w:t>
      </w:r>
    </w:p>
  </w:footnote>
  <w:footnote w:id="3">
    <w:p w14:paraId="3C9BB7D7" w14:textId="77777777" w:rsidR="008B53D7" w:rsidRPr="005B7805" w:rsidRDefault="008B53D7" w:rsidP="008B53D7">
      <w:pPr>
        <w:pStyle w:val="Textonotapie"/>
        <w:jc w:val="both"/>
        <w:rPr>
          <w:lang w:val="es-MX"/>
        </w:rPr>
      </w:pPr>
      <w:r w:rsidRPr="005B7805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footnoteRef/>
      </w:r>
      <w:r w:rsidRPr="005B7805">
        <w:rPr>
          <w:rFonts w:ascii="Lucida Sans Unicode" w:hAnsi="Lucida Sans Unicode" w:cs="Lucida Sans Unicode"/>
          <w:sz w:val="14"/>
          <w:szCs w:val="14"/>
          <w:vertAlign w:val="superscript"/>
          <w:lang w:val="es-MX"/>
        </w:rPr>
        <w:t xml:space="preserve"> 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>El acuerdo se publicó el 1</w:t>
      </w:r>
      <w:r>
        <w:rPr>
          <w:rFonts w:ascii="Lucida Sans Unicode" w:hAnsi="Lucida Sans Unicode" w:cs="Lucida Sans Unicode"/>
          <w:sz w:val="14"/>
          <w:szCs w:val="14"/>
          <w:lang w:val="es-MX"/>
        </w:rPr>
        <w:t>5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 xml:space="preserve"> de </w:t>
      </w:r>
      <w:r>
        <w:rPr>
          <w:rFonts w:ascii="Lucida Sans Unicode" w:hAnsi="Lucida Sans Unicode" w:cs="Lucida Sans Unicode"/>
          <w:sz w:val="14"/>
          <w:szCs w:val="14"/>
          <w:lang w:val="es-MX"/>
        </w:rPr>
        <w:t>agost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>o de 202</w:t>
      </w:r>
      <w:r>
        <w:rPr>
          <w:rFonts w:ascii="Lucida Sans Unicode" w:hAnsi="Lucida Sans Unicode" w:cs="Lucida Sans Unicode"/>
          <w:sz w:val="14"/>
          <w:szCs w:val="14"/>
          <w:lang w:val="es-MX"/>
        </w:rPr>
        <w:t>3</w:t>
      </w:r>
      <w:r w:rsidRPr="005B7805">
        <w:rPr>
          <w:rFonts w:ascii="Lucida Sans Unicode" w:hAnsi="Lucida Sans Unicode" w:cs="Lucida Sans Unicode"/>
          <w:sz w:val="14"/>
          <w:szCs w:val="14"/>
          <w:lang w:val="es-MX"/>
        </w:rPr>
        <w:t>, en el periódico oficial “El Estado de Jalisco”, consultable en el enlace: https://apiperiodico.jalisco.gob.mx/api/newspaper/getAsset?q=newspaper/21050/newspaper230815110753.pdf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F23184" w14:paraId="73DDB369" w14:textId="77777777" w:rsidTr="0044039F">
      <w:tc>
        <w:tcPr>
          <w:tcW w:w="4414" w:type="dxa"/>
        </w:tcPr>
        <w:p w14:paraId="41A64B4D" w14:textId="1FC53C62" w:rsidR="00F23184" w:rsidRDefault="004A561B" w:rsidP="00F23184">
          <w:pPr>
            <w:pStyle w:val="Encabezado"/>
          </w:pPr>
          <w:r w:rsidRPr="001A31D2">
            <w:rPr>
              <w:rFonts w:ascii="Arial" w:eastAsia="Calibri" w:hAnsi="Arial" w:cs="Arial"/>
              <w:noProof/>
              <w:kern w:val="2"/>
              <w:lang w:eastAsia="es-MX"/>
              <w14:ligatures w14:val="standardContextual"/>
            </w:rPr>
            <w:drawing>
              <wp:inline distT="0" distB="0" distL="0" distR="0" wp14:anchorId="6CAA4BD9" wp14:editId="5C2CB246">
                <wp:extent cx="1797710" cy="964096"/>
                <wp:effectExtent l="0" t="0" r="5715" b="1270"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EA17A4D" w14:textId="621131EC" w:rsidR="00F23184" w:rsidRPr="00617F49" w:rsidRDefault="00F23184" w:rsidP="00F2318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</w:tr>
  </w:tbl>
  <w:p w14:paraId="2A0B14F1" w14:textId="4D2C903D" w:rsidR="00CA4219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E3B"/>
    <w:multiLevelType w:val="hybridMultilevel"/>
    <w:tmpl w:val="82F2FA2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7CF7"/>
    <w:multiLevelType w:val="hybridMultilevel"/>
    <w:tmpl w:val="2F785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43864"/>
    <w:multiLevelType w:val="hybridMultilevel"/>
    <w:tmpl w:val="074AE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C54B5"/>
    <w:multiLevelType w:val="hybridMultilevel"/>
    <w:tmpl w:val="EE0A76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3844">
    <w:abstractNumId w:val="2"/>
  </w:num>
  <w:num w:numId="2" w16cid:durableId="2034261772">
    <w:abstractNumId w:val="3"/>
  </w:num>
  <w:num w:numId="3" w16cid:durableId="1049231690">
    <w:abstractNumId w:val="0"/>
  </w:num>
  <w:num w:numId="4" w16cid:durableId="117603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F5"/>
    <w:rsid w:val="00002021"/>
    <w:rsid w:val="00011A46"/>
    <w:rsid w:val="00026120"/>
    <w:rsid w:val="00030A4D"/>
    <w:rsid w:val="00055859"/>
    <w:rsid w:val="00066D20"/>
    <w:rsid w:val="00066F5B"/>
    <w:rsid w:val="0007126B"/>
    <w:rsid w:val="000733E1"/>
    <w:rsid w:val="000748EF"/>
    <w:rsid w:val="00077353"/>
    <w:rsid w:val="000C37B9"/>
    <w:rsid w:val="000C7CE8"/>
    <w:rsid w:val="000E5090"/>
    <w:rsid w:val="001007C5"/>
    <w:rsid w:val="00101148"/>
    <w:rsid w:val="00111A2A"/>
    <w:rsid w:val="001149A1"/>
    <w:rsid w:val="001226B1"/>
    <w:rsid w:val="00122A22"/>
    <w:rsid w:val="001442A0"/>
    <w:rsid w:val="00161E8C"/>
    <w:rsid w:val="00171E69"/>
    <w:rsid w:val="0018036F"/>
    <w:rsid w:val="001B3F7D"/>
    <w:rsid w:val="001B72B1"/>
    <w:rsid w:val="001C0C76"/>
    <w:rsid w:val="001C2A6B"/>
    <w:rsid w:val="001F69F6"/>
    <w:rsid w:val="002241F4"/>
    <w:rsid w:val="00225A64"/>
    <w:rsid w:val="00235B7E"/>
    <w:rsid w:val="00254F03"/>
    <w:rsid w:val="00256AFF"/>
    <w:rsid w:val="002A5836"/>
    <w:rsid w:val="002B34F5"/>
    <w:rsid w:val="002B4EE4"/>
    <w:rsid w:val="002B68C6"/>
    <w:rsid w:val="002D263B"/>
    <w:rsid w:val="00303954"/>
    <w:rsid w:val="00304EE4"/>
    <w:rsid w:val="00305566"/>
    <w:rsid w:val="00306927"/>
    <w:rsid w:val="0031394A"/>
    <w:rsid w:val="00333AB1"/>
    <w:rsid w:val="00347C91"/>
    <w:rsid w:val="00353687"/>
    <w:rsid w:val="003818B7"/>
    <w:rsid w:val="00390171"/>
    <w:rsid w:val="003A11DB"/>
    <w:rsid w:val="003B3CE3"/>
    <w:rsid w:val="003B46F1"/>
    <w:rsid w:val="003C26C6"/>
    <w:rsid w:val="003C3FB2"/>
    <w:rsid w:val="003C5163"/>
    <w:rsid w:val="003C688C"/>
    <w:rsid w:val="003C6958"/>
    <w:rsid w:val="003E2AC8"/>
    <w:rsid w:val="00427C58"/>
    <w:rsid w:val="0045518B"/>
    <w:rsid w:val="00465C75"/>
    <w:rsid w:val="00481814"/>
    <w:rsid w:val="00490E4C"/>
    <w:rsid w:val="004A561B"/>
    <w:rsid w:val="004D077C"/>
    <w:rsid w:val="004D5F83"/>
    <w:rsid w:val="004D77BF"/>
    <w:rsid w:val="004D785F"/>
    <w:rsid w:val="004E485A"/>
    <w:rsid w:val="004E528C"/>
    <w:rsid w:val="00502E0B"/>
    <w:rsid w:val="005130F7"/>
    <w:rsid w:val="00515725"/>
    <w:rsid w:val="00541B22"/>
    <w:rsid w:val="00563FE7"/>
    <w:rsid w:val="00566576"/>
    <w:rsid w:val="00586A85"/>
    <w:rsid w:val="005A21C8"/>
    <w:rsid w:val="005B3B47"/>
    <w:rsid w:val="005C1D51"/>
    <w:rsid w:val="005D3B24"/>
    <w:rsid w:val="005E2B3A"/>
    <w:rsid w:val="00627A61"/>
    <w:rsid w:val="0065553F"/>
    <w:rsid w:val="0065727E"/>
    <w:rsid w:val="00661248"/>
    <w:rsid w:val="00674E23"/>
    <w:rsid w:val="0067564E"/>
    <w:rsid w:val="0068193C"/>
    <w:rsid w:val="006842A2"/>
    <w:rsid w:val="006A17BF"/>
    <w:rsid w:val="006A254D"/>
    <w:rsid w:val="006A46D8"/>
    <w:rsid w:val="006B1C7B"/>
    <w:rsid w:val="006D483A"/>
    <w:rsid w:val="006D7730"/>
    <w:rsid w:val="0072639B"/>
    <w:rsid w:val="00747C9C"/>
    <w:rsid w:val="007601A4"/>
    <w:rsid w:val="0077001B"/>
    <w:rsid w:val="007807DC"/>
    <w:rsid w:val="00792FA4"/>
    <w:rsid w:val="007B1DC6"/>
    <w:rsid w:val="007F7053"/>
    <w:rsid w:val="008049B6"/>
    <w:rsid w:val="00825339"/>
    <w:rsid w:val="008329A1"/>
    <w:rsid w:val="00841B40"/>
    <w:rsid w:val="00866CA3"/>
    <w:rsid w:val="00876636"/>
    <w:rsid w:val="00883660"/>
    <w:rsid w:val="00893D63"/>
    <w:rsid w:val="008A2586"/>
    <w:rsid w:val="008B53D7"/>
    <w:rsid w:val="008B5989"/>
    <w:rsid w:val="008E0CF4"/>
    <w:rsid w:val="008F761F"/>
    <w:rsid w:val="00903A1F"/>
    <w:rsid w:val="00911E55"/>
    <w:rsid w:val="00913EDD"/>
    <w:rsid w:val="0092682D"/>
    <w:rsid w:val="00947F68"/>
    <w:rsid w:val="0096267E"/>
    <w:rsid w:val="00981202"/>
    <w:rsid w:val="00994F0F"/>
    <w:rsid w:val="009B1CD6"/>
    <w:rsid w:val="009C23D3"/>
    <w:rsid w:val="009E62FB"/>
    <w:rsid w:val="00A27096"/>
    <w:rsid w:val="00A31099"/>
    <w:rsid w:val="00A31B44"/>
    <w:rsid w:val="00A333B7"/>
    <w:rsid w:val="00A60101"/>
    <w:rsid w:val="00A62559"/>
    <w:rsid w:val="00A65004"/>
    <w:rsid w:val="00A730BD"/>
    <w:rsid w:val="00A83EF5"/>
    <w:rsid w:val="00A9497D"/>
    <w:rsid w:val="00AA3DA6"/>
    <w:rsid w:val="00AB20BD"/>
    <w:rsid w:val="00AB266B"/>
    <w:rsid w:val="00AB5095"/>
    <w:rsid w:val="00AC6163"/>
    <w:rsid w:val="00AD3F0A"/>
    <w:rsid w:val="00B177AD"/>
    <w:rsid w:val="00B37AE2"/>
    <w:rsid w:val="00B4733E"/>
    <w:rsid w:val="00B53C9B"/>
    <w:rsid w:val="00B57584"/>
    <w:rsid w:val="00B84281"/>
    <w:rsid w:val="00B95F3F"/>
    <w:rsid w:val="00B96DB8"/>
    <w:rsid w:val="00B974B9"/>
    <w:rsid w:val="00BA0F00"/>
    <w:rsid w:val="00BC4197"/>
    <w:rsid w:val="00BF0000"/>
    <w:rsid w:val="00BF06F8"/>
    <w:rsid w:val="00BF468B"/>
    <w:rsid w:val="00C20FD7"/>
    <w:rsid w:val="00C310A2"/>
    <w:rsid w:val="00C42405"/>
    <w:rsid w:val="00C53F13"/>
    <w:rsid w:val="00CA014F"/>
    <w:rsid w:val="00CA420B"/>
    <w:rsid w:val="00CB188B"/>
    <w:rsid w:val="00CB6C6F"/>
    <w:rsid w:val="00CC3587"/>
    <w:rsid w:val="00CC4ABD"/>
    <w:rsid w:val="00CD49F0"/>
    <w:rsid w:val="00CD5039"/>
    <w:rsid w:val="00D02644"/>
    <w:rsid w:val="00D06759"/>
    <w:rsid w:val="00D06B9A"/>
    <w:rsid w:val="00D50238"/>
    <w:rsid w:val="00DA731B"/>
    <w:rsid w:val="00DD3805"/>
    <w:rsid w:val="00E0479C"/>
    <w:rsid w:val="00E15B44"/>
    <w:rsid w:val="00E221BA"/>
    <w:rsid w:val="00E2274F"/>
    <w:rsid w:val="00E25B14"/>
    <w:rsid w:val="00E50866"/>
    <w:rsid w:val="00E6257C"/>
    <w:rsid w:val="00E62AF7"/>
    <w:rsid w:val="00E72F33"/>
    <w:rsid w:val="00E76BFB"/>
    <w:rsid w:val="00E848A4"/>
    <w:rsid w:val="00E84B69"/>
    <w:rsid w:val="00E85803"/>
    <w:rsid w:val="00E863BD"/>
    <w:rsid w:val="00E9526F"/>
    <w:rsid w:val="00EB61E8"/>
    <w:rsid w:val="00EB6627"/>
    <w:rsid w:val="00EC2D12"/>
    <w:rsid w:val="00ED07BB"/>
    <w:rsid w:val="00EE155D"/>
    <w:rsid w:val="00EF1C5B"/>
    <w:rsid w:val="00EF6178"/>
    <w:rsid w:val="00F014B1"/>
    <w:rsid w:val="00F0574E"/>
    <w:rsid w:val="00F07424"/>
    <w:rsid w:val="00F21DAA"/>
    <w:rsid w:val="00F23184"/>
    <w:rsid w:val="00F33BD4"/>
    <w:rsid w:val="00F44F67"/>
    <w:rsid w:val="00F509D5"/>
    <w:rsid w:val="00F52F7E"/>
    <w:rsid w:val="00F60EAD"/>
    <w:rsid w:val="00F61405"/>
    <w:rsid w:val="00F6696E"/>
    <w:rsid w:val="00F84323"/>
    <w:rsid w:val="00F95C5D"/>
    <w:rsid w:val="00FA17AD"/>
    <w:rsid w:val="00FA5B17"/>
    <w:rsid w:val="00FB0197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53C0B"/>
  <w15:chartTrackingRefBased/>
  <w15:docId w15:val="{ED810552-16EE-4FE0-A0D2-17FA33BA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14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9A1"/>
  </w:style>
  <w:style w:type="paragraph" w:styleId="Encabezado">
    <w:name w:val="header"/>
    <w:basedOn w:val="Normal"/>
    <w:link w:val="EncabezadoCar"/>
    <w:uiPriority w:val="99"/>
    <w:unhideWhenUsed/>
    <w:rsid w:val="00114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9A1"/>
  </w:style>
  <w:style w:type="character" w:styleId="Nmerodepgina">
    <w:name w:val="page number"/>
    <w:basedOn w:val="Fuentedeprrafopredeter"/>
    <w:rsid w:val="001149A1"/>
  </w:style>
  <w:style w:type="paragraph" w:styleId="Textonotapie">
    <w:name w:val="footnote text"/>
    <w:basedOn w:val="Normal"/>
    <w:link w:val="TextonotapieCar"/>
    <w:rsid w:val="001149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149A1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149A1"/>
    <w:rPr>
      <w:vertAlign w:val="superscript"/>
    </w:rPr>
  </w:style>
  <w:style w:type="paragraph" w:customStyle="1" w:styleId="Default">
    <w:name w:val="Default"/>
    <w:rsid w:val="004D0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4818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18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18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18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18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8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53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39"/>
    <w:rsid w:val="00F23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1D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1D51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7F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EECB-2C8E-402A-9359-12674C72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1880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Alberto Antonio Gonzalez Ocampo</cp:lastModifiedBy>
  <cp:revision>13</cp:revision>
  <cp:lastPrinted>2023-09-15T16:47:00Z</cp:lastPrinted>
  <dcterms:created xsi:type="dcterms:W3CDTF">2023-07-07T18:30:00Z</dcterms:created>
  <dcterms:modified xsi:type="dcterms:W3CDTF">2024-07-25T19:11:00Z</dcterms:modified>
</cp:coreProperties>
</file>