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7312" w14:textId="4D077C6C" w:rsidR="0087183C" w:rsidRPr="00BA26E1" w:rsidRDefault="0087183C" w:rsidP="007D4336">
      <w:pPr>
        <w:pStyle w:val="Default"/>
        <w:spacing w:line="276" w:lineRule="auto"/>
        <w:ind w:left="-567"/>
        <w:jc w:val="both"/>
        <w:rPr>
          <w:rFonts w:ascii="Trebuchet MS" w:hAnsi="Trebuchet MS" w:cs="Arial"/>
          <w:b/>
          <w:bCs/>
          <w:color w:val="auto"/>
        </w:rPr>
      </w:pPr>
      <w:bookmarkStart w:id="0" w:name="_Hlk133497790"/>
      <w:r w:rsidRPr="00BA26E1">
        <w:rPr>
          <w:rFonts w:ascii="Trebuchet MS" w:hAnsi="Trebuchet MS" w:cs="Arial"/>
          <w:b/>
          <w:bCs/>
          <w:color w:val="auto"/>
        </w:rPr>
        <w:t xml:space="preserve">RESOLUCIÓN DEL COMITÉ DE TRANSPARENCIA DEL INSTITUTO ELECTORAL Y DE PARTICIPACIÓN CIUDADANA DEL ESTADO DE JALISCO RELATIVA A LA SOLICITUD DE EJERCICIO DE DERECHOS ARCO, </w:t>
      </w:r>
      <w:r w:rsidR="00B142DB" w:rsidRPr="00BA26E1">
        <w:rPr>
          <w:rFonts w:ascii="Trebuchet MS" w:hAnsi="Trebuchet MS" w:cs="Arial"/>
          <w:b/>
          <w:bCs/>
          <w:color w:val="auto"/>
        </w:rPr>
        <w:t>IEPC-WEB</w:t>
      </w:r>
      <w:r w:rsidRPr="00BA26E1">
        <w:rPr>
          <w:rFonts w:ascii="Trebuchet MS" w:hAnsi="Trebuchet MS" w:cs="Arial"/>
          <w:b/>
          <w:bCs/>
          <w:color w:val="auto"/>
        </w:rPr>
        <w:t>-ARCO-005/2025.</w:t>
      </w:r>
    </w:p>
    <w:p w14:paraId="7282DE4A" w14:textId="493EACFF" w:rsidR="0087183C" w:rsidRPr="00BA26E1" w:rsidRDefault="0087183C" w:rsidP="007D4336">
      <w:pPr>
        <w:pStyle w:val="Default"/>
        <w:spacing w:line="276" w:lineRule="auto"/>
        <w:ind w:left="-567"/>
        <w:jc w:val="both"/>
        <w:rPr>
          <w:rFonts w:ascii="Trebuchet MS" w:hAnsi="Trebuchet MS" w:cs="Arial"/>
          <w:color w:val="auto"/>
        </w:rPr>
      </w:pPr>
    </w:p>
    <w:p w14:paraId="047F9300" w14:textId="77777777" w:rsidR="008F01E3" w:rsidRPr="007D4336" w:rsidRDefault="008F01E3" w:rsidP="007D4336">
      <w:pPr>
        <w:pStyle w:val="Default"/>
        <w:spacing w:line="276" w:lineRule="auto"/>
        <w:ind w:left="-567"/>
        <w:jc w:val="both"/>
        <w:rPr>
          <w:rFonts w:ascii="Trebuchet MS" w:hAnsi="Trebuchet MS" w:cs="Arial"/>
          <w:color w:val="auto"/>
          <w:sz w:val="22"/>
          <w:szCs w:val="22"/>
        </w:rPr>
      </w:pPr>
    </w:p>
    <w:p w14:paraId="2196AACE" w14:textId="49467D4D"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Vistos para resolver los autos del expediente citado al rubro</w:t>
      </w:r>
      <w:r w:rsidR="00CB3FCA" w:rsidRPr="00BA26E1">
        <w:rPr>
          <w:rFonts w:ascii="Trebuchet MS" w:hAnsi="Trebuchet MS" w:cs="Arial"/>
          <w:color w:val="auto"/>
        </w:rPr>
        <w:t xml:space="preserve"> superior derecho</w:t>
      </w:r>
      <w:r w:rsidRPr="00BA26E1">
        <w:rPr>
          <w:rFonts w:ascii="Trebuchet MS" w:hAnsi="Trebuchet MS" w:cs="Arial"/>
          <w:color w:val="auto"/>
        </w:rPr>
        <w:t xml:space="preserve">, formado con motivo de la solicitud de ejercicio de los derechos de acceso, rectificación, cancelación y oposición (ARCO). </w:t>
      </w:r>
    </w:p>
    <w:p w14:paraId="2C23664C" w14:textId="77777777" w:rsidR="0087183C" w:rsidRPr="00BA26E1" w:rsidRDefault="0087183C" w:rsidP="00BA26E1">
      <w:pPr>
        <w:pStyle w:val="Default"/>
        <w:spacing w:line="360" w:lineRule="auto"/>
        <w:ind w:left="-567"/>
        <w:jc w:val="center"/>
        <w:rPr>
          <w:rFonts w:ascii="Trebuchet MS" w:hAnsi="Trebuchet MS" w:cs="Arial"/>
          <w:b/>
          <w:bCs/>
          <w:color w:val="auto"/>
        </w:rPr>
      </w:pPr>
      <w:r w:rsidRPr="00BA26E1">
        <w:rPr>
          <w:rFonts w:ascii="Trebuchet MS" w:hAnsi="Trebuchet MS" w:cs="Arial"/>
          <w:b/>
          <w:bCs/>
          <w:color w:val="auto"/>
        </w:rPr>
        <w:t>ANTECEDENTES</w:t>
      </w:r>
    </w:p>
    <w:p w14:paraId="651833B2" w14:textId="77777777" w:rsidR="0087183C" w:rsidRPr="00BA26E1" w:rsidRDefault="0087183C" w:rsidP="00BA26E1">
      <w:pPr>
        <w:pStyle w:val="Default"/>
        <w:spacing w:line="360" w:lineRule="auto"/>
        <w:ind w:left="-567"/>
        <w:jc w:val="both"/>
        <w:rPr>
          <w:rFonts w:ascii="Trebuchet MS" w:hAnsi="Trebuchet MS" w:cs="Arial"/>
          <w:color w:val="auto"/>
        </w:rPr>
      </w:pPr>
    </w:p>
    <w:p w14:paraId="6C841571" w14:textId="679A5663"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 xml:space="preserve">Con fecha 08 ocho de mayo de 2023 dos mil veintitrés se tuvo por recibida su solicitud de </w:t>
      </w:r>
      <w:r w:rsidR="00CB3FCA" w:rsidRPr="00BA26E1">
        <w:rPr>
          <w:rFonts w:ascii="Trebuchet MS" w:hAnsi="Trebuchet MS" w:cs="Arial"/>
          <w:color w:val="auto"/>
        </w:rPr>
        <w:t>d</w:t>
      </w:r>
      <w:r w:rsidRPr="00BA26E1">
        <w:rPr>
          <w:rFonts w:ascii="Trebuchet MS" w:hAnsi="Trebuchet MS" w:cs="Arial"/>
          <w:color w:val="auto"/>
        </w:rPr>
        <w:t xml:space="preserve">erechos ARCO, en la modalidad de cancelación, a través del correo electrónico de la Dirección de Transparencia de este Instituto, mediante la cual se solicita lo siguiente: </w:t>
      </w:r>
    </w:p>
    <w:p w14:paraId="223791D4" w14:textId="77777777" w:rsidR="0087183C" w:rsidRPr="00BA26E1" w:rsidRDefault="0087183C" w:rsidP="00BA26E1">
      <w:pPr>
        <w:pStyle w:val="Default"/>
        <w:spacing w:line="360" w:lineRule="auto"/>
        <w:ind w:left="-567"/>
        <w:jc w:val="both"/>
        <w:rPr>
          <w:rFonts w:ascii="Trebuchet MS" w:hAnsi="Trebuchet MS" w:cs="Arial"/>
          <w:color w:val="auto"/>
        </w:rPr>
      </w:pPr>
    </w:p>
    <w:p w14:paraId="20CB6921" w14:textId="6009281F" w:rsidR="0087183C" w:rsidRPr="00BA26E1" w:rsidRDefault="0087183C" w:rsidP="00BA26E1">
      <w:pPr>
        <w:pStyle w:val="Default"/>
        <w:spacing w:line="360" w:lineRule="auto"/>
        <w:ind w:left="-567"/>
        <w:jc w:val="both"/>
        <w:rPr>
          <w:rFonts w:ascii="Trebuchet MS" w:hAnsi="Trebuchet MS" w:cs="Arial"/>
          <w:b/>
          <w:bCs/>
          <w:i/>
          <w:iCs/>
          <w:color w:val="auto"/>
        </w:rPr>
      </w:pPr>
      <w:r w:rsidRPr="00BA26E1">
        <w:rPr>
          <w:rFonts w:ascii="Trebuchet MS" w:hAnsi="Trebuchet MS" w:cs="Arial"/>
          <w:b/>
          <w:bCs/>
          <w:i/>
          <w:iCs/>
          <w:color w:val="auto"/>
        </w:rPr>
        <w:t>“SOLICITO LA ELIMINACION DE MIS DATOS DEL PADRON DE PROVEEDORES CLAVE IEEJ-06/0196, YA QUE HACE MUCHO TIEMPO QUE NO PATICIPO EN LOS CONCURSOS, NO DESEO PARTICIPAR EN EL FUTURO.” (Sic)</w:t>
      </w:r>
    </w:p>
    <w:p w14:paraId="368CE584" w14:textId="77777777" w:rsidR="0087183C" w:rsidRPr="00BA26E1" w:rsidRDefault="0087183C" w:rsidP="00BA26E1">
      <w:pPr>
        <w:pStyle w:val="Default"/>
        <w:spacing w:line="360" w:lineRule="auto"/>
        <w:ind w:left="-567"/>
        <w:jc w:val="both"/>
        <w:rPr>
          <w:rFonts w:ascii="Trebuchet MS" w:hAnsi="Trebuchet MS" w:cs="Arial"/>
          <w:color w:val="auto"/>
        </w:rPr>
      </w:pPr>
    </w:p>
    <w:p w14:paraId="564DBA37" w14:textId="77777777" w:rsidR="0087183C" w:rsidRPr="00BA26E1" w:rsidRDefault="0087183C" w:rsidP="00BA26E1">
      <w:pPr>
        <w:pStyle w:val="Default"/>
        <w:spacing w:line="360" w:lineRule="auto"/>
        <w:ind w:left="-567"/>
        <w:jc w:val="center"/>
        <w:rPr>
          <w:rFonts w:ascii="Trebuchet MS" w:hAnsi="Trebuchet MS" w:cs="Arial"/>
          <w:b/>
          <w:bCs/>
          <w:color w:val="auto"/>
        </w:rPr>
      </w:pPr>
      <w:r w:rsidRPr="00BA26E1">
        <w:rPr>
          <w:rFonts w:ascii="Trebuchet MS" w:hAnsi="Trebuchet MS" w:cs="Arial"/>
          <w:b/>
          <w:bCs/>
          <w:color w:val="auto"/>
        </w:rPr>
        <w:t>ADMISIÓN</w:t>
      </w:r>
    </w:p>
    <w:p w14:paraId="7EEDB1D5" w14:textId="77777777" w:rsidR="0087183C" w:rsidRPr="00BA26E1" w:rsidRDefault="0087183C" w:rsidP="00BA26E1">
      <w:pPr>
        <w:pStyle w:val="Default"/>
        <w:spacing w:line="360" w:lineRule="auto"/>
        <w:ind w:left="-567"/>
        <w:jc w:val="both"/>
        <w:rPr>
          <w:rFonts w:ascii="Trebuchet MS" w:hAnsi="Trebuchet MS" w:cs="Arial"/>
          <w:color w:val="auto"/>
        </w:rPr>
      </w:pPr>
    </w:p>
    <w:p w14:paraId="65782B16" w14:textId="5F28D9BA"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Una vez analizados los documentos presentados, la Dirección de Transparencia, Protección de Datos Personales y Archivo, de conformidad con el artículo 53.1 de la Ley</w:t>
      </w:r>
      <w:r w:rsidR="00CB3FCA" w:rsidRPr="00BA26E1">
        <w:rPr>
          <w:rFonts w:ascii="Trebuchet MS" w:hAnsi="Trebuchet MS" w:cs="Arial"/>
          <w:color w:val="auto"/>
        </w:rPr>
        <w:t xml:space="preserve"> de Protección de Datos Personales en Posesión de Sujetos Obligados del Estado de Jalisco y sus Municipios</w:t>
      </w:r>
      <w:r w:rsidR="00CB3FCA" w:rsidRPr="00BA26E1">
        <w:rPr>
          <w:rStyle w:val="Refdenotaalpie"/>
          <w:rFonts w:ascii="Trebuchet MS" w:hAnsi="Trebuchet MS" w:cs="Arial"/>
          <w:color w:val="auto"/>
        </w:rPr>
        <w:footnoteReference w:id="1"/>
      </w:r>
      <w:r w:rsidRPr="00BA26E1">
        <w:rPr>
          <w:rFonts w:ascii="Trebuchet MS" w:hAnsi="Trebuchet MS" w:cs="Arial"/>
          <w:color w:val="auto"/>
        </w:rPr>
        <w:t xml:space="preserve">, se </w:t>
      </w:r>
      <w:r w:rsidRPr="00BA26E1">
        <w:rPr>
          <w:rFonts w:ascii="Trebuchet MS" w:hAnsi="Trebuchet MS" w:cs="Arial"/>
          <w:b/>
          <w:bCs/>
          <w:color w:val="auto"/>
        </w:rPr>
        <w:t xml:space="preserve">admitió </w:t>
      </w:r>
      <w:r w:rsidRPr="00BA26E1">
        <w:rPr>
          <w:rFonts w:ascii="Trebuchet MS" w:hAnsi="Trebuchet MS" w:cs="Arial"/>
          <w:color w:val="auto"/>
        </w:rPr>
        <w:t xml:space="preserve">la solicitud de ejercicio de los derechos ARCO, asignándole el número de expediente </w:t>
      </w:r>
      <w:r w:rsidRPr="00BA26E1">
        <w:rPr>
          <w:rFonts w:ascii="Trebuchet MS" w:hAnsi="Trebuchet MS" w:cs="Arial"/>
          <w:b/>
          <w:bCs/>
          <w:color w:val="auto"/>
        </w:rPr>
        <w:t>WEB-ARCO-005/2023</w:t>
      </w:r>
      <w:r w:rsidR="00CB3FCA" w:rsidRPr="00BA26E1">
        <w:rPr>
          <w:rFonts w:ascii="Trebuchet MS" w:hAnsi="Trebuchet MS" w:cs="Arial"/>
          <w:b/>
          <w:bCs/>
          <w:color w:val="auto"/>
        </w:rPr>
        <w:t>.</w:t>
      </w:r>
    </w:p>
    <w:p w14:paraId="6672BF63" w14:textId="77777777" w:rsidR="0087183C" w:rsidRPr="00BA26E1" w:rsidRDefault="0087183C" w:rsidP="00BA26E1">
      <w:pPr>
        <w:pStyle w:val="Default"/>
        <w:spacing w:line="360" w:lineRule="auto"/>
        <w:jc w:val="both"/>
        <w:rPr>
          <w:rFonts w:ascii="Trebuchet MS" w:hAnsi="Trebuchet MS" w:cs="Arial"/>
          <w:color w:val="auto"/>
        </w:rPr>
      </w:pPr>
    </w:p>
    <w:p w14:paraId="5B251580" w14:textId="6DE38700"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 xml:space="preserve">Se notificó a través de correo electrónico al solicitante </w:t>
      </w:r>
      <w:r w:rsidR="00CB3FCA" w:rsidRPr="00BA26E1">
        <w:rPr>
          <w:rFonts w:ascii="Trebuchet MS" w:hAnsi="Trebuchet MS" w:cs="Arial"/>
          <w:color w:val="auto"/>
        </w:rPr>
        <w:t xml:space="preserve">la admisión </w:t>
      </w:r>
      <w:r w:rsidRPr="00BA26E1">
        <w:rPr>
          <w:rFonts w:ascii="Trebuchet MS" w:hAnsi="Trebuchet MS" w:cs="Arial"/>
          <w:color w:val="auto"/>
        </w:rPr>
        <w:t xml:space="preserve">de la solicitud </w:t>
      </w:r>
      <w:r w:rsidR="00CB3FCA" w:rsidRPr="00BA26E1">
        <w:rPr>
          <w:rFonts w:ascii="Trebuchet MS" w:hAnsi="Trebuchet MS" w:cs="Arial"/>
          <w:color w:val="auto"/>
        </w:rPr>
        <w:t xml:space="preserve">de </w:t>
      </w:r>
      <w:r w:rsidR="00CB3FCA" w:rsidRPr="00BA26E1">
        <w:rPr>
          <w:rFonts w:ascii="Trebuchet MS" w:hAnsi="Trebuchet MS" w:cs="Arial"/>
          <w:color w:val="auto"/>
        </w:rPr>
        <w:lastRenderedPageBreak/>
        <w:t xml:space="preserve">derechos </w:t>
      </w:r>
      <w:r w:rsidRPr="00BA26E1">
        <w:rPr>
          <w:rFonts w:ascii="Trebuchet MS" w:hAnsi="Trebuchet MS" w:cs="Arial"/>
          <w:color w:val="auto"/>
        </w:rPr>
        <w:t xml:space="preserve">(ARCO), en su modalidad </w:t>
      </w:r>
      <w:r w:rsidR="00CB3FCA" w:rsidRPr="00BA26E1">
        <w:rPr>
          <w:rFonts w:ascii="Trebuchet MS" w:hAnsi="Trebuchet MS" w:cs="Arial"/>
          <w:color w:val="auto"/>
        </w:rPr>
        <w:t xml:space="preserve">de cancelación </w:t>
      </w:r>
      <w:r w:rsidRPr="00BA26E1">
        <w:rPr>
          <w:rFonts w:ascii="Trebuchet MS" w:hAnsi="Trebuchet MS" w:cs="Arial"/>
          <w:color w:val="auto"/>
        </w:rPr>
        <w:t xml:space="preserve">el día </w:t>
      </w:r>
      <w:r w:rsidR="00CB3FCA" w:rsidRPr="00BA26E1">
        <w:rPr>
          <w:rFonts w:ascii="Trebuchet MS" w:hAnsi="Trebuchet MS" w:cs="Arial"/>
          <w:color w:val="auto"/>
        </w:rPr>
        <w:t>11</w:t>
      </w:r>
      <w:r w:rsidRPr="00BA26E1">
        <w:rPr>
          <w:rFonts w:ascii="Trebuchet MS" w:hAnsi="Trebuchet MS" w:cs="Arial"/>
          <w:color w:val="auto"/>
        </w:rPr>
        <w:t xml:space="preserve"> de </w:t>
      </w:r>
      <w:r w:rsidR="00CB3FCA" w:rsidRPr="00BA26E1">
        <w:rPr>
          <w:rFonts w:ascii="Trebuchet MS" w:hAnsi="Trebuchet MS" w:cs="Arial"/>
          <w:color w:val="auto"/>
        </w:rPr>
        <w:t>mayo</w:t>
      </w:r>
      <w:r w:rsidRPr="00BA26E1">
        <w:rPr>
          <w:rFonts w:ascii="Trebuchet MS" w:hAnsi="Trebuchet MS" w:cs="Arial"/>
          <w:color w:val="auto"/>
        </w:rPr>
        <w:t xml:space="preserve"> de 202</w:t>
      </w:r>
      <w:r w:rsidR="00CB3FCA" w:rsidRPr="00BA26E1">
        <w:rPr>
          <w:rFonts w:ascii="Trebuchet MS" w:hAnsi="Trebuchet MS" w:cs="Arial"/>
          <w:color w:val="auto"/>
        </w:rPr>
        <w:t>3</w:t>
      </w:r>
      <w:r w:rsidRPr="00BA26E1">
        <w:rPr>
          <w:rFonts w:ascii="Trebuchet MS" w:hAnsi="Trebuchet MS" w:cs="Arial"/>
          <w:color w:val="auto"/>
        </w:rPr>
        <w:t>.</w:t>
      </w:r>
    </w:p>
    <w:p w14:paraId="38B6B5DA" w14:textId="77777777" w:rsidR="0087183C" w:rsidRPr="00BA26E1" w:rsidRDefault="0087183C" w:rsidP="00BA26E1">
      <w:pPr>
        <w:pStyle w:val="Default"/>
        <w:spacing w:line="360" w:lineRule="auto"/>
        <w:ind w:left="-567"/>
        <w:jc w:val="both"/>
        <w:rPr>
          <w:rFonts w:ascii="Trebuchet MS" w:hAnsi="Trebuchet MS" w:cs="Arial"/>
          <w:color w:val="auto"/>
        </w:rPr>
      </w:pPr>
    </w:p>
    <w:p w14:paraId="546B4AAE" w14:textId="77777777" w:rsidR="0087183C" w:rsidRPr="00BA26E1" w:rsidRDefault="0087183C" w:rsidP="00BA26E1">
      <w:pPr>
        <w:pStyle w:val="Default"/>
        <w:spacing w:line="360" w:lineRule="auto"/>
        <w:ind w:left="-567"/>
        <w:jc w:val="center"/>
        <w:rPr>
          <w:rFonts w:ascii="Trebuchet MS" w:hAnsi="Trebuchet MS" w:cs="Arial"/>
          <w:b/>
          <w:bCs/>
          <w:color w:val="auto"/>
        </w:rPr>
      </w:pPr>
      <w:r w:rsidRPr="00BA26E1">
        <w:rPr>
          <w:rFonts w:ascii="Trebuchet MS" w:hAnsi="Trebuchet MS" w:cs="Arial"/>
          <w:b/>
          <w:bCs/>
          <w:color w:val="auto"/>
        </w:rPr>
        <w:t>CONSIDERANDOS</w:t>
      </w:r>
    </w:p>
    <w:p w14:paraId="331CD0ED" w14:textId="77777777" w:rsidR="0087183C" w:rsidRPr="00BA26E1" w:rsidRDefault="0087183C" w:rsidP="00BA26E1">
      <w:pPr>
        <w:pStyle w:val="Default"/>
        <w:spacing w:line="360" w:lineRule="auto"/>
        <w:ind w:left="-567"/>
        <w:jc w:val="both"/>
        <w:rPr>
          <w:rFonts w:ascii="Trebuchet MS" w:hAnsi="Trebuchet MS" w:cs="Arial"/>
          <w:color w:val="auto"/>
        </w:rPr>
      </w:pPr>
    </w:p>
    <w:p w14:paraId="7387D429" w14:textId="77777777"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3CE30E59" w14:textId="77777777" w:rsidR="0087183C" w:rsidRPr="00BA26E1" w:rsidRDefault="0087183C" w:rsidP="00BA26E1">
      <w:pPr>
        <w:pStyle w:val="Default"/>
        <w:spacing w:line="360" w:lineRule="auto"/>
        <w:ind w:left="-567"/>
        <w:jc w:val="both"/>
        <w:rPr>
          <w:rFonts w:ascii="Trebuchet MS" w:hAnsi="Trebuchet MS" w:cs="Arial"/>
          <w:color w:val="auto"/>
        </w:rPr>
      </w:pPr>
    </w:p>
    <w:p w14:paraId="6DAA4412" w14:textId="77777777"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Procedencia. Determinada la competencia del Comité de Transparencia para conocer y resolver el presente, se continúa con el análisis de la procedencia de la solicitud.</w:t>
      </w:r>
    </w:p>
    <w:p w14:paraId="38025B47" w14:textId="77777777" w:rsidR="0087183C" w:rsidRPr="00BA26E1" w:rsidRDefault="0087183C" w:rsidP="00BA26E1">
      <w:pPr>
        <w:pStyle w:val="Default"/>
        <w:spacing w:line="360" w:lineRule="auto"/>
        <w:ind w:left="-567"/>
        <w:jc w:val="both"/>
        <w:rPr>
          <w:rFonts w:ascii="Trebuchet MS" w:hAnsi="Trebuchet MS" w:cs="Arial"/>
          <w:color w:val="auto"/>
        </w:rPr>
      </w:pPr>
    </w:p>
    <w:p w14:paraId="2DA788AA" w14:textId="77777777" w:rsidR="00CB3FCA"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color w:val="auto"/>
        </w:rPr>
        <w:t xml:space="preserve">Derivada de una revisión exhaustiva en los archivos de la </w:t>
      </w:r>
      <w:r w:rsidR="00CB3FCA" w:rsidRPr="00BA26E1">
        <w:rPr>
          <w:rFonts w:ascii="Trebuchet MS" w:hAnsi="Trebuchet MS" w:cs="Arial"/>
          <w:color w:val="auto"/>
        </w:rPr>
        <w:t>Dirección Ejecutiva de Administración e Innovación, de advirtió lo siguiente:</w:t>
      </w:r>
    </w:p>
    <w:p w14:paraId="0B43F487" w14:textId="77777777" w:rsidR="0087183C" w:rsidRPr="00BA26E1" w:rsidRDefault="0087183C" w:rsidP="00BA26E1">
      <w:pPr>
        <w:pStyle w:val="Default"/>
        <w:spacing w:line="360" w:lineRule="auto"/>
        <w:ind w:left="-567"/>
        <w:jc w:val="both"/>
        <w:rPr>
          <w:rFonts w:ascii="Trebuchet MS" w:hAnsi="Trebuchet MS" w:cs="Arial"/>
          <w:i/>
          <w:iCs/>
          <w:color w:val="auto"/>
        </w:rPr>
      </w:pPr>
    </w:p>
    <w:p w14:paraId="22301B58" w14:textId="2873D728" w:rsidR="0087183C" w:rsidRPr="00BA26E1" w:rsidRDefault="00B142DB" w:rsidP="00BA26E1">
      <w:pPr>
        <w:pStyle w:val="Default"/>
        <w:spacing w:line="360" w:lineRule="auto"/>
        <w:ind w:left="-567"/>
        <w:jc w:val="both"/>
        <w:rPr>
          <w:rFonts w:ascii="Trebuchet MS" w:hAnsi="Trebuchet MS" w:cs="Arial"/>
          <w:i/>
          <w:iCs/>
          <w:color w:val="auto"/>
        </w:rPr>
      </w:pPr>
      <w:r w:rsidRPr="00BA26E1">
        <w:rPr>
          <w:rFonts w:ascii="Trebuchet MS" w:hAnsi="Trebuchet MS" w:cs="Arial"/>
          <w:i/>
          <w:iCs/>
          <w:color w:val="auto"/>
        </w:rPr>
        <w:t>“</w:t>
      </w:r>
      <w:r w:rsidR="00CB3FCA" w:rsidRPr="00BA26E1">
        <w:rPr>
          <w:rFonts w:ascii="Trebuchet MS" w:hAnsi="Trebuchet MS" w:cs="Arial"/>
          <w:i/>
          <w:iCs/>
          <w:color w:val="auto"/>
        </w:rPr>
        <w:t xml:space="preserve">Se acredita la existencia del proveedor </w:t>
      </w:r>
      <w:r w:rsidR="000F10C9">
        <w:rPr>
          <w:rFonts w:ascii="Trebuchet MS" w:hAnsi="Trebuchet MS" w:cs="Arial"/>
          <w:i/>
          <w:iCs/>
          <w:color w:val="auto"/>
        </w:rPr>
        <w:t>***********************</w:t>
      </w:r>
      <w:r w:rsidR="00CB3FCA" w:rsidRPr="00BA26E1">
        <w:rPr>
          <w:rFonts w:ascii="Trebuchet MS" w:hAnsi="Trebuchet MS" w:cs="Arial"/>
          <w:i/>
          <w:iCs/>
          <w:color w:val="auto"/>
        </w:rPr>
        <w:t xml:space="preserve"> con número IEEJ-06/0196, con domicilio en </w:t>
      </w:r>
      <w:r w:rsidR="000F10C9">
        <w:rPr>
          <w:rFonts w:ascii="Trebuchet MS" w:hAnsi="Trebuchet MS" w:cs="Arial"/>
          <w:i/>
          <w:iCs/>
          <w:color w:val="auto"/>
        </w:rPr>
        <w:t>**************</w:t>
      </w:r>
      <w:r w:rsidR="00CB3FCA" w:rsidRPr="00BA26E1">
        <w:rPr>
          <w:rFonts w:ascii="Trebuchet MS" w:hAnsi="Trebuchet MS" w:cs="Arial"/>
          <w:i/>
          <w:iCs/>
          <w:color w:val="auto"/>
        </w:rPr>
        <w:t xml:space="preserve">, </w:t>
      </w:r>
      <w:r w:rsidR="006F3137" w:rsidRPr="00BA26E1">
        <w:rPr>
          <w:rFonts w:ascii="Trebuchet MS" w:hAnsi="Trebuchet MS" w:cs="Arial"/>
          <w:i/>
          <w:iCs/>
          <w:color w:val="auto"/>
        </w:rPr>
        <w:t>dedicado a Seguros de vida, accidentes personales y daños en general; y a su vez se responde en sentido positivo a su solicitud</w:t>
      </w:r>
      <w:r w:rsidR="00CB3FCA" w:rsidRPr="00BA26E1">
        <w:rPr>
          <w:rFonts w:ascii="Trebuchet MS" w:hAnsi="Trebuchet MS" w:cs="Arial"/>
          <w:i/>
          <w:iCs/>
          <w:color w:val="auto"/>
        </w:rPr>
        <w:t xml:space="preserve">; </w:t>
      </w:r>
      <w:r w:rsidRPr="00BA26E1">
        <w:rPr>
          <w:rFonts w:ascii="Trebuchet MS" w:hAnsi="Trebuchet MS" w:cs="Arial"/>
          <w:i/>
          <w:iCs/>
          <w:color w:val="auto"/>
        </w:rPr>
        <w:t xml:space="preserve">…” </w:t>
      </w:r>
    </w:p>
    <w:p w14:paraId="394A616F" w14:textId="77777777" w:rsidR="00CB3FCA" w:rsidRPr="00BA26E1" w:rsidRDefault="00CB3FCA" w:rsidP="00BA26E1">
      <w:pPr>
        <w:pStyle w:val="Default"/>
        <w:spacing w:line="360" w:lineRule="auto"/>
        <w:ind w:left="-567"/>
        <w:jc w:val="both"/>
        <w:rPr>
          <w:rFonts w:ascii="Trebuchet MS" w:hAnsi="Trebuchet MS" w:cs="Arial"/>
          <w:color w:val="auto"/>
        </w:rPr>
      </w:pPr>
    </w:p>
    <w:p w14:paraId="2A95B96A" w14:textId="77777777" w:rsidR="0087183C" w:rsidRPr="00BA26E1" w:rsidRDefault="0087183C" w:rsidP="00BA26E1">
      <w:pPr>
        <w:pStyle w:val="Default"/>
        <w:spacing w:line="360" w:lineRule="auto"/>
        <w:ind w:left="-567"/>
        <w:jc w:val="center"/>
        <w:rPr>
          <w:rFonts w:ascii="Trebuchet MS" w:hAnsi="Trebuchet MS" w:cs="Arial"/>
          <w:b/>
          <w:bCs/>
          <w:color w:val="auto"/>
        </w:rPr>
      </w:pPr>
      <w:r w:rsidRPr="00BA26E1">
        <w:rPr>
          <w:rFonts w:ascii="Trebuchet MS" w:hAnsi="Trebuchet MS" w:cs="Arial"/>
          <w:b/>
          <w:bCs/>
          <w:color w:val="auto"/>
        </w:rPr>
        <w:t>RESOLUTIVOS</w:t>
      </w:r>
    </w:p>
    <w:p w14:paraId="4CF6E50F" w14:textId="77777777" w:rsidR="0087183C" w:rsidRPr="00BA26E1" w:rsidRDefault="0087183C" w:rsidP="00BA26E1">
      <w:pPr>
        <w:pStyle w:val="Default"/>
        <w:spacing w:line="360" w:lineRule="auto"/>
        <w:ind w:left="-567"/>
        <w:jc w:val="both"/>
        <w:rPr>
          <w:rFonts w:ascii="Trebuchet MS" w:hAnsi="Trebuchet MS" w:cs="Arial"/>
          <w:color w:val="auto"/>
        </w:rPr>
      </w:pPr>
    </w:p>
    <w:p w14:paraId="36BE4A37" w14:textId="79FA0BD7"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b/>
          <w:bCs/>
          <w:color w:val="auto"/>
        </w:rPr>
        <w:t>Primero</w:t>
      </w:r>
      <w:r w:rsidR="0088393C" w:rsidRPr="00BA26E1">
        <w:rPr>
          <w:rFonts w:ascii="Trebuchet MS" w:hAnsi="Trebuchet MS" w:cs="Arial"/>
          <w:b/>
          <w:bCs/>
          <w:color w:val="auto"/>
        </w:rPr>
        <w:t>.</w:t>
      </w:r>
      <w:r w:rsidRPr="00BA26E1">
        <w:rPr>
          <w:rFonts w:ascii="Trebuchet MS" w:hAnsi="Trebuchet MS" w:cs="Arial"/>
          <w:color w:val="auto"/>
        </w:rPr>
        <w:t xml:space="preserve"> </w:t>
      </w:r>
      <w:r w:rsidR="00E42FF3" w:rsidRPr="00BA26E1">
        <w:rPr>
          <w:rFonts w:ascii="Trebuchet MS" w:hAnsi="Trebuchet MS" w:cs="Arial"/>
          <w:color w:val="auto"/>
        </w:rPr>
        <w:t>En términos de los artículos 46.1, fracción III, 59.1 y 60 de la Ley de Protección de Datos Personales en Posesión de Sujetos Obligados del Estado de Jalisco y sus Municipios s</w:t>
      </w:r>
      <w:r w:rsidRPr="00BA26E1">
        <w:rPr>
          <w:rFonts w:ascii="Trebuchet MS" w:hAnsi="Trebuchet MS" w:cs="Arial"/>
          <w:color w:val="auto"/>
        </w:rPr>
        <w:t>e declara procedente la solicitud de ejercicio de los derechos ARCO, en su modalidad de</w:t>
      </w:r>
      <w:r w:rsidR="00CB3FCA" w:rsidRPr="00BA26E1">
        <w:rPr>
          <w:rFonts w:ascii="Trebuchet MS" w:hAnsi="Trebuchet MS" w:cs="Arial"/>
          <w:color w:val="auto"/>
        </w:rPr>
        <w:t xml:space="preserve"> cancelación</w:t>
      </w:r>
      <w:r w:rsidRPr="00BA26E1">
        <w:rPr>
          <w:rFonts w:ascii="Trebuchet MS" w:hAnsi="Trebuchet MS" w:cs="Arial"/>
          <w:color w:val="auto"/>
        </w:rPr>
        <w:t xml:space="preserve">. </w:t>
      </w:r>
    </w:p>
    <w:p w14:paraId="3D31EAAF" w14:textId="77777777" w:rsidR="0087183C" w:rsidRPr="00BA26E1" w:rsidRDefault="0087183C" w:rsidP="00BA26E1">
      <w:pPr>
        <w:pStyle w:val="Default"/>
        <w:spacing w:line="360" w:lineRule="auto"/>
        <w:ind w:left="-567"/>
        <w:jc w:val="both"/>
        <w:rPr>
          <w:rFonts w:ascii="Trebuchet MS" w:hAnsi="Trebuchet MS" w:cs="Arial"/>
          <w:color w:val="auto"/>
        </w:rPr>
      </w:pPr>
    </w:p>
    <w:p w14:paraId="3F051916" w14:textId="2AA41ABE"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b/>
          <w:bCs/>
          <w:color w:val="auto"/>
        </w:rPr>
        <w:t>Segundo.</w:t>
      </w:r>
      <w:r w:rsidRPr="00BA26E1">
        <w:rPr>
          <w:rFonts w:ascii="Trebuchet MS" w:hAnsi="Trebuchet MS" w:cs="Arial"/>
          <w:color w:val="auto"/>
        </w:rPr>
        <w:t xml:space="preserve"> Una vez que el solicitante acredite ser el titular de los derechos, hágase efectivo el ejercicio de los derecho ARCO, de conformidad a</w:t>
      </w:r>
      <w:r w:rsidR="00975640" w:rsidRPr="00BA26E1">
        <w:rPr>
          <w:rFonts w:ascii="Trebuchet MS" w:hAnsi="Trebuchet MS" w:cs="Arial"/>
          <w:color w:val="auto"/>
        </w:rPr>
        <w:t xml:space="preserve"> </w:t>
      </w:r>
      <w:r w:rsidRPr="00BA26E1">
        <w:rPr>
          <w:rFonts w:ascii="Trebuchet MS" w:hAnsi="Trebuchet MS" w:cs="Arial"/>
          <w:color w:val="auto"/>
        </w:rPr>
        <w:t>l</w:t>
      </w:r>
      <w:r w:rsidR="00975640" w:rsidRPr="00BA26E1">
        <w:rPr>
          <w:rFonts w:ascii="Trebuchet MS" w:hAnsi="Trebuchet MS" w:cs="Arial"/>
          <w:color w:val="auto"/>
        </w:rPr>
        <w:t xml:space="preserve">os </w:t>
      </w:r>
      <w:r w:rsidRPr="00BA26E1">
        <w:rPr>
          <w:rFonts w:ascii="Trebuchet MS" w:hAnsi="Trebuchet MS" w:cs="Arial"/>
          <w:color w:val="auto"/>
        </w:rPr>
        <w:t>artículo</w:t>
      </w:r>
      <w:r w:rsidR="00975640" w:rsidRPr="00BA26E1">
        <w:rPr>
          <w:rFonts w:ascii="Trebuchet MS" w:hAnsi="Trebuchet MS" w:cs="Arial"/>
          <w:color w:val="auto"/>
        </w:rPr>
        <w:t xml:space="preserve">s </w:t>
      </w:r>
      <w:r w:rsidRPr="00BA26E1">
        <w:rPr>
          <w:rFonts w:ascii="Trebuchet MS" w:hAnsi="Trebuchet MS" w:cs="Arial"/>
          <w:color w:val="auto"/>
        </w:rPr>
        <w:t>48.1</w:t>
      </w:r>
      <w:r w:rsidR="004F1AEB" w:rsidRPr="00BA26E1">
        <w:rPr>
          <w:rFonts w:ascii="Trebuchet MS" w:hAnsi="Trebuchet MS" w:cs="Arial"/>
          <w:color w:val="auto"/>
        </w:rPr>
        <w:t xml:space="preserve">, </w:t>
      </w:r>
      <w:r w:rsidR="00707265" w:rsidRPr="00BA26E1">
        <w:rPr>
          <w:rFonts w:ascii="Trebuchet MS" w:hAnsi="Trebuchet MS" w:cs="Arial"/>
          <w:color w:val="auto"/>
        </w:rPr>
        <w:t>48.</w:t>
      </w:r>
      <w:r w:rsidRPr="00BA26E1">
        <w:rPr>
          <w:rFonts w:ascii="Trebuchet MS" w:hAnsi="Trebuchet MS" w:cs="Arial"/>
          <w:color w:val="auto"/>
        </w:rPr>
        <w:t>4</w:t>
      </w:r>
      <w:r w:rsidR="004F1AEB" w:rsidRPr="00BA26E1">
        <w:rPr>
          <w:rFonts w:ascii="Trebuchet MS" w:hAnsi="Trebuchet MS" w:cs="Arial"/>
          <w:color w:val="auto"/>
        </w:rPr>
        <w:t xml:space="preserve"> </w:t>
      </w:r>
      <w:r w:rsidR="00975640" w:rsidRPr="00BA26E1">
        <w:rPr>
          <w:rFonts w:ascii="Trebuchet MS" w:hAnsi="Trebuchet MS" w:cs="Arial"/>
          <w:color w:val="auto"/>
        </w:rPr>
        <w:t>d</w:t>
      </w:r>
      <w:r w:rsidRPr="00BA26E1">
        <w:rPr>
          <w:rFonts w:ascii="Trebuchet MS" w:hAnsi="Trebuchet MS" w:cs="Arial"/>
          <w:color w:val="auto"/>
        </w:rPr>
        <w:t xml:space="preserve">e </w:t>
      </w:r>
      <w:r w:rsidRPr="00BA26E1">
        <w:rPr>
          <w:rFonts w:ascii="Trebuchet MS" w:hAnsi="Trebuchet MS" w:cs="Arial"/>
          <w:color w:val="auto"/>
        </w:rPr>
        <w:lastRenderedPageBreak/>
        <w:t>la Ley de Protección de Datos Personales en Posesión de Sujetos Obligados del Estado de Jalisco y sus Municipios; y los lineamientos Quinto, Vigésimo Tercero, párrafo tercero y Vigésimo Cuarto de los Lineamientos para la Homologación del Ejercicio de Derechos Arco que deberán Observar los Sujetos Obligados Previstos por la Ley de Protección de Datos Personales en Posesión de Sujetos Obligados del Estado de Jalisco y sus Municipios</w:t>
      </w:r>
      <w:r w:rsidR="00497C58" w:rsidRPr="00BA26E1">
        <w:rPr>
          <w:rStyle w:val="Refdenotaalpie"/>
          <w:rFonts w:ascii="Trebuchet MS" w:hAnsi="Trebuchet MS" w:cs="Arial"/>
          <w:color w:val="auto"/>
        </w:rPr>
        <w:footnoteReference w:id="2"/>
      </w:r>
      <w:r w:rsidR="00FE7B75" w:rsidRPr="00BA26E1">
        <w:rPr>
          <w:rFonts w:ascii="Trebuchet MS" w:hAnsi="Trebuchet MS" w:cs="Arial"/>
          <w:color w:val="auto"/>
        </w:rPr>
        <w:t>.</w:t>
      </w:r>
      <w:r w:rsidRPr="00BA26E1">
        <w:rPr>
          <w:rFonts w:ascii="Trebuchet MS" w:hAnsi="Trebuchet MS" w:cs="Arial"/>
          <w:color w:val="auto"/>
        </w:rPr>
        <w:t xml:space="preserve"> </w:t>
      </w:r>
    </w:p>
    <w:p w14:paraId="41A02ED8" w14:textId="77777777" w:rsidR="0087183C" w:rsidRPr="00BA26E1" w:rsidRDefault="0087183C" w:rsidP="00BA26E1">
      <w:pPr>
        <w:pStyle w:val="Default"/>
        <w:spacing w:line="360" w:lineRule="auto"/>
        <w:ind w:left="-567"/>
        <w:jc w:val="both"/>
        <w:rPr>
          <w:rFonts w:ascii="Trebuchet MS" w:hAnsi="Trebuchet MS" w:cs="Arial"/>
          <w:color w:val="auto"/>
        </w:rPr>
      </w:pPr>
    </w:p>
    <w:p w14:paraId="3931E3BE" w14:textId="77777777"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b/>
          <w:bCs/>
          <w:color w:val="auto"/>
        </w:rPr>
        <w:t>Tercero.</w:t>
      </w:r>
      <w:r w:rsidRPr="00BA26E1">
        <w:rPr>
          <w:rFonts w:ascii="Trebuchet MS" w:hAnsi="Trebuchet MS" w:cs="Arial"/>
          <w:color w:val="auto"/>
        </w:rPr>
        <w:t xml:space="preserve"> Notifíquese por correo electrónico al solicitante.</w:t>
      </w:r>
    </w:p>
    <w:p w14:paraId="49FAD09B" w14:textId="77777777" w:rsidR="0087183C" w:rsidRPr="00BA26E1" w:rsidRDefault="0087183C" w:rsidP="00BA26E1">
      <w:pPr>
        <w:pStyle w:val="Default"/>
        <w:spacing w:line="360" w:lineRule="auto"/>
        <w:ind w:left="-567"/>
        <w:jc w:val="both"/>
        <w:rPr>
          <w:rFonts w:ascii="Trebuchet MS" w:hAnsi="Trebuchet MS" w:cs="Arial"/>
          <w:color w:val="auto"/>
        </w:rPr>
      </w:pPr>
    </w:p>
    <w:p w14:paraId="4BF0A82E" w14:textId="2C1FDBAE" w:rsidR="0087183C" w:rsidRPr="00BA26E1" w:rsidRDefault="0087183C" w:rsidP="00BA26E1">
      <w:pPr>
        <w:pStyle w:val="Default"/>
        <w:spacing w:line="360" w:lineRule="auto"/>
        <w:ind w:left="-567"/>
        <w:jc w:val="both"/>
        <w:rPr>
          <w:rFonts w:ascii="Trebuchet MS" w:hAnsi="Trebuchet MS" w:cs="Arial"/>
          <w:color w:val="auto"/>
        </w:rPr>
      </w:pPr>
      <w:r w:rsidRPr="00BA26E1">
        <w:rPr>
          <w:rFonts w:ascii="Trebuchet MS" w:hAnsi="Trebuchet MS" w:cs="Arial"/>
          <w:b/>
          <w:bCs/>
          <w:color w:val="auto"/>
        </w:rPr>
        <w:t>Cuarto.</w:t>
      </w:r>
      <w:r w:rsidRPr="00BA26E1">
        <w:rPr>
          <w:rFonts w:ascii="Trebuchet MS" w:hAnsi="Trebuchet MS" w:cs="Arial"/>
          <w:color w:val="auto"/>
        </w:rPr>
        <w:t xml:space="preserve"> En su oportunidad, archívese el expediente como asunto concluido. </w:t>
      </w:r>
    </w:p>
    <w:p w14:paraId="0E02345D" w14:textId="77777777" w:rsidR="00E14103" w:rsidRPr="00BA26E1" w:rsidRDefault="00E14103" w:rsidP="00BA26E1">
      <w:pPr>
        <w:pStyle w:val="Default"/>
        <w:spacing w:line="360" w:lineRule="auto"/>
        <w:ind w:left="-567"/>
        <w:jc w:val="both"/>
        <w:rPr>
          <w:rFonts w:ascii="Trebuchet MS" w:hAnsi="Trebuchet MS" w:cs="Arial"/>
          <w:color w:val="auto"/>
        </w:rPr>
      </w:pPr>
    </w:p>
    <w:p w14:paraId="5293B857" w14:textId="70BD924E" w:rsidR="00E14103" w:rsidRPr="00BA26E1" w:rsidRDefault="00E14103" w:rsidP="00BA26E1">
      <w:pPr>
        <w:pStyle w:val="Default"/>
        <w:spacing w:line="360" w:lineRule="auto"/>
        <w:ind w:left="-567"/>
        <w:jc w:val="center"/>
        <w:rPr>
          <w:rFonts w:ascii="Trebuchet MS" w:hAnsi="Trebuchet MS" w:cs="Arial"/>
          <w:color w:val="auto"/>
        </w:rPr>
      </w:pPr>
      <w:r w:rsidRPr="00BA26E1">
        <w:rPr>
          <w:rFonts w:ascii="Trebuchet MS" w:hAnsi="Trebuchet MS" w:cs="Arial"/>
          <w:color w:val="auto"/>
        </w:rPr>
        <w:t>Guadalajara Jalisco, a los 18 dieciocho días del mes de mayo de 2023 dos mil veintitrés.</w:t>
      </w:r>
    </w:p>
    <w:p w14:paraId="03A49FDA" w14:textId="77777777" w:rsidR="00E14103" w:rsidRPr="00BA26E1" w:rsidRDefault="00E14103" w:rsidP="00BA26E1">
      <w:pPr>
        <w:pStyle w:val="Default"/>
        <w:spacing w:line="360" w:lineRule="auto"/>
        <w:ind w:left="-567"/>
        <w:jc w:val="center"/>
        <w:rPr>
          <w:rFonts w:ascii="Trebuchet MS" w:hAnsi="Trebuchet MS" w:cs="Arial"/>
          <w:color w:val="auto"/>
        </w:rPr>
      </w:pPr>
    </w:p>
    <w:p w14:paraId="3BE9444A" w14:textId="446B9258" w:rsidR="00E14103" w:rsidRPr="00BA26E1" w:rsidRDefault="00E14103" w:rsidP="007D4336">
      <w:pPr>
        <w:pStyle w:val="Default"/>
        <w:spacing w:line="276" w:lineRule="auto"/>
        <w:ind w:left="-567"/>
        <w:jc w:val="center"/>
        <w:rPr>
          <w:rFonts w:ascii="Trebuchet MS" w:hAnsi="Trebuchet MS" w:cs="Arial"/>
          <w:b/>
          <w:bCs/>
          <w:color w:val="auto"/>
        </w:rPr>
      </w:pPr>
      <w:r w:rsidRPr="00BA26E1">
        <w:rPr>
          <w:rFonts w:ascii="Trebuchet MS" w:hAnsi="Trebuchet MS" w:cs="Arial"/>
          <w:b/>
          <w:bCs/>
          <w:color w:val="auto"/>
        </w:rPr>
        <w:t>Comité de Transparencia.</w:t>
      </w:r>
    </w:p>
    <w:p w14:paraId="5F84DCE8" w14:textId="77777777" w:rsidR="00E14103" w:rsidRPr="00BA26E1" w:rsidRDefault="00E14103" w:rsidP="007D4336">
      <w:pPr>
        <w:pStyle w:val="Default"/>
        <w:spacing w:line="276" w:lineRule="auto"/>
        <w:ind w:left="-567"/>
        <w:jc w:val="center"/>
        <w:rPr>
          <w:rFonts w:ascii="Trebuchet MS" w:hAnsi="Trebuchet MS" w:cs="Arial"/>
          <w:b/>
          <w:bCs/>
          <w:color w:val="auto"/>
        </w:rPr>
      </w:pPr>
    </w:p>
    <w:p w14:paraId="4B00E5B8" w14:textId="77777777" w:rsidR="00E14103" w:rsidRPr="00BA26E1" w:rsidRDefault="00E14103" w:rsidP="007D4336">
      <w:pPr>
        <w:pStyle w:val="Default"/>
        <w:spacing w:line="276" w:lineRule="auto"/>
        <w:ind w:left="-567"/>
        <w:rPr>
          <w:rFonts w:ascii="Trebuchet MS" w:hAnsi="Trebuchet MS" w:cs="Arial"/>
          <w:b/>
          <w:bCs/>
          <w:color w:val="auto"/>
        </w:rPr>
      </w:pPr>
    </w:p>
    <w:p w14:paraId="63383680" w14:textId="40EAD7D6" w:rsidR="00E14103" w:rsidRPr="00BA26E1" w:rsidRDefault="00E14103" w:rsidP="007D4336">
      <w:pPr>
        <w:widowControl/>
        <w:suppressAutoHyphens w:val="0"/>
        <w:spacing w:line="276" w:lineRule="auto"/>
        <w:jc w:val="center"/>
        <w:rPr>
          <w:rFonts w:ascii="Trebuchet MS" w:eastAsia="Calibri" w:hAnsi="Trebuchet MS" w:cs="Arial"/>
          <w:b/>
          <w:bCs/>
          <w:kern w:val="0"/>
          <w:lang w:val="es-MX" w:eastAsia="en-US"/>
        </w:rPr>
      </w:pPr>
      <w:r w:rsidRPr="00BA26E1">
        <w:rPr>
          <w:rFonts w:ascii="Trebuchet MS" w:hAnsi="Trebuchet MS" w:cs="Arial"/>
          <w:b/>
          <w:bCs/>
        </w:rPr>
        <w:softHyphen/>
      </w:r>
      <w:r w:rsidRPr="00BA26E1">
        <w:rPr>
          <w:rFonts w:ascii="Trebuchet MS" w:hAnsi="Trebuchet MS" w:cs="Arial"/>
          <w:b/>
          <w:bCs/>
        </w:rPr>
        <w:softHyphen/>
      </w:r>
      <w:r w:rsidRPr="00BA26E1">
        <w:rPr>
          <w:rFonts w:ascii="Trebuchet MS" w:hAnsi="Trebuchet MS" w:cs="Arial"/>
          <w:b/>
          <w:bCs/>
        </w:rPr>
        <w:softHyphen/>
      </w:r>
      <w:r w:rsidRPr="00BA26E1">
        <w:rPr>
          <w:rFonts w:ascii="Trebuchet MS" w:hAnsi="Trebuchet MS" w:cs="Arial"/>
          <w:b/>
          <w:bCs/>
        </w:rPr>
        <w:softHyphen/>
      </w:r>
      <w:r w:rsidRPr="00BA26E1">
        <w:rPr>
          <w:rFonts w:ascii="Trebuchet MS" w:hAnsi="Trebuchet MS" w:cs="Arial"/>
          <w:b/>
          <w:bCs/>
        </w:rPr>
        <w:softHyphen/>
      </w:r>
      <w:r w:rsidRPr="00BA26E1">
        <w:rPr>
          <w:rFonts w:ascii="Trebuchet MS" w:eastAsia="Calibri" w:hAnsi="Trebuchet MS" w:cs="Arial"/>
          <w:b/>
          <w:bCs/>
          <w:kern w:val="0"/>
          <w:lang w:val="es-MX" w:eastAsia="en-US"/>
        </w:rPr>
        <w:t>______________________________________</w:t>
      </w:r>
    </w:p>
    <w:p w14:paraId="698B16A7" w14:textId="6513CE41" w:rsidR="00E14103" w:rsidRPr="00BA26E1" w:rsidRDefault="00E14103" w:rsidP="007D4336">
      <w:pPr>
        <w:pStyle w:val="Default"/>
        <w:spacing w:line="276" w:lineRule="auto"/>
        <w:ind w:left="-567"/>
        <w:jc w:val="center"/>
        <w:rPr>
          <w:rFonts w:ascii="Trebuchet MS" w:hAnsi="Trebuchet MS" w:cs="Arial"/>
          <w:b/>
          <w:bCs/>
          <w:color w:val="auto"/>
        </w:rPr>
      </w:pPr>
      <w:r w:rsidRPr="00BA26E1">
        <w:rPr>
          <w:rFonts w:ascii="Trebuchet MS" w:hAnsi="Trebuchet MS" w:cs="Arial"/>
          <w:b/>
          <w:bCs/>
          <w:color w:val="auto"/>
        </w:rPr>
        <w:t>Paula Ramírez Höhne</w:t>
      </w:r>
    </w:p>
    <w:p w14:paraId="2BF3760F" w14:textId="3604DD70" w:rsidR="007D4336" w:rsidRPr="00BA26E1" w:rsidRDefault="00E14103" w:rsidP="007D4336">
      <w:pPr>
        <w:pStyle w:val="Default"/>
        <w:spacing w:line="276" w:lineRule="auto"/>
        <w:ind w:left="-567"/>
        <w:jc w:val="center"/>
        <w:rPr>
          <w:rFonts w:ascii="Trebuchet MS" w:hAnsi="Trebuchet MS" w:cs="Arial"/>
          <w:color w:val="auto"/>
        </w:rPr>
      </w:pPr>
      <w:r w:rsidRPr="00BA26E1">
        <w:rPr>
          <w:rFonts w:ascii="Trebuchet MS" w:hAnsi="Trebuchet MS" w:cs="Arial"/>
          <w:color w:val="auto"/>
        </w:rPr>
        <w:t>Presidenta del Comité</w:t>
      </w:r>
    </w:p>
    <w:p w14:paraId="46A2795B" w14:textId="77777777" w:rsidR="00E14103" w:rsidRPr="00BA26E1" w:rsidRDefault="00E14103" w:rsidP="007D4336">
      <w:pPr>
        <w:widowControl/>
        <w:suppressAutoHyphens w:val="0"/>
        <w:spacing w:line="276" w:lineRule="auto"/>
        <w:rPr>
          <w:rFonts w:ascii="Trebuchet MS" w:hAnsi="Trebuchet MS" w:cs="Arial"/>
        </w:rPr>
      </w:pPr>
    </w:p>
    <w:p w14:paraId="5B26891F" w14:textId="7E82522E" w:rsidR="00E14103" w:rsidRPr="00BA26E1" w:rsidRDefault="00E14103" w:rsidP="007D4336">
      <w:pPr>
        <w:widowControl/>
        <w:suppressAutoHyphens w:val="0"/>
        <w:spacing w:line="276" w:lineRule="auto"/>
        <w:rPr>
          <w:rFonts w:ascii="Trebuchet MS" w:eastAsia="Calibri" w:hAnsi="Trebuchet MS" w:cs="Arial"/>
          <w:b/>
          <w:bCs/>
          <w:kern w:val="0"/>
          <w:lang w:val="es-MX" w:eastAsia="en-US"/>
        </w:rPr>
      </w:pPr>
      <w:r w:rsidRPr="00BA26E1">
        <w:rPr>
          <w:rFonts w:ascii="Trebuchet MS" w:hAnsi="Trebuchet MS" w:cs="Arial"/>
        </w:rPr>
        <w:t xml:space="preserve">  </w:t>
      </w:r>
      <w:r w:rsidRPr="00BA26E1">
        <w:rPr>
          <w:rFonts w:ascii="Trebuchet MS" w:eastAsia="Calibri" w:hAnsi="Trebuchet MS" w:cs="Arial"/>
          <w:b/>
          <w:bCs/>
          <w:kern w:val="0"/>
          <w:lang w:val="es-MX" w:eastAsia="en-US"/>
        </w:rPr>
        <w:t>__________________________                   __________________________</w:t>
      </w:r>
    </w:p>
    <w:p w14:paraId="59B7FE52" w14:textId="37271DC6" w:rsidR="00E14103" w:rsidRPr="00BA26E1" w:rsidRDefault="004444C5" w:rsidP="007D4336">
      <w:pPr>
        <w:pStyle w:val="Default"/>
        <w:spacing w:line="276" w:lineRule="auto"/>
        <w:ind w:left="-567"/>
        <w:jc w:val="center"/>
        <w:rPr>
          <w:rFonts w:ascii="Trebuchet MS" w:hAnsi="Trebuchet MS" w:cs="Arial"/>
          <w:b/>
          <w:bCs/>
          <w:color w:val="auto"/>
        </w:rPr>
      </w:pPr>
      <w:r>
        <w:rPr>
          <w:rFonts w:ascii="Trebuchet MS" w:hAnsi="Trebuchet MS" w:cs="Arial"/>
          <w:b/>
          <w:bCs/>
          <w:color w:val="auto"/>
        </w:rPr>
        <w:t xml:space="preserve">         </w:t>
      </w:r>
      <w:r w:rsidR="00E14103" w:rsidRPr="00BA26E1">
        <w:rPr>
          <w:rFonts w:ascii="Trebuchet MS" w:hAnsi="Trebuchet MS" w:cs="Arial"/>
          <w:b/>
          <w:bCs/>
          <w:color w:val="auto"/>
        </w:rPr>
        <w:t>Eduardo Meza Rincón                                         Alma Fabiola del Rosario</w:t>
      </w:r>
    </w:p>
    <w:p w14:paraId="7A23C482" w14:textId="5932316A" w:rsidR="00E14103" w:rsidRPr="00BA26E1" w:rsidRDefault="004444C5" w:rsidP="007D4336">
      <w:pPr>
        <w:pStyle w:val="Default"/>
        <w:spacing w:line="276" w:lineRule="auto"/>
        <w:ind w:left="-567"/>
        <w:jc w:val="center"/>
        <w:rPr>
          <w:rFonts w:ascii="Trebuchet MS" w:hAnsi="Trebuchet MS" w:cs="Arial"/>
          <w:b/>
          <w:bCs/>
          <w:color w:val="auto"/>
        </w:rPr>
      </w:pPr>
      <w:r>
        <w:rPr>
          <w:rFonts w:ascii="Trebuchet MS" w:hAnsi="Trebuchet MS" w:cs="Arial"/>
          <w:color w:val="auto"/>
        </w:rPr>
        <w:t xml:space="preserve">      </w:t>
      </w:r>
      <w:r w:rsidR="00E14103" w:rsidRPr="00BA26E1">
        <w:rPr>
          <w:rFonts w:ascii="Trebuchet MS" w:hAnsi="Trebuchet MS" w:cs="Arial"/>
          <w:color w:val="auto"/>
        </w:rPr>
        <w:t>Contralor General</w:t>
      </w:r>
      <w:r w:rsidR="00E14103" w:rsidRPr="00BA26E1">
        <w:rPr>
          <w:rFonts w:ascii="Trebuchet MS" w:hAnsi="Trebuchet MS" w:cs="Arial"/>
          <w:b/>
          <w:bCs/>
          <w:color w:val="auto"/>
        </w:rPr>
        <w:t xml:space="preserve">                                                     Rosas Villalobos</w:t>
      </w:r>
    </w:p>
    <w:p w14:paraId="0A5AB6AB" w14:textId="0753938A" w:rsidR="00D2082D" w:rsidRPr="00BA26E1" w:rsidRDefault="00E14103" w:rsidP="007D4336">
      <w:pPr>
        <w:pStyle w:val="Default"/>
        <w:spacing w:line="276" w:lineRule="auto"/>
        <w:ind w:left="-567"/>
        <w:jc w:val="center"/>
        <w:rPr>
          <w:rFonts w:ascii="Trebuchet MS" w:hAnsi="Trebuchet MS" w:cs="Arial"/>
          <w:color w:val="auto"/>
        </w:rPr>
      </w:pPr>
      <w:r w:rsidRPr="00BA26E1">
        <w:rPr>
          <w:rFonts w:ascii="Trebuchet MS" w:hAnsi="Trebuchet MS" w:cs="Arial"/>
          <w:color w:val="auto"/>
        </w:rPr>
        <w:t xml:space="preserve">                                                                         </w:t>
      </w:r>
      <w:r w:rsidR="004444C5">
        <w:rPr>
          <w:rFonts w:ascii="Trebuchet MS" w:hAnsi="Trebuchet MS" w:cs="Arial"/>
          <w:color w:val="auto"/>
        </w:rPr>
        <w:t xml:space="preserve">       </w:t>
      </w:r>
      <w:r w:rsidRPr="00BA26E1">
        <w:rPr>
          <w:rFonts w:ascii="Trebuchet MS" w:hAnsi="Trebuchet MS" w:cs="Arial"/>
          <w:color w:val="auto"/>
        </w:rPr>
        <w:t xml:space="preserve">  Secretaria del Comité</w:t>
      </w:r>
      <w:bookmarkEnd w:id="0"/>
    </w:p>
    <w:sectPr w:rsidR="00D2082D" w:rsidRPr="00BA26E1">
      <w:headerReference w:type="default" r:id="rId7"/>
      <w:footerReference w:type="default" r:id="rId8"/>
      <w:pgSz w:w="12240" w:h="15840"/>
      <w:pgMar w:top="2268" w:right="1701" w:bottom="993" w:left="1701" w:header="62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6FE6" w14:textId="77777777" w:rsidR="0087183C" w:rsidRDefault="0087183C" w:rsidP="0087183C">
      <w:r>
        <w:separator/>
      </w:r>
    </w:p>
  </w:endnote>
  <w:endnote w:type="continuationSeparator" w:id="0">
    <w:p w14:paraId="5D1C7D1C" w14:textId="77777777" w:rsidR="0087183C" w:rsidRDefault="0087183C" w:rsidP="0087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E311" w14:textId="77777777" w:rsidR="00BB1622" w:rsidRPr="00A9038C" w:rsidRDefault="0087183C" w:rsidP="00BB1622">
    <w:pPr>
      <w:widowControl/>
      <w:pBdr>
        <w:top w:val="nil"/>
        <w:left w:val="nil"/>
        <w:bottom w:val="nil"/>
        <w:right w:val="nil"/>
        <w:between w:val="nil"/>
      </w:pBdr>
      <w:tabs>
        <w:tab w:val="left" w:pos="975"/>
        <w:tab w:val="center" w:pos="4419"/>
        <w:tab w:val="right" w:pos="8838"/>
      </w:tabs>
      <w:rPr>
        <w:rFonts w:ascii="Trebuchet MS" w:eastAsia="Calibri" w:hAnsi="Trebuchet MS" w:cs="Calibri"/>
        <w:b/>
        <w:color w:val="000000"/>
        <w:sz w:val="14"/>
        <w:szCs w:val="16"/>
      </w:rPr>
    </w:pPr>
    <w:r>
      <w:rPr>
        <w:rFonts w:ascii="Trebuchet MS" w:eastAsia="Calibri" w:hAnsi="Trebuchet MS" w:cs="Calibri"/>
        <w:b/>
        <w:color w:val="000000"/>
        <w:sz w:val="14"/>
        <w:szCs w:val="16"/>
      </w:rPr>
      <w:t>FRV/cfp</w:t>
    </w:r>
    <w:r>
      <w:rPr>
        <w:rFonts w:ascii="Trebuchet MS" w:eastAsia="Calibri" w:hAnsi="Trebuchet MS" w:cs="Calibri"/>
        <w:b/>
        <w:color w:val="000000"/>
        <w:sz w:val="14"/>
        <w:szCs w:val="16"/>
      </w:rPr>
      <w:tab/>
    </w:r>
    <w:r>
      <w:rPr>
        <w:rFonts w:ascii="Trebuchet MS" w:eastAsia="Calibri" w:hAnsi="Trebuchet MS" w:cs="Calibri"/>
        <w:b/>
        <w:color w:val="000000"/>
        <w:sz w:val="14"/>
        <w:szCs w:val="16"/>
      </w:rPr>
      <w:tab/>
      <w:t xml:space="preserve">                                                                                                                                                                  </w:t>
    </w:r>
    <w:r>
      <w:rPr>
        <w:rFonts w:ascii="Trebuchet MS" w:eastAsia="Trebuchet MS" w:hAnsi="Trebuchet MS" w:cs="Trebuchet MS"/>
        <w:color w:val="000000"/>
        <w:sz w:val="14"/>
        <w:szCs w:val="14"/>
      </w:rPr>
      <w:t xml:space="preserve">Página </w:t>
    </w:r>
    <w:r>
      <w:rPr>
        <w:rFonts w:ascii="Trebuchet MS" w:eastAsia="Trebuchet MS" w:hAnsi="Trebuchet MS" w:cs="Trebuchet MS"/>
        <w:b/>
        <w:color w:val="000000"/>
        <w:sz w:val="14"/>
        <w:szCs w:val="14"/>
      </w:rPr>
      <w:fldChar w:fldCharType="begin"/>
    </w:r>
    <w:r>
      <w:rPr>
        <w:rFonts w:ascii="Trebuchet MS" w:eastAsia="Trebuchet MS" w:hAnsi="Trebuchet MS" w:cs="Trebuchet MS"/>
        <w:b/>
        <w:color w:val="000000"/>
        <w:sz w:val="14"/>
        <w:szCs w:val="14"/>
      </w:rPr>
      <w:instrText>PAGE</w:instrText>
    </w:r>
    <w:r>
      <w:rPr>
        <w:rFonts w:ascii="Trebuchet MS" w:eastAsia="Trebuchet MS" w:hAnsi="Trebuchet MS" w:cs="Trebuchet MS"/>
        <w:b/>
        <w:color w:val="000000"/>
        <w:sz w:val="14"/>
        <w:szCs w:val="14"/>
      </w:rPr>
      <w:fldChar w:fldCharType="separate"/>
    </w:r>
    <w:r>
      <w:rPr>
        <w:rFonts w:ascii="Trebuchet MS" w:eastAsia="Trebuchet MS" w:hAnsi="Trebuchet MS" w:cs="Trebuchet MS"/>
        <w:b/>
        <w:noProof/>
        <w:color w:val="000000"/>
        <w:sz w:val="14"/>
        <w:szCs w:val="14"/>
      </w:rPr>
      <w:t>3</w:t>
    </w:r>
    <w:r>
      <w:rPr>
        <w:rFonts w:ascii="Trebuchet MS" w:eastAsia="Trebuchet MS" w:hAnsi="Trebuchet MS" w:cs="Trebuchet MS"/>
        <w:b/>
        <w:color w:val="000000"/>
        <w:sz w:val="14"/>
        <w:szCs w:val="14"/>
      </w:rPr>
      <w:fldChar w:fldCharType="end"/>
    </w:r>
    <w:r>
      <w:rPr>
        <w:rFonts w:ascii="Trebuchet MS" w:eastAsia="Trebuchet MS" w:hAnsi="Trebuchet MS" w:cs="Trebuchet MS"/>
        <w:color w:val="000000"/>
        <w:sz w:val="14"/>
        <w:szCs w:val="14"/>
      </w:rPr>
      <w:t xml:space="preserve"> de </w:t>
    </w:r>
    <w:r>
      <w:rPr>
        <w:rFonts w:ascii="Trebuchet MS" w:eastAsia="Trebuchet MS" w:hAnsi="Trebuchet MS" w:cs="Trebuchet MS"/>
        <w:b/>
        <w:color w:val="000000"/>
        <w:sz w:val="14"/>
        <w:szCs w:val="14"/>
      </w:rPr>
      <w:fldChar w:fldCharType="begin"/>
    </w:r>
    <w:r>
      <w:rPr>
        <w:rFonts w:ascii="Trebuchet MS" w:eastAsia="Trebuchet MS" w:hAnsi="Trebuchet MS" w:cs="Trebuchet MS"/>
        <w:b/>
        <w:color w:val="000000"/>
        <w:sz w:val="14"/>
        <w:szCs w:val="14"/>
      </w:rPr>
      <w:instrText>NUMPAGES</w:instrText>
    </w:r>
    <w:r>
      <w:rPr>
        <w:rFonts w:ascii="Trebuchet MS" w:eastAsia="Trebuchet MS" w:hAnsi="Trebuchet MS" w:cs="Trebuchet MS"/>
        <w:b/>
        <w:color w:val="000000"/>
        <w:sz w:val="14"/>
        <w:szCs w:val="14"/>
      </w:rPr>
      <w:fldChar w:fldCharType="separate"/>
    </w:r>
    <w:r>
      <w:rPr>
        <w:rFonts w:ascii="Trebuchet MS" w:eastAsia="Trebuchet MS" w:hAnsi="Trebuchet MS" w:cs="Trebuchet MS"/>
        <w:b/>
        <w:noProof/>
        <w:color w:val="000000"/>
        <w:sz w:val="14"/>
        <w:szCs w:val="14"/>
      </w:rPr>
      <w:t>3</w:t>
    </w:r>
    <w:r>
      <w:rPr>
        <w:rFonts w:ascii="Trebuchet MS" w:eastAsia="Trebuchet MS" w:hAnsi="Trebuchet MS" w:cs="Trebuchet MS"/>
        <w:b/>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AEDA" w14:textId="77777777" w:rsidR="0087183C" w:rsidRDefault="0087183C" w:rsidP="0087183C">
      <w:r>
        <w:separator/>
      </w:r>
    </w:p>
  </w:footnote>
  <w:footnote w:type="continuationSeparator" w:id="0">
    <w:p w14:paraId="1A1B3C4A" w14:textId="77777777" w:rsidR="0087183C" w:rsidRDefault="0087183C" w:rsidP="0087183C">
      <w:r>
        <w:continuationSeparator/>
      </w:r>
    </w:p>
  </w:footnote>
  <w:footnote w:id="1">
    <w:p w14:paraId="5A3135C2" w14:textId="7E034B75" w:rsidR="00CB3FCA" w:rsidRPr="00CB3FCA" w:rsidRDefault="00CB3FCA" w:rsidP="007D4336">
      <w:pPr>
        <w:pStyle w:val="Textonotapie"/>
        <w:ind w:left="-567"/>
        <w:jc w:val="both"/>
        <w:rPr>
          <w:rFonts w:ascii="Trebuchet MS" w:hAnsi="Trebuchet MS"/>
          <w:sz w:val="14"/>
          <w:szCs w:val="14"/>
          <w:lang w:val="es-MX"/>
        </w:rPr>
      </w:pPr>
      <w:bookmarkStart w:id="1" w:name="_Hlk133497781"/>
      <w:bookmarkStart w:id="2" w:name="_Hlk133497782"/>
      <w:r w:rsidRPr="00CB3FCA">
        <w:rPr>
          <w:rStyle w:val="Refdenotaalpie"/>
          <w:rFonts w:ascii="Trebuchet MS" w:hAnsi="Trebuchet MS"/>
          <w:sz w:val="14"/>
          <w:szCs w:val="14"/>
        </w:rPr>
        <w:footnoteRef/>
      </w:r>
      <w:r w:rsidRPr="00CB3FCA">
        <w:rPr>
          <w:rFonts w:ascii="Trebuchet MS" w:hAnsi="Trebuchet MS"/>
          <w:sz w:val="14"/>
          <w:szCs w:val="14"/>
        </w:rPr>
        <w:t xml:space="preserve"> Ley de Protección de Datos Personales en Posesión de Sujetos Obligados del Estado de Jalisco y sus Municipios</w:t>
      </w:r>
      <w:r>
        <w:rPr>
          <w:rFonts w:ascii="Trebuchet MS" w:hAnsi="Trebuchet MS"/>
          <w:sz w:val="14"/>
          <w:szCs w:val="14"/>
        </w:rPr>
        <w:t xml:space="preserve">, consultable en: </w:t>
      </w:r>
      <w:hyperlink r:id="rId1" w:history="1">
        <w:r w:rsidRPr="001D3CFE">
          <w:rPr>
            <w:rStyle w:val="Hipervnculo"/>
            <w:rFonts w:ascii="Trebuchet MS" w:hAnsi="Trebuchet MS"/>
            <w:sz w:val="14"/>
            <w:szCs w:val="14"/>
          </w:rPr>
          <w:t>https://www.iepcjalisco.org.mx/sites/default/files/transparencia/articulo-8/I/a/ley_proteccion_datos_personales_sujetos_obligados_del_estado_jalisco_municipios.doc</w:t>
        </w:r>
      </w:hyperlink>
      <w:r>
        <w:rPr>
          <w:rFonts w:ascii="Trebuchet MS" w:hAnsi="Trebuchet MS"/>
          <w:sz w:val="14"/>
          <w:szCs w:val="14"/>
        </w:rPr>
        <w:t xml:space="preserve"> </w:t>
      </w:r>
      <w:bookmarkEnd w:id="1"/>
      <w:bookmarkEnd w:id="2"/>
    </w:p>
  </w:footnote>
  <w:footnote w:id="2">
    <w:p w14:paraId="74A2B965" w14:textId="6BEDA8C8" w:rsidR="00497C58" w:rsidRPr="00497C58" w:rsidRDefault="00497C58" w:rsidP="00497C58">
      <w:pPr>
        <w:pStyle w:val="Textonotapie"/>
        <w:jc w:val="both"/>
        <w:rPr>
          <w:rFonts w:ascii="Trebuchet MS" w:hAnsi="Trebuchet MS"/>
          <w:sz w:val="14"/>
          <w:szCs w:val="14"/>
          <w:lang w:val="es-MX"/>
        </w:rPr>
      </w:pPr>
      <w:r w:rsidRPr="00497C58">
        <w:rPr>
          <w:rStyle w:val="Refdenotaalpie"/>
          <w:rFonts w:ascii="Trebuchet MS" w:hAnsi="Trebuchet MS"/>
          <w:sz w:val="14"/>
          <w:szCs w:val="14"/>
        </w:rPr>
        <w:footnoteRef/>
      </w:r>
      <w:r w:rsidRPr="00497C58">
        <w:rPr>
          <w:rFonts w:ascii="Trebuchet MS" w:hAnsi="Trebuchet MS" w:cs="Arial"/>
          <w:sz w:val="14"/>
          <w:szCs w:val="14"/>
        </w:rPr>
        <w:t xml:space="preserve">Lineamientos para la Homologación del Ejercicio de Derechos Arco que deberán Observar los Sujetos Obligados Previstos por la Ley de Protección de Datos Personales en Posesión de Sujetos Obligados del Estado de Jalisco y sus Municipios, consultable en el hipervínculo: </w:t>
      </w:r>
      <w:r w:rsidRPr="00497C58">
        <w:rPr>
          <w:rFonts w:ascii="Trebuchet MS" w:hAnsi="Trebuchet MS"/>
          <w:sz w:val="14"/>
          <w:szCs w:val="14"/>
        </w:rPr>
        <w:t xml:space="preserve"> </w:t>
      </w:r>
      <w:hyperlink r:id="rId2" w:history="1">
        <w:r w:rsidRPr="00497C58">
          <w:rPr>
            <w:rStyle w:val="Hipervnculo"/>
            <w:rFonts w:ascii="Trebuchet MS" w:hAnsi="Trebuchet MS"/>
            <w:sz w:val="14"/>
            <w:szCs w:val="14"/>
          </w:rPr>
          <w:t>https://www.itei.org.mx/v3/documentos/art12-22/acuerdo_lineamientos_datos_personales.pdf</w:t>
        </w:r>
      </w:hyperlink>
      <w:r w:rsidRPr="00497C58">
        <w:rPr>
          <w:rFonts w:ascii="Trebuchet MS" w:hAnsi="Trebuchet MS"/>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E891" w14:textId="77777777" w:rsidR="00BB1622" w:rsidRDefault="0087183C">
    <w:pPr>
      <w:widowControl/>
      <w:pBdr>
        <w:top w:val="nil"/>
        <w:left w:val="nil"/>
        <w:bottom w:val="single" w:sz="4" w:space="1" w:color="000000"/>
        <w:right w:val="nil"/>
        <w:between w:val="nil"/>
      </w:pBdr>
      <w:tabs>
        <w:tab w:val="left" w:pos="4380"/>
      </w:tabs>
      <w:ind w:left="-993"/>
      <w:jc w:val="right"/>
      <w:rPr>
        <w:rFonts w:ascii="Arial Narrow" w:eastAsia="Arial Narrow" w:hAnsi="Arial Narrow" w:cs="Arial Narrow"/>
        <w:color w:val="000000"/>
      </w:rPr>
    </w:pPr>
    <w:r w:rsidRPr="006C3794">
      <w:rPr>
        <w:noProof/>
        <w:lang w:val="es-MX"/>
      </w:rPr>
      <w:drawing>
        <wp:anchor distT="0" distB="0" distL="114300" distR="114300" simplePos="0" relativeHeight="251659264" behindDoc="1" locked="0" layoutInCell="1" allowOverlap="1" wp14:anchorId="35CBE414" wp14:editId="69F99F77">
          <wp:simplePos x="0" y="0"/>
          <wp:positionH relativeFrom="column">
            <wp:posOffset>0</wp:posOffset>
          </wp:positionH>
          <wp:positionV relativeFrom="paragraph">
            <wp:posOffset>-635</wp:posOffset>
          </wp:positionV>
          <wp:extent cx="1828800" cy="10007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00760"/>
                  </a:xfrm>
                  <a:prstGeom prst="rect">
                    <a:avLst/>
                  </a:prstGeom>
                  <a:noFill/>
                  <a:ln w="9525">
                    <a:noFill/>
                    <a:miter lim="800000"/>
                    <a:headEnd/>
                    <a:tailEnd/>
                  </a:ln>
                </pic:spPr>
              </pic:pic>
            </a:graphicData>
          </a:graphic>
        </wp:anchor>
      </w:drawing>
    </w:r>
    <w:r>
      <w:rPr>
        <w:rFonts w:ascii="Arial Narrow" w:eastAsia="Arial Narrow" w:hAnsi="Arial Narrow" w:cs="Arial Narrow"/>
        <w:color w:val="000000"/>
      </w:rPr>
      <w:t xml:space="preserve">                                                                        </w:t>
    </w:r>
  </w:p>
  <w:p w14:paraId="10FBC0B8" w14:textId="77777777" w:rsidR="00BB1622" w:rsidRDefault="006F3137">
    <w:pPr>
      <w:widowControl/>
      <w:pBdr>
        <w:top w:val="nil"/>
        <w:left w:val="nil"/>
        <w:bottom w:val="single" w:sz="4" w:space="1" w:color="000000"/>
        <w:right w:val="nil"/>
        <w:between w:val="nil"/>
      </w:pBdr>
      <w:tabs>
        <w:tab w:val="left" w:pos="4380"/>
      </w:tabs>
      <w:ind w:left="-993"/>
      <w:jc w:val="right"/>
      <w:rPr>
        <w:rFonts w:ascii="Arial Narrow" w:eastAsia="Arial Narrow" w:hAnsi="Arial Narrow" w:cs="Arial Narrow"/>
        <w:color w:val="000000"/>
      </w:rPr>
    </w:pPr>
  </w:p>
  <w:p w14:paraId="251D159B" w14:textId="77777777" w:rsidR="00BB1622" w:rsidRDefault="006F3137">
    <w:pPr>
      <w:widowControl/>
      <w:pBdr>
        <w:top w:val="nil"/>
        <w:left w:val="nil"/>
        <w:bottom w:val="single" w:sz="4" w:space="1" w:color="000000"/>
        <w:right w:val="nil"/>
        <w:between w:val="nil"/>
      </w:pBdr>
      <w:tabs>
        <w:tab w:val="left" w:pos="4380"/>
      </w:tabs>
      <w:ind w:left="-993"/>
      <w:jc w:val="right"/>
      <w:rPr>
        <w:rFonts w:ascii="Arial Narrow" w:eastAsia="Arial Narrow" w:hAnsi="Arial Narrow" w:cs="Arial Narrow"/>
        <w:color w:val="000000"/>
      </w:rPr>
    </w:pPr>
  </w:p>
  <w:p w14:paraId="67D2AF14" w14:textId="77777777" w:rsidR="00BB1622" w:rsidRDefault="006F3137">
    <w:pPr>
      <w:widowControl/>
      <w:pBdr>
        <w:top w:val="nil"/>
        <w:left w:val="nil"/>
        <w:bottom w:val="single" w:sz="4" w:space="1" w:color="000000"/>
        <w:right w:val="nil"/>
        <w:between w:val="nil"/>
      </w:pBdr>
      <w:tabs>
        <w:tab w:val="left" w:pos="4380"/>
      </w:tabs>
      <w:ind w:left="-993"/>
      <w:jc w:val="right"/>
      <w:rPr>
        <w:rFonts w:ascii="Arial Narrow" w:eastAsia="Arial Narrow" w:hAnsi="Arial Narrow" w:cs="Arial Narrow"/>
        <w:color w:val="000000"/>
      </w:rPr>
    </w:pPr>
  </w:p>
  <w:p w14:paraId="18936EF4" w14:textId="77777777" w:rsidR="00BB1622" w:rsidRDefault="006F3137">
    <w:pPr>
      <w:widowControl/>
      <w:pBdr>
        <w:top w:val="nil"/>
        <w:left w:val="nil"/>
        <w:bottom w:val="single" w:sz="4" w:space="1" w:color="000000"/>
        <w:right w:val="nil"/>
        <w:between w:val="nil"/>
      </w:pBdr>
      <w:tabs>
        <w:tab w:val="left" w:pos="4380"/>
      </w:tabs>
      <w:ind w:left="-993"/>
      <w:jc w:val="right"/>
      <w:rPr>
        <w:rFonts w:ascii="Arial Narrow" w:eastAsia="Arial Narrow" w:hAnsi="Arial Narrow" w:cs="Arial Narrow"/>
        <w:color w:val="000000"/>
      </w:rPr>
    </w:pPr>
  </w:p>
  <w:p w14:paraId="6B145490" w14:textId="77777777" w:rsidR="00BB1622" w:rsidRPr="00691996" w:rsidRDefault="0087183C" w:rsidP="00BB1622">
    <w:pPr>
      <w:pBdr>
        <w:top w:val="nil"/>
        <w:left w:val="nil"/>
        <w:bottom w:val="single" w:sz="4" w:space="1" w:color="000000"/>
        <w:right w:val="nil"/>
        <w:between w:val="nil"/>
      </w:pBdr>
      <w:ind w:left="-993"/>
      <w:jc w:val="right"/>
      <w:rPr>
        <w:rFonts w:ascii="Trebuchet MS" w:eastAsia="Arial Narrow" w:hAnsi="Trebuchet MS" w:cs="Arial Narrow"/>
        <w:b/>
        <w:color w:val="000000"/>
        <w:szCs w:val="28"/>
        <w:lang w:val="es-MX"/>
      </w:rPr>
    </w:pPr>
    <w:r>
      <w:rPr>
        <w:rFonts w:ascii="Arial Narrow" w:eastAsia="Arial Narrow" w:hAnsi="Arial Narrow" w:cs="Arial Narrow"/>
        <w:color w:val="000000"/>
      </w:rPr>
      <w:tab/>
    </w:r>
  </w:p>
  <w:p w14:paraId="05FD14EC" w14:textId="3D83E43A" w:rsidR="000C6402" w:rsidRPr="000C00D5" w:rsidRDefault="00B142DB" w:rsidP="002A108F">
    <w:pPr>
      <w:widowControl/>
      <w:pBdr>
        <w:top w:val="nil"/>
        <w:left w:val="nil"/>
        <w:bottom w:val="single" w:sz="4" w:space="1" w:color="000000"/>
        <w:right w:val="nil"/>
        <w:between w:val="nil"/>
      </w:pBdr>
      <w:tabs>
        <w:tab w:val="left" w:pos="4380"/>
      </w:tabs>
      <w:ind w:left="-993"/>
      <w:jc w:val="right"/>
      <w:rPr>
        <w:rFonts w:ascii="Trebuchet MS" w:eastAsia="Arial Narrow" w:hAnsi="Trebuchet MS" w:cs="Arial Narrow"/>
        <w:b/>
        <w:color w:val="000000"/>
        <w:sz w:val="28"/>
        <w:szCs w:val="28"/>
        <w:lang w:val="es-MX"/>
      </w:rPr>
    </w:pPr>
    <w:r>
      <w:rPr>
        <w:rFonts w:ascii="Trebuchet MS" w:eastAsia="Arial Narrow" w:hAnsi="Trebuchet MS" w:cs="Arial Narrow"/>
        <w:b/>
        <w:color w:val="000000"/>
        <w:sz w:val="28"/>
        <w:szCs w:val="28"/>
        <w:lang w:val="es-MX"/>
      </w:rPr>
      <w:t>IEPC-</w:t>
    </w:r>
    <w:r w:rsidR="0087183C">
      <w:rPr>
        <w:rFonts w:ascii="Trebuchet MS" w:eastAsia="Arial Narrow" w:hAnsi="Trebuchet MS" w:cs="Arial Narrow"/>
        <w:b/>
        <w:color w:val="000000"/>
        <w:sz w:val="28"/>
        <w:szCs w:val="28"/>
        <w:lang w:val="es-MX"/>
      </w:rPr>
      <w:t xml:space="preserve">WEB-ARCO-005/2023 </w:t>
    </w:r>
  </w:p>
  <w:p w14:paraId="591857E8" w14:textId="77777777" w:rsidR="00BB1622" w:rsidRPr="000C00D5" w:rsidRDefault="006F3137">
    <w:pPr>
      <w:widowControl/>
      <w:pBdr>
        <w:top w:val="nil"/>
        <w:left w:val="nil"/>
        <w:bottom w:val="nil"/>
        <w:right w:val="nil"/>
        <w:between w:val="nil"/>
      </w:pBdr>
      <w:tabs>
        <w:tab w:val="left" w:pos="4380"/>
      </w:tabs>
      <w:ind w:left="-993"/>
      <w:jc w:val="right"/>
      <w:rPr>
        <w:rFonts w:ascii="Arial Narrow" w:eastAsia="Arial Narrow" w:hAnsi="Arial Narrow" w:cs="Arial Narrow"/>
        <w:color w:val="00000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3C"/>
    <w:rsid w:val="00044ED1"/>
    <w:rsid w:val="00072634"/>
    <w:rsid w:val="000F10C9"/>
    <w:rsid w:val="00224C85"/>
    <w:rsid w:val="004444C5"/>
    <w:rsid w:val="00497C58"/>
    <w:rsid w:val="004F1AEB"/>
    <w:rsid w:val="004F28DE"/>
    <w:rsid w:val="006F3137"/>
    <w:rsid w:val="00707265"/>
    <w:rsid w:val="007A35AD"/>
    <w:rsid w:val="007D4336"/>
    <w:rsid w:val="0087183C"/>
    <w:rsid w:val="0088393C"/>
    <w:rsid w:val="008F01E3"/>
    <w:rsid w:val="00975640"/>
    <w:rsid w:val="00B142DB"/>
    <w:rsid w:val="00BA26E1"/>
    <w:rsid w:val="00CB3FCA"/>
    <w:rsid w:val="00D2082D"/>
    <w:rsid w:val="00E14103"/>
    <w:rsid w:val="00E244B7"/>
    <w:rsid w:val="00E42FF3"/>
    <w:rsid w:val="00F6122E"/>
    <w:rsid w:val="00FE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12F5"/>
  <w15:chartTrackingRefBased/>
  <w15:docId w15:val="{F4A6C3D0-ED82-45B8-84B4-E2F9D2E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3C"/>
    <w:pPr>
      <w:widowControl w:val="0"/>
      <w:suppressAutoHyphens/>
      <w:spacing w:after="0" w:line="240" w:lineRule="auto"/>
    </w:pPr>
    <w:rPr>
      <w:rFonts w:ascii="Times New Roman" w:eastAsia="Lucida Sans Unicode" w:hAnsi="Times New Roman" w:cs="Times New Roman"/>
      <w:sz w:val="24"/>
      <w:szCs w:val="24"/>
      <w:lang w:val="es-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7183C"/>
    <w:rPr>
      <w:color w:val="0000FF"/>
      <w:u w:val="single"/>
    </w:rPr>
  </w:style>
  <w:style w:type="paragraph" w:styleId="Textonotapie">
    <w:name w:val="footnote text"/>
    <w:basedOn w:val="Normal"/>
    <w:link w:val="TextonotapieCar"/>
    <w:uiPriority w:val="99"/>
    <w:unhideWhenUsed/>
    <w:rsid w:val="0087183C"/>
    <w:rPr>
      <w:sz w:val="20"/>
      <w:szCs w:val="20"/>
    </w:rPr>
  </w:style>
  <w:style w:type="character" w:customStyle="1" w:styleId="TextonotapieCar">
    <w:name w:val="Texto nota pie Car"/>
    <w:basedOn w:val="Fuentedeprrafopredeter"/>
    <w:link w:val="Textonotapie"/>
    <w:uiPriority w:val="99"/>
    <w:rsid w:val="0087183C"/>
    <w:rPr>
      <w:rFonts w:ascii="Times New Roman" w:eastAsia="Lucida Sans Unicode" w:hAnsi="Times New Roman" w:cs="Times New Roman"/>
      <w:sz w:val="20"/>
      <w:szCs w:val="20"/>
      <w:lang w:val="es-ES" w:eastAsia="es-MX"/>
      <w14:ligatures w14:val="none"/>
    </w:rPr>
  </w:style>
  <w:style w:type="character" w:styleId="Refdenotaalpie">
    <w:name w:val="footnote reference"/>
    <w:basedOn w:val="Fuentedeprrafopredeter"/>
    <w:uiPriority w:val="99"/>
    <w:unhideWhenUsed/>
    <w:rsid w:val="0087183C"/>
    <w:rPr>
      <w:vertAlign w:val="superscript"/>
    </w:rPr>
  </w:style>
  <w:style w:type="paragraph" w:customStyle="1" w:styleId="Default">
    <w:name w:val="Default"/>
    <w:rsid w:val="0087183C"/>
    <w:pPr>
      <w:widowControl w:val="0"/>
      <w:autoSpaceDE w:val="0"/>
      <w:autoSpaceDN w:val="0"/>
      <w:adjustRightInd w:val="0"/>
      <w:spacing w:after="0" w:line="240" w:lineRule="auto"/>
    </w:pPr>
    <w:rPr>
      <w:rFonts w:ascii="Calibri" w:eastAsia="Times New Roman" w:hAnsi="Calibri" w:cs="Calibri"/>
      <w:color w:val="000000"/>
      <w:kern w:val="0"/>
      <w:sz w:val="24"/>
      <w:szCs w:val="24"/>
      <w:lang w:val="es-ES" w:eastAsia="es-MX"/>
      <w14:ligatures w14:val="none"/>
    </w:rPr>
  </w:style>
  <w:style w:type="paragraph" w:styleId="Encabezado">
    <w:name w:val="header"/>
    <w:basedOn w:val="Normal"/>
    <w:link w:val="EncabezadoCar"/>
    <w:uiPriority w:val="99"/>
    <w:unhideWhenUsed/>
    <w:rsid w:val="0087183C"/>
    <w:pPr>
      <w:tabs>
        <w:tab w:val="center" w:pos="4419"/>
        <w:tab w:val="right" w:pos="8838"/>
      </w:tabs>
    </w:pPr>
  </w:style>
  <w:style w:type="character" w:customStyle="1" w:styleId="EncabezadoCar">
    <w:name w:val="Encabezado Car"/>
    <w:basedOn w:val="Fuentedeprrafopredeter"/>
    <w:link w:val="Encabezado"/>
    <w:uiPriority w:val="99"/>
    <w:rsid w:val="0087183C"/>
    <w:rPr>
      <w:rFonts w:ascii="Times New Roman" w:eastAsia="Lucida Sans Unicode" w:hAnsi="Times New Roman" w:cs="Times New Roman"/>
      <w:sz w:val="24"/>
      <w:szCs w:val="24"/>
      <w:lang w:val="es-ES" w:eastAsia="es-MX"/>
      <w14:ligatures w14:val="none"/>
    </w:rPr>
  </w:style>
  <w:style w:type="paragraph" w:styleId="Piedepgina">
    <w:name w:val="footer"/>
    <w:basedOn w:val="Normal"/>
    <w:link w:val="PiedepginaCar"/>
    <w:uiPriority w:val="99"/>
    <w:unhideWhenUsed/>
    <w:rsid w:val="0087183C"/>
    <w:pPr>
      <w:tabs>
        <w:tab w:val="center" w:pos="4419"/>
        <w:tab w:val="right" w:pos="8838"/>
      </w:tabs>
    </w:pPr>
  </w:style>
  <w:style w:type="character" w:customStyle="1" w:styleId="PiedepginaCar">
    <w:name w:val="Pie de página Car"/>
    <w:basedOn w:val="Fuentedeprrafopredeter"/>
    <w:link w:val="Piedepgina"/>
    <w:uiPriority w:val="99"/>
    <w:rsid w:val="0087183C"/>
    <w:rPr>
      <w:rFonts w:ascii="Times New Roman" w:eastAsia="Lucida Sans Unicode" w:hAnsi="Times New Roman" w:cs="Times New Roman"/>
      <w:sz w:val="24"/>
      <w:szCs w:val="24"/>
      <w:lang w:val="es-ES" w:eastAsia="es-MX"/>
      <w14:ligatures w14:val="none"/>
    </w:rPr>
  </w:style>
  <w:style w:type="character" w:styleId="Mencinsinresolver">
    <w:name w:val="Unresolved Mention"/>
    <w:basedOn w:val="Fuentedeprrafopredeter"/>
    <w:uiPriority w:val="99"/>
    <w:semiHidden/>
    <w:unhideWhenUsed/>
    <w:rsid w:val="00CB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tei.org.mx/v3/documentos/art12-22/acuerdo_lineamientos_datos_personales.pdf"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4270-40F4-4575-AC5A-D9E7471C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Flores Ponce</dc:creator>
  <cp:keywords/>
  <dc:description/>
  <cp:lastModifiedBy>Alma Fabiola Del Rosario Rosas Villalobos</cp:lastModifiedBy>
  <cp:revision>4</cp:revision>
  <dcterms:created xsi:type="dcterms:W3CDTF">2023-05-22T16:51:00Z</dcterms:created>
  <dcterms:modified xsi:type="dcterms:W3CDTF">2023-07-26T16:53:00Z</dcterms:modified>
</cp:coreProperties>
</file>