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E079" w14:textId="069172E9" w:rsidR="00C10DAB" w:rsidRPr="00126BAF" w:rsidRDefault="00C62F65" w:rsidP="00C10DAB">
      <w:pPr>
        <w:jc w:val="both"/>
        <w:rPr>
          <w:rFonts w:ascii="Lucida Sans Unicode" w:hAnsi="Lucida Sans Unicode" w:cs="Lucida Sans Unicode"/>
          <w:b/>
          <w:bCs/>
          <w:sz w:val="20"/>
          <w:szCs w:val="20"/>
        </w:rPr>
      </w:pPr>
      <w:r w:rsidRPr="00126BAF">
        <w:rPr>
          <w:rFonts w:ascii="Lucida Sans Unicode" w:hAnsi="Lucida Sans Unicode" w:cs="Lucida Sans Unicode"/>
          <w:b/>
          <w:bCs/>
          <w:sz w:val="20"/>
          <w:szCs w:val="20"/>
        </w:rPr>
        <w:t xml:space="preserve">INFORME </w:t>
      </w:r>
      <w:r w:rsidR="009E3061">
        <w:rPr>
          <w:rFonts w:ascii="Lucida Sans Unicode" w:hAnsi="Lucida Sans Unicode" w:cs="Lucida Sans Unicode"/>
          <w:b/>
          <w:bCs/>
          <w:sz w:val="20"/>
          <w:szCs w:val="20"/>
        </w:rPr>
        <w:t>QUE PRESENTA LA SECRETARÍA TÉCNICA DE LA COMISIÓN DE SEGUIMIENTO AL SERVICIO PROFESIONAL ELECTORAL NACIONAL D</w:t>
      </w:r>
      <w:r w:rsidR="00231DE8" w:rsidRPr="00126BAF">
        <w:rPr>
          <w:rFonts w:ascii="Lucida Sans Unicode" w:hAnsi="Lucida Sans Unicode" w:cs="Lucida Sans Unicode"/>
          <w:b/>
          <w:bCs/>
          <w:sz w:val="20"/>
          <w:szCs w:val="20"/>
        </w:rPr>
        <w:t>EL INSTITUTO ELECTORAL Y DE PARTICIPACIÓN CIUDADANA DEL ESTADO DE JALISCO</w:t>
      </w:r>
      <w:r w:rsidRPr="00126BAF">
        <w:rPr>
          <w:rFonts w:ascii="Lucida Sans Unicode" w:hAnsi="Lucida Sans Unicode" w:cs="Lucida Sans Unicode"/>
          <w:b/>
          <w:bCs/>
          <w:sz w:val="20"/>
          <w:szCs w:val="20"/>
        </w:rPr>
        <w:t xml:space="preserve"> </w:t>
      </w:r>
      <w:r w:rsidR="00023158">
        <w:rPr>
          <w:rFonts w:ascii="Lucida Sans Unicode" w:hAnsi="Lucida Sans Unicode" w:cs="Lucida Sans Unicode"/>
          <w:b/>
          <w:bCs/>
          <w:sz w:val="20"/>
          <w:szCs w:val="20"/>
        </w:rPr>
        <w:t>RESPECTO DE</w:t>
      </w:r>
      <w:r w:rsidR="009E3061" w:rsidRPr="00126BAF">
        <w:rPr>
          <w:rFonts w:ascii="Lucida Sans Unicode" w:hAnsi="Lucida Sans Unicode" w:cs="Lucida Sans Unicode"/>
          <w:b/>
          <w:bCs/>
          <w:sz w:val="20"/>
          <w:szCs w:val="20"/>
        </w:rPr>
        <w:t xml:space="preserve"> </w:t>
      </w:r>
      <w:r w:rsidR="009E3061">
        <w:rPr>
          <w:rFonts w:ascii="Lucida Sans Unicode" w:hAnsi="Lucida Sans Unicode" w:cs="Lucida Sans Unicode"/>
          <w:b/>
          <w:bCs/>
          <w:sz w:val="20"/>
          <w:szCs w:val="20"/>
        </w:rPr>
        <w:t xml:space="preserve">LA ACTUALIDAD </w:t>
      </w:r>
      <w:r w:rsidR="00023158">
        <w:rPr>
          <w:rFonts w:ascii="Lucida Sans Unicode" w:hAnsi="Lucida Sans Unicode" w:cs="Lucida Sans Unicode"/>
          <w:b/>
          <w:bCs/>
          <w:sz w:val="20"/>
          <w:szCs w:val="20"/>
        </w:rPr>
        <w:t>QUE GUARDAN</w:t>
      </w:r>
      <w:r w:rsidR="009E3061">
        <w:rPr>
          <w:rFonts w:ascii="Lucida Sans Unicode" w:hAnsi="Lucida Sans Unicode" w:cs="Lucida Sans Unicode"/>
          <w:b/>
          <w:bCs/>
          <w:sz w:val="20"/>
          <w:szCs w:val="20"/>
        </w:rPr>
        <w:t xml:space="preserve"> LAS PLAZAS DEL </w:t>
      </w:r>
      <w:r w:rsidR="009E3061" w:rsidRPr="00126BAF">
        <w:rPr>
          <w:rFonts w:ascii="Lucida Sans Unicode" w:hAnsi="Lucida Sans Unicode" w:cs="Lucida Sans Unicode"/>
          <w:b/>
          <w:bCs/>
          <w:sz w:val="20"/>
          <w:szCs w:val="20"/>
        </w:rPr>
        <w:t xml:space="preserve">SERVICIO PROFESIONAL ELECTORAL NACIONAL </w:t>
      </w:r>
      <w:r w:rsidR="00023158">
        <w:rPr>
          <w:rFonts w:ascii="Lucida Sans Unicode" w:hAnsi="Lucida Sans Unicode" w:cs="Lucida Sans Unicode"/>
          <w:b/>
          <w:bCs/>
          <w:sz w:val="20"/>
          <w:szCs w:val="20"/>
        </w:rPr>
        <w:t xml:space="preserve">ADSCRITAS AL INSTITUTO, </w:t>
      </w:r>
      <w:r w:rsidR="009E3061">
        <w:rPr>
          <w:rFonts w:ascii="Lucida Sans Unicode" w:hAnsi="Lucida Sans Unicode" w:cs="Lucida Sans Unicode"/>
          <w:b/>
          <w:bCs/>
          <w:sz w:val="20"/>
          <w:szCs w:val="20"/>
        </w:rPr>
        <w:t xml:space="preserve">EN LO REFERENTE A </w:t>
      </w:r>
      <w:r w:rsidR="009E3061" w:rsidRPr="00126BAF">
        <w:rPr>
          <w:rFonts w:ascii="Lucida Sans Unicode" w:hAnsi="Lucida Sans Unicode" w:cs="Lucida Sans Unicode"/>
          <w:b/>
          <w:bCs/>
          <w:sz w:val="20"/>
          <w:szCs w:val="20"/>
        </w:rPr>
        <w:t>LOS ENCARGOS DE DESPACHO</w:t>
      </w:r>
      <w:r w:rsidR="009E3061">
        <w:rPr>
          <w:rFonts w:ascii="Lucida Sans Unicode" w:hAnsi="Lucida Sans Unicode" w:cs="Lucida Sans Unicode"/>
          <w:b/>
          <w:bCs/>
          <w:sz w:val="20"/>
          <w:szCs w:val="20"/>
        </w:rPr>
        <w:t>.</w:t>
      </w:r>
    </w:p>
    <w:p w14:paraId="38FB5E0B" w14:textId="77777777" w:rsidR="00C10DAB" w:rsidRPr="00126BAF" w:rsidRDefault="00C10DAB" w:rsidP="00C10DAB">
      <w:pPr>
        <w:jc w:val="both"/>
        <w:rPr>
          <w:rFonts w:ascii="Lucida Sans Unicode" w:hAnsi="Lucida Sans Unicode" w:cs="Lucida Sans Unicode"/>
          <w:sz w:val="20"/>
          <w:szCs w:val="20"/>
        </w:rPr>
      </w:pPr>
    </w:p>
    <w:p w14:paraId="1BCA45F3" w14:textId="77777777" w:rsidR="009711DA" w:rsidRPr="009711DA" w:rsidRDefault="009711DA" w:rsidP="009711DA">
      <w:pPr>
        <w:contextualSpacing/>
        <w:jc w:val="both"/>
        <w:rPr>
          <w:rFonts w:ascii="Lucida Sans Unicode" w:hAnsi="Lucida Sans Unicode" w:cs="Lucida Sans Unicode"/>
          <w:sz w:val="20"/>
          <w:szCs w:val="20"/>
        </w:rPr>
      </w:pPr>
      <w:bookmarkStart w:id="0" w:name="_Hlk64028805"/>
      <w:r w:rsidRPr="009711DA">
        <w:rPr>
          <w:rFonts w:ascii="Lucida Sans Unicode" w:hAnsi="Lucida Sans Unicode" w:cs="Lucida Sans Unicode"/>
          <w:sz w:val="20"/>
          <w:szCs w:val="20"/>
        </w:rPr>
        <w:t>El Instituto Electoral y de Participación Ciudadana del Estado de Jalisco (IEPC Jalisco) tiene adscritas 21 plazas al Servicio Profesional Electoral Nacional (SPEN) como parte de su personal de estructura. Estas plazas están distribuidas en las áreas sustantivas del Instituto, de la siguiente manera:</w:t>
      </w:r>
    </w:p>
    <w:p w14:paraId="39EA3DBD" w14:textId="77777777" w:rsidR="009711DA" w:rsidRPr="009711DA" w:rsidRDefault="009711DA" w:rsidP="009711DA">
      <w:pPr>
        <w:contextualSpacing/>
        <w:jc w:val="both"/>
        <w:rPr>
          <w:rFonts w:ascii="Lucida Sans Unicode" w:hAnsi="Lucida Sans Unicode" w:cs="Lucida Sans Unicode"/>
          <w:sz w:val="20"/>
          <w:szCs w:val="20"/>
        </w:rPr>
      </w:pPr>
    </w:p>
    <w:p w14:paraId="6A4F59EB" w14:textId="1B9D7C75" w:rsidR="009711DA" w:rsidRPr="009711DA" w:rsidRDefault="009711DA" w:rsidP="009711DA">
      <w:pPr>
        <w:pStyle w:val="Prrafodelista"/>
        <w:numPr>
          <w:ilvl w:val="0"/>
          <w:numId w:val="13"/>
        </w:numPr>
        <w:jc w:val="both"/>
        <w:rPr>
          <w:rFonts w:ascii="Lucida Sans Unicode" w:hAnsi="Lucida Sans Unicode" w:cs="Lucida Sans Unicode"/>
          <w:sz w:val="20"/>
          <w:szCs w:val="20"/>
        </w:rPr>
      </w:pPr>
      <w:r w:rsidRPr="009711DA">
        <w:rPr>
          <w:rFonts w:ascii="Lucida Sans Unicode" w:hAnsi="Lucida Sans Unicode" w:cs="Lucida Sans Unicode"/>
          <w:sz w:val="20"/>
          <w:szCs w:val="20"/>
        </w:rPr>
        <w:t>Dirección de Educación Cívica</w:t>
      </w:r>
      <w:r>
        <w:rPr>
          <w:rFonts w:ascii="Lucida Sans Unicode" w:hAnsi="Lucida Sans Unicode" w:cs="Lucida Sans Unicode"/>
          <w:sz w:val="20"/>
          <w:szCs w:val="20"/>
        </w:rPr>
        <w:t xml:space="preserve"> (DEC)</w:t>
      </w:r>
      <w:r w:rsidRPr="009711DA">
        <w:rPr>
          <w:rFonts w:ascii="Lucida Sans Unicode" w:hAnsi="Lucida Sans Unicode" w:cs="Lucida Sans Unicode"/>
          <w:sz w:val="20"/>
          <w:szCs w:val="20"/>
        </w:rPr>
        <w:t>: 6 plazas (2 coordinaciones y 4 asistencias técnicas).</w:t>
      </w:r>
    </w:p>
    <w:p w14:paraId="0139798C" w14:textId="7AD566E3" w:rsidR="009711DA" w:rsidRPr="009711DA" w:rsidRDefault="009711DA" w:rsidP="009711DA">
      <w:pPr>
        <w:pStyle w:val="Prrafodelista"/>
        <w:numPr>
          <w:ilvl w:val="0"/>
          <w:numId w:val="13"/>
        </w:numPr>
        <w:jc w:val="both"/>
        <w:rPr>
          <w:rFonts w:ascii="Lucida Sans Unicode" w:hAnsi="Lucida Sans Unicode" w:cs="Lucida Sans Unicode"/>
          <w:sz w:val="20"/>
          <w:szCs w:val="20"/>
        </w:rPr>
      </w:pPr>
      <w:r w:rsidRPr="009711DA">
        <w:rPr>
          <w:rFonts w:ascii="Lucida Sans Unicode" w:hAnsi="Lucida Sans Unicode" w:cs="Lucida Sans Unicode"/>
          <w:sz w:val="20"/>
          <w:szCs w:val="20"/>
        </w:rPr>
        <w:t>Dirección de Participación Ciudadana</w:t>
      </w:r>
      <w:r>
        <w:rPr>
          <w:rFonts w:ascii="Lucida Sans Unicode" w:hAnsi="Lucida Sans Unicode" w:cs="Lucida Sans Unicode"/>
          <w:sz w:val="20"/>
          <w:szCs w:val="20"/>
        </w:rPr>
        <w:t xml:space="preserve"> (DPC)</w:t>
      </w:r>
      <w:r w:rsidRPr="009711DA">
        <w:rPr>
          <w:rFonts w:ascii="Lucida Sans Unicode" w:hAnsi="Lucida Sans Unicode" w:cs="Lucida Sans Unicode"/>
          <w:sz w:val="20"/>
          <w:szCs w:val="20"/>
        </w:rPr>
        <w:t>: 6 plazas (2 coordinaciones y 4 asistencias técnicas).</w:t>
      </w:r>
    </w:p>
    <w:p w14:paraId="14F895ED" w14:textId="4D304F0C" w:rsidR="009711DA" w:rsidRPr="009711DA" w:rsidRDefault="009711DA" w:rsidP="009711DA">
      <w:pPr>
        <w:pStyle w:val="Prrafodelista"/>
        <w:numPr>
          <w:ilvl w:val="0"/>
          <w:numId w:val="13"/>
        </w:numPr>
        <w:jc w:val="both"/>
        <w:rPr>
          <w:rFonts w:ascii="Lucida Sans Unicode" w:hAnsi="Lucida Sans Unicode" w:cs="Lucida Sans Unicode"/>
          <w:sz w:val="20"/>
          <w:szCs w:val="20"/>
        </w:rPr>
      </w:pPr>
      <w:r w:rsidRPr="009711DA">
        <w:rPr>
          <w:rFonts w:ascii="Lucida Sans Unicode" w:hAnsi="Lucida Sans Unicode" w:cs="Lucida Sans Unicode"/>
          <w:sz w:val="20"/>
          <w:szCs w:val="20"/>
        </w:rPr>
        <w:t>Dirección de Organización Electoral</w:t>
      </w:r>
      <w:r>
        <w:rPr>
          <w:rFonts w:ascii="Lucida Sans Unicode" w:hAnsi="Lucida Sans Unicode" w:cs="Lucida Sans Unicode"/>
          <w:sz w:val="20"/>
          <w:szCs w:val="20"/>
        </w:rPr>
        <w:t xml:space="preserve"> (DOE)</w:t>
      </w:r>
      <w:r w:rsidRPr="009711DA">
        <w:rPr>
          <w:rFonts w:ascii="Lucida Sans Unicode" w:hAnsi="Lucida Sans Unicode" w:cs="Lucida Sans Unicode"/>
          <w:sz w:val="20"/>
          <w:szCs w:val="20"/>
        </w:rPr>
        <w:t>: 7 plazas (3 coordinaciones y 4 asistencias técnicas).</w:t>
      </w:r>
    </w:p>
    <w:p w14:paraId="1F9C6311" w14:textId="1E2EC78F" w:rsidR="009711DA" w:rsidRPr="009711DA" w:rsidRDefault="009711DA" w:rsidP="009711DA">
      <w:pPr>
        <w:pStyle w:val="Prrafodelista"/>
        <w:numPr>
          <w:ilvl w:val="0"/>
          <w:numId w:val="13"/>
        </w:numPr>
        <w:jc w:val="both"/>
        <w:rPr>
          <w:rFonts w:ascii="Lucida Sans Unicode" w:hAnsi="Lucida Sans Unicode" w:cs="Lucida Sans Unicode"/>
          <w:sz w:val="20"/>
          <w:szCs w:val="20"/>
        </w:rPr>
      </w:pPr>
      <w:r w:rsidRPr="009711DA">
        <w:rPr>
          <w:rFonts w:ascii="Lucida Sans Unicode" w:hAnsi="Lucida Sans Unicode" w:cs="Lucida Sans Unicode"/>
          <w:sz w:val="20"/>
          <w:szCs w:val="20"/>
        </w:rPr>
        <w:t>Dirección de Prerrogativas</w:t>
      </w:r>
      <w:r>
        <w:rPr>
          <w:rFonts w:ascii="Lucida Sans Unicode" w:hAnsi="Lucida Sans Unicode" w:cs="Lucida Sans Unicode"/>
          <w:sz w:val="20"/>
          <w:szCs w:val="20"/>
        </w:rPr>
        <w:t xml:space="preserve"> (DP)</w:t>
      </w:r>
      <w:r w:rsidRPr="009711DA">
        <w:rPr>
          <w:rFonts w:ascii="Lucida Sans Unicode" w:hAnsi="Lucida Sans Unicode" w:cs="Lucida Sans Unicode"/>
          <w:sz w:val="20"/>
          <w:szCs w:val="20"/>
        </w:rPr>
        <w:t>: 2 plazas (1 coordinación y 1 asistencia técnica).</w:t>
      </w:r>
    </w:p>
    <w:p w14:paraId="4D914A78" w14:textId="77777777" w:rsidR="009711DA" w:rsidRPr="009711DA" w:rsidRDefault="009711DA" w:rsidP="009711DA">
      <w:pPr>
        <w:contextualSpacing/>
        <w:jc w:val="both"/>
        <w:rPr>
          <w:rFonts w:ascii="Lucida Sans Unicode" w:hAnsi="Lucida Sans Unicode" w:cs="Lucida Sans Unicode"/>
          <w:sz w:val="20"/>
          <w:szCs w:val="20"/>
        </w:rPr>
      </w:pPr>
    </w:p>
    <w:p w14:paraId="59E2C422" w14:textId="77777777" w:rsidR="009711DA" w:rsidRPr="009711DA" w:rsidRDefault="009711DA" w:rsidP="009711DA">
      <w:pPr>
        <w:contextualSpacing/>
        <w:jc w:val="both"/>
        <w:rPr>
          <w:rFonts w:ascii="Lucida Sans Unicode" w:hAnsi="Lucida Sans Unicode" w:cs="Lucida Sans Unicode"/>
          <w:sz w:val="20"/>
          <w:szCs w:val="20"/>
        </w:rPr>
      </w:pPr>
      <w:r w:rsidRPr="009711DA">
        <w:rPr>
          <w:rFonts w:ascii="Lucida Sans Unicode" w:hAnsi="Lucida Sans Unicode" w:cs="Lucida Sans Unicode"/>
          <w:sz w:val="20"/>
          <w:szCs w:val="20"/>
        </w:rPr>
        <w:t>El presente informe tiene como propósito dar a conocer la situación actual de las plazas vacantes, temporalmente vacantes y las ocupaciones temporales mediante la figura de encargadurías de despacho en el IEPC Jalisco adscritas al SPEN.</w:t>
      </w:r>
    </w:p>
    <w:p w14:paraId="56EA9186" w14:textId="77777777" w:rsidR="00D1627A" w:rsidRDefault="00D1627A" w:rsidP="009711DA">
      <w:pPr>
        <w:contextualSpacing/>
        <w:jc w:val="both"/>
        <w:rPr>
          <w:rFonts w:ascii="Lucida Sans Unicode" w:hAnsi="Lucida Sans Unicode" w:cs="Lucida Sans Unicode"/>
          <w:sz w:val="20"/>
          <w:szCs w:val="20"/>
        </w:rPr>
      </w:pPr>
    </w:p>
    <w:p w14:paraId="6B8B291C" w14:textId="7011F2F9" w:rsidR="009711DA" w:rsidRPr="00D1627A" w:rsidRDefault="00A756E5" w:rsidP="009711DA">
      <w:pPr>
        <w:contextualSpacing/>
        <w:jc w:val="both"/>
        <w:rPr>
          <w:rFonts w:ascii="Lucida Sans Unicode" w:hAnsi="Lucida Sans Unicode" w:cs="Lucida Sans Unicode"/>
          <w:b/>
          <w:bCs/>
          <w:sz w:val="20"/>
          <w:szCs w:val="20"/>
        </w:rPr>
      </w:pPr>
      <w:r w:rsidRPr="00D1627A">
        <w:rPr>
          <w:rFonts w:ascii="Lucida Sans Unicode" w:hAnsi="Lucida Sans Unicode" w:cs="Lucida Sans Unicode"/>
          <w:b/>
          <w:bCs/>
          <w:sz w:val="20"/>
          <w:szCs w:val="20"/>
        </w:rPr>
        <w:t>ESTATUS ACTUAL DE LAS ENCARGADURÍAS DE DESPACHO</w:t>
      </w:r>
    </w:p>
    <w:p w14:paraId="54B5126E" w14:textId="77777777" w:rsidR="009711DA" w:rsidRPr="009711DA" w:rsidRDefault="009711DA" w:rsidP="009711DA">
      <w:pPr>
        <w:contextualSpacing/>
        <w:jc w:val="both"/>
        <w:rPr>
          <w:rFonts w:ascii="Lucida Sans Unicode" w:hAnsi="Lucida Sans Unicode" w:cs="Lucida Sans Unicode"/>
          <w:sz w:val="20"/>
          <w:szCs w:val="20"/>
        </w:rPr>
      </w:pPr>
    </w:p>
    <w:p w14:paraId="4190D828" w14:textId="12893EEA" w:rsidR="009711DA" w:rsidRPr="009711DA" w:rsidRDefault="009711DA" w:rsidP="009711DA">
      <w:pPr>
        <w:contextualSpacing/>
        <w:jc w:val="both"/>
        <w:rPr>
          <w:rFonts w:ascii="Lucida Sans Unicode" w:hAnsi="Lucida Sans Unicode" w:cs="Lucida Sans Unicode"/>
          <w:sz w:val="20"/>
          <w:szCs w:val="20"/>
        </w:rPr>
      </w:pPr>
      <w:r w:rsidRPr="009711DA">
        <w:rPr>
          <w:rFonts w:ascii="Lucida Sans Unicode" w:hAnsi="Lucida Sans Unicode" w:cs="Lucida Sans Unicode"/>
          <w:sz w:val="20"/>
          <w:szCs w:val="20"/>
        </w:rPr>
        <w:t xml:space="preserve">Actualmente, </w:t>
      </w:r>
      <w:r w:rsidR="000723F1">
        <w:rPr>
          <w:rFonts w:ascii="Lucida Sans Unicode" w:hAnsi="Lucida Sans Unicode" w:cs="Lucida Sans Unicode"/>
          <w:sz w:val="20"/>
          <w:szCs w:val="20"/>
        </w:rPr>
        <w:t>6</w:t>
      </w:r>
      <w:r w:rsidRPr="009711DA">
        <w:rPr>
          <w:rFonts w:ascii="Lucida Sans Unicode" w:hAnsi="Lucida Sans Unicode" w:cs="Lucida Sans Unicode"/>
          <w:sz w:val="20"/>
          <w:szCs w:val="20"/>
        </w:rPr>
        <w:t xml:space="preserve"> plazas adscritas al SPEN en el IEPC Jalisco se encuentran vacantes, pero están ocupadas de manera temporal mediante encargos de despacho. Estas corresponden a:</w:t>
      </w:r>
    </w:p>
    <w:p w14:paraId="6CC15A55" w14:textId="77777777" w:rsidR="009711DA" w:rsidRPr="009711DA" w:rsidRDefault="009711DA" w:rsidP="009711DA">
      <w:pPr>
        <w:contextualSpacing/>
        <w:jc w:val="both"/>
        <w:rPr>
          <w:rFonts w:ascii="Lucida Sans Unicode" w:hAnsi="Lucida Sans Unicode" w:cs="Lucida Sans Unicode"/>
          <w:sz w:val="20"/>
          <w:szCs w:val="20"/>
        </w:rPr>
      </w:pPr>
    </w:p>
    <w:p w14:paraId="50B36CFC" w14:textId="2EAFE9DD" w:rsidR="009711DA" w:rsidRPr="009711DA" w:rsidRDefault="009711DA" w:rsidP="009711DA">
      <w:pPr>
        <w:pStyle w:val="Prrafodelista"/>
        <w:numPr>
          <w:ilvl w:val="0"/>
          <w:numId w:val="14"/>
        </w:numPr>
        <w:jc w:val="both"/>
        <w:rPr>
          <w:rFonts w:ascii="Lucida Sans Unicode" w:hAnsi="Lucida Sans Unicode" w:cs="Lucida Sans Unicode"/>
          <w:sz w:val="20"/>
          <w:szCs w:val="20"/>
        </w:rPr>
      </w:pPr>
      <w:r>
        <w:rPr>
          <w:rFonts w:ascii="Lucida Sans Unicode" w:hAnsi="Lucida Sans Unicode" w:cs="Lucida Sans Unicode"/>
          <w:sz w:val="20"/>
          <w:szCs w:val="20"/>
        </w:rPr>
        <w:t>2</w:t>
      </w:r>
      <w:r w:rsidRPr="009711DA">
        <w:rPr>
          <w:rFonts w:ascii="Lucida Sans Unicode" w:hAnsi="Lucida Sans Unicode" w:cs="Lucida Sans Unicode"/>
          <w:sz w:val="20"/>
          <w:szCs w:val="20"/>
        </w:rPr>
        <w:t xml:space="preserve"> coordinaciones: </w:t>
      </w:r>
      <w:r>
        <w:rPr>
          <w:rFonts w:ascii="Lucida Sans Unicode" w:hAnsi="Lucida Sans Unicode" w:cs="Lucida Sans Unicode"/>
          <w:sz w:val="20"/>
          <w:szCs w:val="20"/>
        </w:rPr>
        <w:t>DOE</w:t>
      </w:r>
      <w:r w:rsidRPr="009711DA">
        <w:rPr>
          <w:rFonts w:ascii="Lucida Sans Unicode" w:hAnsi="Lucida Sans Unicode" w:cs="Lucida Sans Unicode"/>
          <w:sz w:val="20"/>
          <w:szCs w:val="20"/>
        </w:rPr>
        <w:t xml:space="preserve"> y </w:t>
      </w:r>
      <w:r>
        <w:rPr>
          <w:rFonts w:ascii="Lucida Sans Unicode" w:hAnsi="Lucida Sans Unicode" w:cs="Lucida Sans Unicode"/>
          <w:sz w:val="20"/>
          <w:szCs w:val="20"/>
        </w:rPr>
        <w:t>DPC</w:t>
      </w:r>
      <w:r w:rsidRPr="009711DA">
        <w:rPr>
          <w:rFonts w:ascii="Lucida Sans Unicode" w:hAnsi="Lucida Sans Unicode" w:cs="Lucida Sans Unicode"/>
          <w:sz w:val="20"/>
          <w:szCs w:val="20"/>
        </w:rPr>
        <w:t>.</w:t>
      </w:r>
    </w:p>
    <w:p w14:paraId="0E68CE00" w14:textId="7839607E" w:rsidR="009711DA" w:rsidRPr="009711DA" w:rsidRDefault="009711DA" w:rsidP="009711DA">
      <w:pPr>
        <w:pStyle w:val="Prrafodelista"/>
        <w:numPr>
          <w:ilvl w:val="0"/>
          <w:numId w:val="14"/>
        </w:numPr>
        <w:jc w:val="both"/>
        <w:rPr>
          <w:rFonts w:ascii="Lucida Sans Unicode" w:hAnsi="Lucida Sans Unicode" w:cs="Lucida Sans Unicode"/>
          <w:sz w:val="20"/>
          <w:szCs w:val="20"/>
        </w:rPr>
      </w:pPr>
      <w:r>
        <w:rPr>
          <w:rFonts w:ascii="Lucida Sans Unicode" w:hAnsi="Lucida Sans Unicode" w:cs="Lucida Sans Unicode"/>
          <w:sz w:val="20"/>
          <w:szCs w:val="20"/>
        </w:rPr>
        <w:t>4</w:t>
      </w:r>
      <w:r w:rsidRPr="009711DA">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9711DA">
        <w:rPr>
          <w:rFonts w:ascii="Lucida Sans Unicode" w:hAnsi="Lucida Sans Unicode" w:cs="Lucida Sans Unicode"/>
          <w:sz w:val="20"/>
          <w:szCs w:val="20"/>
        </w:rPr>
        <w:t xml:space="preserve">sistencias </w:t>
      </w:r>
      <w:r>
        <w:rPr>
          <w:rFonts w:ascii="Lucida Sans Unicode" w:hAnsi="Lucida Sans Unicode" w:cs="Lucida Sans Unicode"/>
          <w:sz w:val="20"/>
          <w:szCs w:val="20"/>
        </w:rPr>
        <w:t>T</w:t>
      </w:r>
      <w:r w:rsidRPr="009711DA">
        <w:rPr>
          <w:rFonts w:ascii="Lucida Sans Unicode" w:hAnsi="Lucida Sans Unicode" w:cs="Lucida Sans Unicode"/>
          <w:sz w:val="20"/>
          <w:szCs w:val="20"/>
        </w:rPr>
        <w:t xml:space="preserve">écnicas: </w:t>
      </w:r>
      <w:r>
        <w:rPr>
          <w:rFonts w:ascii="Lucida Sans Unicode" w:hAnsi="Lucida Sans Unicode" w:cs="Lucida Sans Unicode"/>
          <w:sz w:val="20"/>
          <w:szCs w:val="20"/>
        </w:rPr>
        <w:t>3</w:t>
      </w:r>
      <w:r w:rsidRPr="009711DA">
        <w:rPr>
          <w:rFonts w:ascii="Lucida Sans Unicode" w:hAnsi="Lucida Sans Unicode" w:cs="Lucida Sans Unicode"/>
          <w:sz w:val="20"/>
          <w:szCs w:val="20"/>
        </w:rPr>
        <w:t xml:space="preserve"> de </w:t>
      </w:r>
      <w:r>
        <w:rPr>
          <w:rFonts w:ascii="Lucida Sans Unicode" w:hAnsi="Lucida Sans Unicode" w:cs="Lucida Sans Unicode"/>
          <w:sz w:val="20"/>
          <w:szCs w:val="20"/>
        </w:rPr>
        <w:t>DPC</w:t>
      </w:r>
      <w:r w:rsidRPr="009711DA">
        <w:rPr>
          <w:rFonts w:ascii="Lucida Sans Unicode" w:hAnsi="Lucida Sans Unicode" w:cs="Lucida Sans Unicode"/>
          <w:sz w:val="20"/>
          <w:szCs w:val="20"/>
        </w:rPr>
        <w:t xml:space="preserve"> y </w:t>
      </w:r>
      <w:r>
        <w:rPr>
          <w:rFonts w:ascii="Lucida Sans Unicode" w:hAnsi="Lucida Sans Unicode" w:cs="Lucida Sans Unicode"/>
          <w:sz w:val="20"/>
          <w:szCs w:val="20"/>
        </w:rPr>
        <w:t>1</w:t>
      </w:r>
      <w:r w:rsidRPr="009711DA">
        <w:rPr>
          <w:rFonts w:ascii="Lucida Sans Unicode" w:hAnsi="Lucida Sans Unicode" w:cs="Lucida Sans Unicode"/>
          <w:sz w:val="20"/>
          <w:szCs w:val="20"/>
        </w:rPr>
        <w:t xml:space="preserve"> de </w:t>
      </w:r>
      <w:r>
        <w:rPr>
          <w:rFonts w:ascii="Lucida Sans Unicode" w:hAnsi="Lucida Sans Unicode" w:cs="Lucida Sans Unicode"/>
          <w:sz w:val="20"/>
          <w:szCs w:val="20"/>
        </w:rPr>
        <w:t>DP</w:t>
      </w:r>
      <w:r w:rsidRPr="009711DA">
        <w:rPr>
          <w:rFonts w:ascii="Lucida Sans Unicode" w:hAnsi="Lucida Sans Unicode" w:cs="Lucida Sans Unicode"/>
          <w:sz w:val="20"/>
          <w:szCs w:val="20"/>
        </w:rPr>
        <w:t>.</w:t>
      </w:r>
    </w:p>
    <w:p w14:paraId="65B3904B" w14:textId="77777777" w:rsidR="009711DA" w:rsidRPr="009711DA" w:rsidRDefault="009711DA" w:rsidP="009711DA">
      <w:pPr>
        <w:contextualSpacing/>
        <w:jc w:val="both"/>
        <w:rPr>
          <w:rFonts w:ascii="Lucida Sans Unicode" w:hAnsi="Lucida Sans Unicode" w:cs="Lucida Sans Unicode"/>
          <w:sz w:val="20"/>
          <w:szCs w:val="20"/>
        </w:rPr>
      </w:pPr>
    </w:p>
    <w:p w14:paraId="34B37339" w14:textId="41D6D1B0" w:rsidR="009711DA" w:rsidRPr="009711DA" w:rsidRDefault="009711DA" w:rsidP="009711DA">
      <w:pPr>
        <w:contextualSpacing/>
        <w:jc w:val="both"/>
        <w:rPr>
          <w:rFonts w:ascii="Lucida Sans Unicode" w:hAnsi="Lucida Sans Unicode" w:cs="Lucida Sans Unicode"/>
          <w:sz w:val="20"/>
          <w:szCs w:val="20"/>
        </w:rPr>
      </w:pPr>
      <w:r w:rsidRPr="009711DA">
        <w:rPr>
          <w:rFonts w:ascii="Lucida Sans Unicode" w:hAnsi="Lucida Sans Unicode" w:cs="Lucida Sans Unicode"/>
          <w:sz w:val="20"/>
          <w:szCs w:val="20"/>
        </w:rPr>
        <w:t xml:space="preserve">Adicionalmente, se han generado </w:t>
      </w:r>
      <w:r>
        <w:rPr>
          <w:rFonts w:ascii="Lucida Sans Unicode" w:hAnsi="Lucida Sans Unicode" w:cs="Lucida Sans Unicode"/>
          <w:sz w:val="20"/>
          <w:szCs w:val="20"/>
        </w:rPr>
        <w:t>3</w:t>
      </w:r>
      <w:r w:rsidRPr="009711DA">
        <w:rPr>
          <w:rFonts w:ascii="Lucida Sans Unicode" w:hAnsi="Lucida Sans Unicode" w:cs="Lucida Sans Unicode"/>
          <w:sz w:val="20"/>
          <w:szCs w:val="20"/>
        </w:rPr>
        <w:t xml:space="preserve"> vacantes temporales de </w:t>
      </w:r>
      <w:r>
        <w:rPr>
          <w:rFonts w:ascii="Lucida Sans Unicode" w:hAnsi="Lucida Sans Unicode" w:cs="Lucida Sans Unicode"/>
          <w:sz w:val="20"/>
          <w:szCs w:val="20"/>
        </w:rPr>
        <w:t>A</w:t>
      </w:r>
      <w:r w:rsidRPr="009711DA">
        <w:rPr>
          <w:rFonts w:ascii="Lucida Sans Unicode" w:hAnsi="Lucida Sans Unicode" w:cs="Lucida Sans Unicode"/>
          <w:sz w:val="20"/>
          <w:szCs w:val="20"/>
        </w:rPr>
        <w:t xml:space="preserve">sistencias </w:t>
      </w:r>
      <w:r>
        <w:rPr>
          <w:rFonts w:ascii="Lucida Sans Unicode" w:hAnsi="Lucida Sans Unicode" w:cs="Lucida Sans Unicode"/>
          <w:sz w:val="20"/>
          <w:szCs w:val="20"/>
        </w:rPr>
        <w:t>T</w:t>
      </w:r>
      <w:r w:rsidRPr="009711DA">
        <w:rPr>
          <w:rFonts w:ascii="Lucida Sans Unicode" w:hAnsi="Lucida Sans Unicode" w:cs="Lucida Sans Unicode"/>
          <w:sz w:val="20"/>
          <w:szCs w:val="20"/>
        </w:rPr>
        <w:t xml:space="preserve">écnicas debido a que el personal ha sido designado para encargos de despacho en </w:t>
      </w:r>
      <w:r>
        <w:rPr>
          <w:rFonts w:ascii="Lucida Sans Unicode" w:hAnsi="Lucida Sans Unicode" w:cs="Lucida Sans Unicode"/>
          <w:sz w:val="20"/>
          <w:szCs w:val="20"/>
        </w:rPr>
        <w:t>C</w:t>
      </w:r>
      <w:r w:rsidRPr="009711DA">
        <w:rPr>
          <w:rFonts w:ascii="Lucida Sans Unicode" w:hAnsi="Lucida Sans Unicode" w:cs="Lucida Sans Unicode"/>
          <w:sz w:val="20"/>
          <w:szCs w:val="20"/>
        </w:rPr>
        <w:t>oordinaciones u otras áreas. Estas vacantes corresponden a:</w:t>
      </w:r>
    </w:p>
    <w:p w14:paraId="635833B6" w14:textId="77777777" w:rsidR="009711DA" w:rsidRPr="009711DA" w:rsidRDefault="009711DA" w:rsidP="009711DA">
      <w:pPr>
        <w:contextualSpacing/>
        <w:jc w:val="both"/>
        <w:rPr>
          <w:rFonts w:ascii="Lucida Sans Unicode" w:hAnsi="Lucida Sans Unicode" w:cs="Lucida Sans Unicode"/>
          <w:sz w:val="20"/>
          <w:szCs w:val="20"/>
        </w:rPr>
      </w:pPr>
    </w:p>
    <w:p w14:paraId="49C4BD6F" w14:textId="04F2E113" w:rsidR="009711DA" w:rsidRPr="009711DA" w:rsidRDefault="009711DA" w:rsidP="009711DA">
      <w:pPr>
        <w:pStyle w:val="Prrafodelista"/>
        <w:numPr>
          <w:ilvl w:val="0"/>
          <w:numId w:val="15"/>
        </w:numPr>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1</w:t>
      </w:r>
      <w:r w:rsidRPr="009711DA">
        <w:rPr>
          <w:rFonts w:ascii="Lucida Sans Unicode" w:hAnsi="Lucida Sans Unicode" w:cs="Lucida Sans Unicode"/>
          <w:sz w:val="20"/>
          <w:szCs w:val="20"/>
        </w:rPr>
        <w:t xml:space="preserve"> de </w:t>
      </w:r>
      <w:r>
        <w:rPr>
          <w:rFonts w:ascii="Lucida Sans Unicode" w:hAnsi="Lucida Sans Unicode" w:cs="Lucida Sans Unicode"/>
          <w:sz w:val="20"/>
          <w:szCs w:val="20"/>
        </w:rPr>
        <w:t>DOE</w:t>
      </w:r>
      <w:r w:rsidRPr="009711DA">
        <w:rPr>
          <w:rFonts w:ascii="Lucida Sans Unicode" w:hAnsi="Lucida Sans Unicode" w:cs="Lucida Sans Unicode"/>
          <w:sz w:val="20"/>
          <w:szCs w:val="20"/>
        </w:rPr>
        <w:t>.</w:t>
      </w:r>
    </w:p>
    <w:p w14:paraId="1BA42FE1" w14:textId="19878221" w:rsidR="009711DA" w:rsidRPr="009711DA" w:rsidRDefault="009711DA" w:rsidP="009711DA">
      <w:pPr>
        <w:pStyle w:val="Prrafodelista"/>
        <w:numPr>
          <w:ilvl w:val="0"/>
          <w:numId w:val="15"/>
        </w:numPr>
        <w:jc w:val="both"/>
        <w:rPr>
          <w:rFonts w:ascii="Lucida Sans Unicode" w:hAnsi="Lucida Sans Unicode" w:cs="Lucida Sans Unicode"/>
          <w:sz w:val="20"/>
          <w:szCs w:val="20"/>
        </w:rPr>
      </w:pPr>
      <w:r>
        <w:rPr>
          <w:rFonts w:ascii="Lucida Sans Unicode" w:hAnsi="Lucida Sans Unicode" w:cs="Lucida Sans Unicode"/>
          <w:sz w:val="20"/>
          <w:szCs w:val="20"/>
        </w:rPr>
        <w:t>1</w:t>
      </w:r>
      <w:r w:rsidRPr="009711DA">
        <w:rPr>
          <w:rFonts w:ascii="Lucida Sans Unicode" w:hAnsi="Lucida Sans Unicode" w:cs="Lucida Sans Unicode"/>
          <w:sz w:val="20"/>
          <w:szCs w:val="20"/>
        </w:rPr>
        <w:t xml:space="preserve"> de </w:t>
      </w:r>
      <w:r>
        <w:rPr>
          <w:rFonts w:ascii="Lucida Sans Unicode" w:hAnsi="Lucida Sans Unicode" w:cs="Lucida Sans Unicode"/>
          <w:sz w:val="20"/>
          <w:szCs w:val="20"/>
        </w:rPr>
        <w:t>DEC</w:t>
      </w:r>
      <w:r w:rsidRPr="009711DA">
        <w:rPr>
          <w:rFonts w:ascii="Lucida Sans Unicode" w:hAnsi="Lucida Sans Unicode" w:cs="Lucida Sans Unicode"/>
          <w:sz w:val="20"/>
          <w:szCs w:val="20"/>
        </w:rPr>
        <w:t>.</w:t>
      </w:r>
    </w:p>
    <w:p w14:paraId="04CD9B71" w14:textId="0BE85DA5" w:rsidR="009711DA" w:rsidRPr="009711DA" w:rsidRDefault="009711DA" w:rsidP="009711DA">
      <w:pPr>
        <w:pStyle w:val="Prrafodelista"/>
        <w:numPr>
          <w:ilvl w:val="0"/>
          <w:numId w:val="15"/>
        </w:numPr>
        <w:jc w:val="both"/>
        <w:rPr>
          <w:rFonts w:ascii="Lucida Sans Unicode" w:hAnsi="Lucida Sans Unicode" w:cs="Lucida Sans Unicode"/>
          <w:sz w:val="20"/>
          <w:szCs w:val="20"/>
        </w:rPr>
      </w:pPr>
      <w:r>
        <w:rPr>
          <w:rFonts w:ascii="Lucida Sans Unicode" w:hAnsi="Lucida Sans Unicode" w:cs="Lucida Sans Unicode"/>
          <w:sz w:val="20"/>
          <w:szCs w:val="20"/>
        </w:rPr>
        <w:t>1</w:t>
      </w:r>
      <w:r w:rsidRPr="009711DA">
        <w:rPr>
          <w:rFonts w:ascii="Lucida Sans Unicode" w:hAnsi="Lucida Sans Unicode" w:cs="Lucida Sans Unicode"/>
          <w:sz w:val="20"/>
          <w:szCs w:val="20"/>
        </w:rPr>
        <w:t xml:space="preserve"> de </w:t>
      </w:r>
      <w:r>
        <w:rPr>
          <w:rFonts w:ascii="Lucida Sans Unicode" w:hAnsi="Lucida Sans Unicode" w:cs="Lucida Sans Unicode"/>
          <w:sz w:val="20"/>
          <w:szCs w:val="20"/>
        </w:rPr>
        <w:t>DPC</w:t>
      </w:r>
      <w:r w:rsidRPr="009711DA">
        <w:rPr>
          <w:rFonts w:ascii="Lucida Sans Unicode" w:hAnsi="Lucida Sans Unicode" w:cs="Lucida Sans Unicode"/>
          <w:sz w:val="20"/>
          <w:szCs w:val="20"/>
        </w:rPr>
        <w:t>.</w:t>
      </w:r>
    </w:p>
    <w:p w14:paraId="5ED0E337" w14:textId="77777777" w:rsidR="009711DA" w:rsidRPr="009711DA" w:rsidRDefault="009711DA" w:rsidP="009711DA">
      <w:pPr>
        <w:contextualSpacing/>
        <w:jc w:val="both"/>
        <w:rPr>
          <w:rFonts w:ascii="Lucida Sans Unicode" w:hAnsi="Lucida Sans Unicode" w:cs="Lucida Sans Unicode"/>
          <w:sz w:val="20"/>
          <w:szCs w:val="20"/>
        </w:rPr>
      </w:pPr>
    </w:p>
    <w:p w14:paraId="07C1833D" w14:textId="0EA9926B" w:rsidR="00126BAF" w:rsidRDefault="009711DA" w:rsidP="009711DA">
      <w:pPr>
        <w:contextualSpacing/>
        <w:jc w:val="both"/>
        <w:rPr>
          <w:rFonts w:ascii="Lucida Sans Unicode" w:hAnsi="Lucida Sans Unicode" w:cs="Lucida Sans Unicode"/>
          <w:sz w:val="20"/>
          <w:szCs w:val="20"/>
        </w:rPr>
      </w:pPr>
      <w:r w:rsidRPr="009711DA">
        <w:rPr>
          <w:rFonts w:ascii="Lucida Sans Unicode" w:hAnsi="Lucida Sans Unicode" w:cs="Lucida Sans Unicode"/>
          <w:sz w:val="20"/>
          <w:szCs w:val="20"/>
        </w:rPr>
        <w:t>A continuación, se detalla la distribución de las encargadurías de despacho vigentes.</w:t>
      </w:r>
    </w:p>
    <w:p w14:paraId="6D80DE74" w14:textId="77777777" w:rsidR="009711DA" w:rsidRPr="009711DA" w:rsidRDefault="009711DA" w:rsidP="009711DA">
      <w:pPr>
        <w:contextualSpacing/>
        <w:jc w:val="both"/>
        <w:rPr>
          <w:rFonts w:ascii="Lucida Sans Unicode" w:hAnsi="Lucida Sans Unicode" w:cs="Lucida Sans Unicode"/>
          <w:sz w:val="20"/>
          <w:szCs w:val="20"/>
        </w:rPr>
      </w:pPr>
    </w:p>
    <w:tbl>
      <w:tblPr>
        <w:tblStyle w:val="Tablaconcuadrcula"/>
        <w:tblW w:w="8984" w:type="dxa"/>
        <w:jc w:val="center"/>
        <w:tblLayout w:type="fixed"/>
        <w:tblLook w:val="04A0" w:firstRow="1" w:lastRow="0" w:firstColumn="1" w:lastColumn="0" w:noHBand="0" w:noVBand="1"/>
      </w:tblPr>
      <w:tblGrid>
        <w:gridCol w:w="1838"/>
        <w:gridCol w:w="1701"/>
        <w:gridCol w:w="1276"/>
        <w:gridCol w:w="1380"/>
        <w:gridCol w:w="2789"/>
      </w:tblGrid>
      <w:tr w:rsidR="00A00B94" w:rsidRPr="00126BAF" w14:paraId="2F62290F" w14:textId="77777777" w:rsidTr="0062475D">
        <w:trPr>
          <w:trHeight w:val="413"/>
          <w:tblHeader/>
          <w:jc w:val="center"/>
        </w:trPr>
        <w:tc>
          <w:tcPr>
            <w:tcW w:w="1838" w:type="dxa"/>
            <w:shd w:val="clear" w:color="auto" w:fill="4DBBB8"/>
            <w:vAlign w:val="center"/>
          </w:tcPr>
          <w:p w14:paraId="6D098844" w14:textId="77777777" w:rsidR="00A00B94" w:rsidRPr="00126BAF" w:rsidRDefault="00A00B94" w:rsidP="009E5FF0">
            <w:pPr>
              <w:jc w:val="center"/>
              <w:rPr>
                <w:rFonts w:ascii="Lucida Sans Unicode" w:hAnsi="Lucida Sans Unicode" w:cs="Lucida Sans Unicode"/>
                <w:color w:val="FFFFFF" w:themeColor="background1"/>
                <w:sz w:val="18"/>
                <w:szCs w:val="18"/>
              </w:rPr>
            </w:pPr>
            <w:r w:rsidRPr="00126BAF">
              <w:rPr>
                <w:rFonts w:ascii="Lucida Sans Unicode" w:hAnsi="Lucida Sans Unicode" w:cs="Lucida Sans Unicode"/>
                <w:color w:val="FFFFFF" w:themeColor="background1"/>
                <w:sz w:val="18"/>
                <w:szCs w:val="18"/>
              </w:rPr>
              <w:t>Cargo / puesto vacante</w:t>
            </w:r>
          </w:p>
        </w:tc>
        <w:tc>
          <w:tcPr>
            <w:tcW w:w="1701" w:type="dxa"/>
            <w:shd w:val="clear" w:color="auto" w:fill="4DBBB8"/>
            <w:vAlign w:val="center"/>
          </w:tcPr>
          <w:p w14:paraId="21BD91F0" w14:textId="77777777" w:rsidR="00A00B94" w:rsidRPr="00126BAF" w:rsidRDefault="00A00B94" w:rsidP="009E5FF0">
            <w:pPr>
              <w:jc w:val="center"/>
              <w:rPr>
                <w:rFonts w:ascii="Lucida Sans Unicode" w:hAnsi="Lucida Sans Unicode" w:cs="Lucida Sans Unicode"/>
                <w:color w:val="FFFFFF" w:themeColor="background1"/>
                <w:sz w:val="18"/>
                <w:szCs w:val="18"/>
              </w:rPr>
            </w:pPr>
            <w:r w:rsidRPr="00126BAF">
              <w:rPr>
                <w:rFonts w:ascii="Lucida Sans Unicode" w:hAnsi="Lucida Sans Unicode" w:cs="Lucida Sans Unicode"/>
                <w:color w:val="FFFFFF" w:themeColor="background1"/>
                <w:sz w:val="18"/>
                <w:szCs w:val="18"/>
              </w:rPr>
              <w:t>Nombre de la persona que ocupa la plaza temporalmente</w:t>
            </w:r>
          </w:p>
        </w:tc>
        <w:tc>
          <w:tcPr>
            <w:tcW w:w="1276" w:type="dxa"/>
            <w:shd w:val="clear" w:color="auto" w:fill="4DBBB8"/>
            <w:vAlign w:val="center"/>
          </w:tcPr>
          <w:p w14:paraId="2A4F93AB" w14:textId="0AF4FB27" w:rsidR="00A00B94" w:rsidRPr="00126BAF" w:rsidRDefault="00A00B94" w:rsidP="009E5FF0">
            <w:pPr>
              <w:jc w:val="center"/>
              <w:rPr>
                <w:rFonts w:ascii="Lucida Sans Unicode" w:hAnsi="Lucida Sans Unicode" w:cs="Lucida Sans Unicode"/>
                <w:color w:val="FFFFFF" w:themeColor="background1"/>
                <w:sz w:val="18"/>
                <w:szCs w:val="18"/>
              </w:rPr>
            </w:pPr>
            <w:r w:rsidRPr="00126BAF">
              <w:rPr>
                <w:rFonts w:ascii="Lucida Sans Unicode" w:hAnsi="Lucida Sans Unicode" w:cs="Lucida Sans Unicode"/>
                <w:color w:val="FFFFFF" w:themeColor="background1"/>
                <w:sz w:val="18"/>
                <w:szCs w:val="18"/>
              </w:rPr>
              <w:t>Fecha de inicio de encargaduría</w:t>
            </w:r>
          </w:p>
        </w:tc>
        <w:tc>
          <w:tcPr>
            <w:tcW w:w="1380" w:type="dxa"/>
            <w:shd w:val="clear" w:color="auto" w:fill="4DBBB8"/>
            <w:vAlign w:val="center"/>
          </w:tcPr>
          <w:p w14:paraId="00947A22" w14:textId="1D78472F" w:rsidR="00A00B94" w:rsidRPr="00126BAF" w:rsidRDefault="00A00B94" w:rsidP="009E5FF0">
            <w:pPr>
              <w:jc w:val="center"/>
              <w:rPr>
                <w:rFonts w:ascii="Lucida Sans Unicode" w:hAnsi="Lucida Sans Unicode" w:cs="Lucida Sans Unicode"/>
                <w:color w:val="FFFFFF" w:themeColor="background1"/>
                <w:sz w:val="18"/>
                <w:szCs w:val="18"/>
              </w:rPr>
            </w:pPr>
            <w:r w:rsidRPr="00126BAF">
              <w:rPr>
                <w:rFonts w:ascii="Lucida Sans Unicode" w:hAnsi="Lucida Sans Unicode" w:cs="Lucida Sans Unicode"/>
                <w:color w:val="FFFFFF" w:themeColor="background1"/>
                <w:sz w:val="18"/>
                <w:szCs w:val="18"/>
              </w:rPr>
              <w:t>Fecha de fin de encargaduría</w:t>
            </w:r>
          </w:p>
        </w:tc>
        <w:tc>
          <w:tcPr>
            <w:tcW w:w="2789" w:type="dxa"/>
            <w:shd w:val="clear" w:color="auto" w:fill="4DBBB8"/>
            <w:vAlign w:val="center"/>
          </w:tcPr>
          <w:p w14:paraId="5B1E2AF0" w14:textId="77777777" w:rsidR="00A00B94" w:rsidRPr="00126BAF" w:rsidRDefault="00A00B94" w:rsidP="009E5FF0">
            <w:pPr>
              <w:jc w:val="center"/>
              <w:rPr>
                <w:rFonts w:ascii="Lucida Sans Unicode" w:hAnsi="Lucida Sans Unicode" w:cs="Lucida Sans Unicode"/>
                <w:color w:val="FFFFFF" w:themeColor="background1"/>
                <w:sz w:val="18"/>
                <w:szCs w:val="18"/>
              </w:rPr>
            </w:pPr>
            <w:r w:rsidRPr="00126BAF">
              <w:rPr>
                <w:rFonts w:ascii="Lucida Sans Unicode" w:hAnsi="Lucida Sans Unicode" w:cs="Lucida Sans Unicode"/>
                <w:color w:val="FFFFFF" w:themeColor="background1"/>
                <w:sz w:val="18"/>
                <w:szCs w:val="18"/>
              </w:rPr>
              <w:t>No. de periodo en el cargo (máximo 3 periodos)</w:t>
            </w:r>
          </w:p>
        </w:tc>
      </w:tr>
      <w:tr w:rsidR="008462C2" w:rsidRPr="00126BAF" w14:paraId="1277244F" w14:textId="77777777" w:rsidTr="0062475D">
        <w:trPr>
          <w:jc w:val="center"/>
        </w:trPr>
        <w:tc>
          <w:tcPr>
            <w:tcW w:w="1838" w:type="dxa"/>
            <w:vAlign w:val="center"/>
          </w:tcPr>
          <w:p w14:paraId="63CDEAA8" w14:textId="313BD520" w:rsidR="008462C2" w:rsidRPr="00126BAF" w:rsidRDefault="008462C2" w:rsidP="008462C2">
            <w:pPr>
              <w:rPr>
                <w:rFonts w:ascii="Lucida Sans Unicode" w:hAnsi="Lucida Sans Unicode" w:cs="Lucida Sans Unicode"/>
                <w:sz w:val="18"/>
                <w:szCs w:val="18"/>
              </w:rPr>
            </w:pPr>
            <w:r w:rsidRPr="00126BAF">
              <w:rPr>
                <w:rFonts w:ascii="Lucida Sans Unicode" w:hAnsi="Lucida Sans Unicode" w:cs="Lucida Sans Unicode"/>
                <w:sz w:val="18"/>
                <w:szCs w:val="18"/>
              </w:rPr>
              <w:t>Asistencia Técnica de Participación Ciudadana</w:t>
            </w:r>
          </w:p>
        </w:tc>
        <w:tc>
          <w:tcPr>
            <w:tcW w:w="1701" w:type="dxa"/>
            <w:vAlign w:val="center"/>
          </w:tcPr>
          <w:p w14:paraId="6DB01070" w14:textId="7B189C36" w:rsidR="008462C2" w:rsidRPr="00126BAF" w:rsidRDefault="008462C2" w:rsidP="008462C2">
            <w:pPr>
              <w:jc w:val="center"/>
              <w:rPr>
                <w:rFonts w:ascii="Lucida Sans Unicode" w:hAnsi="Lucida Sans Unicode" w:cs="Lucida Sans Unicode"/>
                <w:sz w:val="18"/>
                <w:szCs w:val="18"/>
              </w:rPr>
            </w:pPr>
            <w:r>
              <w:rPr>
                <w:rFonts w:ascii="Lucida Sans Unicode" w:hAnsi="Lucida Sans Unicode" w:cs="Lucida Sans Unicode"/>
                <w:sz w:val="18"/>
                <w:szCs w:val="18"/>
              </w:rPr>
              <w:t>Perl</w:t>
            </w:r>
            <w:r w:rsidRPr="00126BAF">
              <w:rPr>
                <w:rFonts w:ascii="Lucida Sans Unicode" w:hAnsi="Lucida Sans Unicode" w:cs="Lucida Sans Unicode"/>
                <w:sz w:val="18"/>
                <w:szCs w:val="18"/>
              </w:rPr>
              <w:t xml:space="preserve">a </w:t>
            </w:r>
            <w:r>
              <w:rPr>
                <w:rFonts w:ascii="Lucida Sans Unicode" w:hAnsi="Lucida Sans Unicode" w:cs="Lucida Sans Unicode"/>
                <w:sz w:val="18"/>
                <w:szCs w:val="18"/>
              </w:rPr>
              <w:t>B</w:t>
            </w:r>
            <w:r w:rsidRPr="00126BAF">
              <w:rPr>
                <w:rFonts w:ascii="Lucida Sans Unicode" w:hAnsi="Lucida Sans Unicode" w:cs="Lucida Sans Unicode"/>
                <w:sz w:val="18"/>
                <w:szCs w:val="18"/>
              </w:rPr>
              <w:t>ea</w:t>
            </w:r>
            <w:r>
              <w:rPr>
                <w:rFonts w:ascii="Lucida Sans Unicode" w:hAnsi="Lucida Sans Unicode" w:cs="Lucida Sans Unicode"/>
                <w:sz w:val="18"/>
                <w:szCs w:val="18"/>
              </w:rPr>
              <w:t>t</w:t>
            </w:r>
            <w:r w:rsidRPr="00126BAF">
              <w:rPr>
                <w:rFonts w:ascii="Lucida Sans Unicode" w:hAnsi="Lucida Sans Unicode" w:cs="Lucida Sans Unicode"/>
                <w:sz w:val="18"/>
                <w:szCs w:val="18"/>
              </w:rPr>
              <w:t>r</w:t>
            </w:r>
            <w:r>
              <w:rPr>
                <w:rFonts w:ascii="Lucida Sans Unicode" w:hAnsi="Lucida Sans Unicode" w:cs="Lucida Sans Unicode"/>
                <w:sz w:val="18"/>
                <w:szCs w:val="18"/>
              </w:rPr>
              <w:t>iz</w:t>
            </w:r>
            <w:r w:rsidRPr="00126BAF">
              <w:rPr>
                <w:rFonts w:ascii="Lucida Sans Unicode" w:hAnsi="Lucida Sans Unicode" w:cs="Lucida Sans Unicode"/>
                <w:sz w:val="18"/>
                <w:szCs w:val="18"/>
              </w:rPr>
              <w:t xml:space="preserve"> </w:t>
            </w:r>
            <w:r>
              <w:rPr>
                <w:rFonts w:ascii="Lucida Sans Unicode" w:hAnsi="Lucida Sans Unicode" w:cs="Lucida Sans Unicode"/>
                <w:sz w:val="18"/>
                <w:szCs w:val="18"/>
              </w:rPr>
              <w:t>Martín</w:t>
            </w:r>
            <w:r w:rsidRPr="00126BAF">
              <w:rPr>
                <w:rFonts w:ascii="Lucida Sans Unicode" w:hAnsi="Lucida Sans Unicode" w:cs="Lucida Sans Unicode"/>
                <w:sz w:val="18"/>
                <w:szCs w:val="18"/>
              </w:rPr>
              <w:t xml:space="preserve">ez </w:t>
            </w:r>
            <w:r>
              <w:rPr>
                <w:rFonts w:ascii="Lucida Sans Unicode" w:hAnsi="Lucida Sans Unicode" w:cs="Lucida Sans Unicode"/>
                <w:sz w:val="18"/>
                <w:szCs w:val="18"/>
              </w:rPr>
              <w:t>G</w:t>
            </w:r>
            <w:r w:rsidRPr="00126BAF">
              <w:rPr>
                <w:rFonts w:ascii="Lucida Sans Unicode" w:hAnsi="Lucida Sans Unicode" w:cs="Lucida Sans Unicode"/>
                <w:sz w:val="18"/>
                <w:szCs w:val="18"/>
              </w:rPr>
              <w:t>o</w:t>
            </w:r>
            <w:r>
              <w:rPr>
                <w:rFonts w:ascii="Lucida Sans Unicode" w:hAnsi="Lucida Sans Unicode" w:cs="Lucida Sans Unicode"/>
                <w:sz w:val="18"/>
                <w:szCs w:val="18"/>
              </w:rPr>
              <w:t>nzález</w:t>
            </w:r>
            <w:r w:rsidR="00F57AD1">
              <w:rPr>
                <w:rFonts w:ascii="Lucida Sans Unicode" w:hAnsi="Lucida Sans Unicode" w:cs="Lucida Sans Unicode"/>
                <w:sz w:val="18"/>
                <w:szCs w:val="18"/>
              </w:rPr>
              <w:t>*</w:t>
            </w:r>
          </w:p>
        </w:tc>
        <w:tc>
          <w:tcPr>
            <w:tcW w:w="1276" w:type="dxa"/>
            <w:vAlign w:val="center"/>
          </w:tcPr>
          <w:p w14:paraId="4F297CD2" w14:textId="5D4F0274" w:rsidR="008462C2" w:rsidRPr="00126BAF" w:rsidRDefault="008462C2" w:rsidP="008462C2">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16 de </w:t>
            </w:r>
            <w:r>
              <w:rPr>
                <w:rFonts w:ascii="Lucida Sans Unicode" w:hAnsi="Lucida Sans Unicode" w:cs="Lucida Sans Unicode"/>
                <w:sz w:val="18"/>
                <w:szCs w:val="18"/>
              </w:rPr>
              <w:t>juli</w:t>
            </w:r>
            <w:r w:rsidRPr="00126BAF">
              <w:rPr>
                <w:rFonts w:ascii="Lucida Sans Unicode" w:hAnsi="Lucida Sans Unicode" w:cs="Lucida Sans Unicode"/>
                <w:sz w:val="18"/>
                <w:szCs w:val="18"/>
              </w:rPr>
              <w:t>o de 2024</w:t>
            </w:r>
          </w:p>
        </w:tc>
        <w:tc>
          <w:tcPr>
            <w:tcW w:w="1380" w:type="dxa"/>
            <w:vAlign w:val="center"/>
          </w:tcPr>
          <w:p w14:paraId="167377A0" w14:textId="513A02F4" w:rsidR="008462C2" w:rsidRPr="00126BAF" w:rsidRDefault="008462C2" w:rsidP="008462C2">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15 de e</w:t>
            </w:r>
            <w:r>
              <w:rPr>
                <w:rFonts w:ascii="Lucida Sans Unicode" w:hAnsi="Lucida Sans Unicode" w:cs="Lucida Sans Unicode"/>
                <w:sz w:val="18"/>
                <w:szCs w:val="18"/>
              </w:rPr>
              <w:t>ne</w:t>
            </w:r>
            <w:r w:rsidRPr="00126BAF">
              <w:rPr>
                <w:rFonts w:ascii="Lucida Sans Unicode" w:hAnsi="Lucida Sans Unicode" w:cs="Lucida Sans Unicode"/>
                <w:sz w:val="18"/>
                <w:szCs w:val="18"/>
              </w:rPr>
              <w:t>r</w:t>
            </w:r>
            <w:r>
              <w:rPr>
                <w:rFonts w:ascii="Lucida Sans Unicode" w:hAnsi="Lucida Sans Unicode" w:cs="Lucida Sans Unicode"/>
                <w:sz w:val="18"/>
                <w:szCs w:val="18"/>
              </w:rPr>
              <w:t>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59BB70A2" w14:textId="220EB5A8" w:rsidR="00F57AD1" w:rsidRDefault="00F57AD1" w:rsidP="008462C2">
            <w:pPr>
              <w:jc w:val="center"/>
              <w:rPr>
                <w:rFonts w:ascii="Lucida Sans Unicode" w:hAnsi="Lucida Sans Unicode" w:cs="Lucida Sans Unicode"/>
                <w:sz w:val="18"/>
                <w:szCs w:val="18"/>
              </w:rPr>
            </w:pPr>
            <w:r>
              <w:rPr>
                <w:rFonts w:ascii="Lucida Sans Unicode" w:hAnsi="Lucida Sans Unicode" w:cs="Lucida Sans Unicode"/>
                <w:sz w:val="18"/>
                <w:szCs w:val="18"/>
              </w:rPr>
              <w:t>Primero.</w:t>
            </w:r>
          </w:p>
          <w:p w14:paraId="66C0EDFE" w14:textId="5D3BC9D9" w:rsidR="008462C2" w:rsidRPr="00126BAF" w:rsidRDefault="008462C2" w:rsidP="008462C2">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Oficio viabilidad INE/DESPEN/DCPE/</w:t>
            </w:r>
            <w:r w:rsidR="00F57AD1">
              <w:rPr>
                <w:rFonts w:ascii="Lucida Sans Unicode" w:hAnsi="Lucida Sans Unicode" w:cs="Lucida Sans Unicode"/>
                <w:sz w:val="18"/>
                <w:szCs w:val="18"/>
              </w:rPr>
              <w:t>121</w:t>
            </w:r>
            <w:r w:rsidRPr="00126BAF">
              <w:rPr>
                <w:rFonts w:ascii="Lucida Sans Unicode" w:hAnsi="Lucida Sans Unicode" w:cs="Lucida Sans Unicode"/>
                <w:sz w:val="18"/>
                <w:szCs w:val="18"/>
              </w:rPr>
              <w:t>/2024</w:t>
            </w:r>
          </w:p>
        </w:tc>
      </w:tr>
      <w:tr w:rsidR="00F57AD1" w:rsidRPr="00126BAF" w14:paraId="3F928804" w14:textId="77777777" w:rsidTr="0062475D">
        <w:trPr>
          <w:jc w:val="center"/>
        </w:trPr>
        <w:tc>
          <w:tcPr>
            <w:tcW w:w="1838" w:type="dxa"/>
            <w:vAlign w:val="center"/>
          </w:tcPr>
          <w:p w14:paraId="0C86937F" w14:textId="31888A16"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Coordinación de Participación Ciudadana</w:t>
            </w:r>
          </w:p>
        </w:tc>
        <w:tc>
          <w:tcPr>
            <w:tcW w:w="1701" w:type="dxa"/>
            <w:vAlign w:val="center"/>
          </w:tcPr>
          <w:p w14:paraId="21D5351F" w14:textId="5E2633C0"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Penélope Roa Montoya</w:t>
            </w:r>
          </w:p>
        </w:tc>
        <w:tc>
          <w:tcPr>
            <w:tcW w:w="1276" w:type="dxa"/>
            <w:vAlign w:val="center"/>
          </w:tcPr>
          <w:p w14:paraId="0B63B2C4" w14:textId="7A9C2AB5"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octub</w:t>
            </w:r>
            <w:r w:rsidRPr="00126BAF">
              <w:rPr>
                <w:rFonts w:ascii="Lucida Sans Unicode" w:hAnsi="Lucida Sans Unicode" w:cs="Lucida Sans Unicode"/>
                <w:sz w:val="18"/>
                <w:szCs w:val="18"/>
              </w:rPr>
              <w:t>r</w:t>
            </w:r>
            <w:r>
              <w:rPr>
                <w:rFonts w:ascii="Lucida Sans Unicode" w:hAnsi="Lucida Sans Unicode" w:cs="Lucida Sans Unicode"/>
                <w:sz w:val="18"/>
                <w:szCs w:val="18"/>
              </w:rPr>
              <w:t>e</w:t>
            </w:r>
            <w:r w:rsidRPr="00126BAF">
              <w:rPr>
                <w:rFonts w:ascii="Lucida Sans Unicode" w:hAnsi="Lucida Sans Unicode" w:cs="Lucida Sans Unicode"/>
                <w:sz w:val="18"/>
                <w:szCs w:val="18"/>
              </w:rPr>
              <w:t xml:space="preserve"> de 2024</w:t>
            </w:r>
          </w:p>
        </w:tc>
        <w:tc>
          <w:tcPr>
            <w:tcW w:w="1380" w:type="dxa"/>
            <w:vAlign w:val="center"/>
          </w:tcPr>
          <w:p w14:paraId="0ACDCE24" w14:textId="2F2942DB"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3</w:t>
            </w:r>
            <w:r>
              <w:rPr>
                <w:rFonts w:ascii="Lucida Sans Unicode" w:hAnsi="Lucida Sans Unicode" w:cs="Lucida Sans Unicode"/>
                <w:sz w:val="18"/>
                <w:szCs w:val="18"/>
              </w:rPr>
              <w:t>1</w:t>
            </w:r>
            <w:r w:rsidRPr="00126BAF">
              <w:rPr>
                <w:rFonts w:ascii="Lucida Sans Unicode" w:hAnsi="Lucida Sans Unicode" w:cs="Lucida Sans Unicode"/>
                <w:sz w:val="18"/>
                <w:szCs w:val="18"/>
              </w:rPr>
              <w:t xml:space="preserve"> de m</w:t>
            </w:r>
            <w:r>
              <w:rPr>
                <w:rFonts w:ascii="Lucida Sans Unicode" w:hAnsi="Lucida Sans Unicode" w:cs="Lucida Sans Unicode"/>
                <w:sz w:val="18"/>
                <w:szCs w:val="18"/>
              </w:rPr>
              <w:t>a</w:t>
            </w:r>
            <w:r w:rsidRPr="00126BAF">
              <w:rPr>
                <w:rFonts w:ascii="Lucida Sans Unicode" w:hAnsi="Lucida Sans Unicode" w:cs="Lucida Sans Unicode"/>
                <w:sz w:val="18"/>
                <w:szCs w:val="18"/>
              </w:rPr>
              <w:t>r</w:t>
            </w:r>
            <w:r>
              <w:rPr>
                <w:rFonts w:ascii="Lucida Sans Unicode" w:hAnsi="Lucida Sans Unicode" w:cs="Lucida Sans Unicode"/>
                <w:sz w:val="18"/>
                <w:szCs w:val="18"/>
              </w:rPr>
              <w:t>zo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105E8D8C" w14:textId="295BBE35" w:rsidR="00F57AD1"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Segundo.</w:t>
            </w:r>
          </w:p>
          <w:p w14:paraId="4B9816F6" w14:textId="3FA9EE77" w:rsidR="00F57AD1" w:rsidRPr="00126BAF"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Acuerdo</w:t>
            </w:r>
          </w:p>
          <w:p w14:paraId="1469F2C1" w14:textId="05F4F95A"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IEPC-ACG-</w:t>
            </w:r>
            <w:r>
              <w:rPr>
                <w:rFonts w:ascii="Lucida Sans Unicode" w:hAnsi="Lucida Sans Unicode" w:cs="Lucida Sans Unicode"/>
                <w:sz w:val="18"/>
                <w:szCs w:val="18"/>
              </w:rPr>
              <w:t>344</w:t>
            </w:r>
            <w:r w:rsidRPr="00126BAF">
              <w:rPr>
                <w:rFonts w:ascii="Lucida Sans Unicode" w:hAnsi="Lucida Sans Unicode" w:cs="Lucida Sans Unicode"/>
                <w:sz w:val="18"/>
                <w:szCs w:val="18"/>
              </w:rPr>
              <w:t>/2024</w:t>
            </w:r>
          </w:p>
        </w:tc>
      </w:tr>
      <w:tr w:rsidR="00F57AD1" w:rsidRPr="00126BAF" w14:paraId="5D1A6BBC" w14:textId="77777777" w:rsidTr="0062475D">
        <w:trPr>
          <w:jc w:val="center"/>
        </w:trPr>
        <w:tc>
          <w:tcPr>
            <w:tcW w:w="1838" w:type="dxa"/>
            <w:vAlign w:val="center"/>
          </w:tcPr>
          <w:p w14:paraId="46122CB5" w14:textId="6076F0CC"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Asistencia Técnica de Participación Ciudadana</w:t>
            </w:r>
          </w:p>
        </w:tc>
        <w:tc>
          <w:tcPr>
            <w:tcW w:w="1701" w:type="dxa"/>
            <w:vAlign w:val="center"/>
          </w:tcPr>
          <w:p w14:paraId="4249EDFD" w14:textId="03DE0CA8" w:rsidR="00F57AD1" w:rsidRPr="00126BAF" w:rsidRDefault="00F57AD1" w:rsidP="00F57AD1">
            <w:pPr>
              <w:jc w:val="center"/>
              <w:rPr>
                <w:rFonts w:ascii="Lucida Sans Unicode" w:hAnsi="Lucida Sans Unicode" w:cs="Lucida Sans Unicode"/>
                <w:sz w:val="18"/>
                <w:szCs w:val="18"/>
              </w:rPr>
            </w:pPr>
            <w:r w:rsidRPr="00F57AD1">
              <w:rPr>
                <w:rFonts w:ascii="Lucida Sans Unicode" w:hAnsi="Lucida Sans Unicode" w:cs="Lucida Sans Unicode"/>
                <w:sz w:val="18"/>
                <w:szCs w:val="18"/>
              </w:rPr>
              <w:t>Paola Alejandra Aguayo Bernal</w:t>
            </w:r>
          </w:p>
        </w:tc>
        <w:tc>
          <w:tcPr>
            <w:tcW w:w="1276" w:type="dxa"/>
            <w:vAlign w:val="center"/>
          </w:tcPr>
          <w:p w14:paraId="293BD6FB" w14:textId="66B7CB81"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1</w:t>
            </w:r>
            <w:r>
              <w:rPr>
                <w:rFonts w:ascii="Lucida Sans Unicode" w:hAnsi="Lucida Sans Unicode" w:cs="Lucida Sans Unicode"/>
                <w:sz w:val="18"/>
                <w:szCs w:val="18"/>
              </w:rPr>
              <w:t>6</w:t>
            </w:r>
            <w:r w:rsidRPr="00126BAF">
              <w:rPr>
                <w:rFonts w:ascii="Lucida Sans Unicode" w:hAnsi="Lucida Sans Unicode" w:cs="Lucida Sans Unicode"/>
                <w:sz w:val="18"/>
                <w:szCs w:val="18"/>
              </w:rPr>
              <w:t xml:space="preserve"> de noviembre de 2024</w:t>
            </w:r>
          </w:p>
        </w:tc>
        <w:tc>
          <w:tcPr>
            <w:tcW w:w="1380" w:type="dxa"/>
            <w:vAlign w:val="center"/>
          </w:tcPr>
          <w:p w14:paraId="77B32D60" w14:textId="1B3586E8"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15 de </w:t>
            </w:r>
            <w:r>
              <w:rPr>
                <w:rFonts w:ascii="Lucida Sans Unicode" w:hAnsi="Lucida Sans Unicode" w:cs="Lucida Sans Unicode"/>
                <w:sz w:val="18"/>
                <w:szCs w:val="18"/>
              </w:rPr>
              <w:t>mayo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31E300B5" w14:textId="77777777" w:rsidR="00F57AD1"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Primero.</w:t>
            </w:r>
          </w:p>
          <w:p w14:paraId="2FE0C60B" w14:textId="378DD7BC"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Oficio viabilidad INE/DESPEN/DCPE/</w:t>
            </w:r>
            <w:r>
              <w:rPr>
                <w:rFonts w:ascii="Lucida Sans Unicode" w:hAnsi="Lucida Sans Unicode" w:cs="Lucida Sans Unicode"/>
                <w:sz w:val="18"/>
                <w:szCs w:val="18"/>
              </w:rPr>
              <w:t>164</w:t>
            </w:r>
            <w:r w:rsidRPr="00126BAF">
              <w:rPr>
                <w:rFonts w:ascii="Lucida Sans Unicode" w:hAnsi="Lucida Sans Unicode" w:cs="Lucida Sans Unicode"/>
                <w:sz w:val="18"/>
                <w:szCs w:val="18"/>
              </w:rPr>
              <w:t>/2024</w:t>
            </w:r>
          </w:p>
        </w:tc>
      </w:tr>
      <w:tr w:rsidR="00F57AD1" w:rsidRPr="00126BAF" w14:paraId="1F7EEA68" w14:textId="77777777" w:rsidTr="0062475D">
        <w:trPr>
          <w:jc w:val="center"/>
        </w:trPr>
        <w:tc>
          <w:tcPr>
            <w:tcW w:w="1838" w:type="dxa"/>
            <w:vAlign w:val="center"/>
          </w:tcPr>
          <w:p w14:paraId="7FB8A7E9" w14:textId="4E00AE3B"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Asistencia Técnica de Participación Ciudadana</w:t>
            </w:r>
          </w:p>
        </w:tc>
        <w:tc>
          <w:tcPr>
            <w:tcW w:w="1701" w:type="dxa"/>
            <w:vAlign w:val="center"/>
          </w:tcPr>
          <w:p w14:paraId="6A0EA534" w14:textId="62AF2E2F" w:rsidR="00F57AD1" w:rsidRPr="00126BAF" w:rsidRDefault="00F57AD1" w:rsidP="00F57AD1">
            <w:pPr>
              <w:jc w:val="center"/>
              <w:rPr>
                <w:rFonts w:ascii="Lucida Sans Unicode" w:hAnsi="Lucida Sans Unicode" w:cs="Lucida Sans Unicode"/>
                <w:sz w:val="18"/>
                <w:szCs w:val="18"/>
              </w:rPr>
            </w:pPr>
            <w:r w:rsidRPr="00F57AD1">
              <w:rPr>
                <w:rFonts w:ascii="Lucida Sans Unicode" w:hAnsi="Lucida Sans Unicode" w:cs="Lucida Sans Unicode"/>
                <w:sz w:val="18"/>
                <w:szCs w:val="18"/>
              </w:rPr>
              <w:t>Brenda Rosario Luna Chávez</w:t>
            </w:r>
          </w:p>
        </w:tc>
        <w:tc>
          <w:tcPr>
            <w:tcW w:w="1276" w:type="dxa"/>
            <w:vAlign w:val="center"/>
          </w:tcPr>
          <w:p w14:paraId="5A8CE8A0" w14:textId="0C99F8DF"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1</w:t>
            </w:r>
            <w:r>
              <w:rPr>
                <w:rFonts w:ascii="Lucida Sans Unicode" w:hAnsi="Lucida Sans Unicode" w:cs="Lucida Sans Unicode"/>
                <w:sz w:val="18"/>
                <w:szCs w:val="18"/>
              </w:rPr>
              <w:t>6</w:t>
            </w:r>
            <w:r w:rsidRPr="00126BAF">
              <w:rPr>
                <w:rFonts w:ascii="Lucida Sans Unicode" w:hAnsi="Lucida Sans Unicode" w:cs="Lucida Sans Unicode"/>
                <w:sz w:val="18"/>
                <w:szCs w:val="18"/>
              </w:rPr>
              <w:t xml:space="preserve"> de noviembre de 2024</w:t>
            </w:r>
          </w:p>
        </w:tc>
        <w:tc>
          <w:tcPr>
            <w:tcW w:w="1380" w:type="dxa"/>
            <w:vAlign w:val="center"/>
          </w:tcPr>
          <w:p w14:paraId="4EE4BCFE" w14:textId="6F854047"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15 de </w:t>
            </w:r>
            <w:r>
              <w:rPr>
                <w:rFonts w:ascii="Lucida Sans Unicode" w:hAnsi="Lucida Sans Unicode" w:cs="Lucida Sans Unicode"/>
                <w:sz w:val="18"/>
                <w:szCs w:val="18"/>
              </w:rPr>
              <w:t>mayo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79C99263" w14:textId="77777777" w:rsidR="00F57AD1"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Primero.</w:t>
            </w:r>
          </w:p>
          <w:p w14:paraId="383334D7" w14:textId="4501D6BA"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Oficio viabilidad INE/DESPEN/DCPE/</w:t>
            </w:r>
            <w:r>
              <w:rPr>
                <w:rFonts w:ascii="Lucida Sans Unicode" w:hAnsi="Lucida Sans Unicode" w:cs="Lucida Sans Unicode"/>
                <w:sz w:val="18"/>
                <w:szCs w:val="18"/>
              </w:rPr>
              <w:t>164</w:t>
            </w:r>
            <w:r w:rsidRPr="00126BAF">
              <w:rPr>
                <w:rFonts w:ascii="Lucida Sans Unicode" w:hAnsi="Lucida Sans Unicode" w:cs="Lucida Sans Unicode"/>
                <w:sz w:val="18"/>
                <w:szCs w:val="18"/>
              </w:rPr>
              <w:t>/2024</w:t>
            </w:r>
          </w:p>
        </w:tc>
      </w:tr>
      <w:tr w:rsidR="00F57AD1" w:rsidRPr="00126BAF" w14:paraId="517B1E73" w14:textId="77777777" w:rsidTr="0062475D">
        <w:trPr>
          <w:jc w:val="center"/>
        </w:trPr>
        <w:tc>
          <w:tcPr>
            <w:tcW w:w="1838" w:type="dxa"/>
            <w:shd w:val="clear" w:color="auto" w:fill="auto"/>
            <w:vAlign w:val="center"/>
          </w:tcPr>
          <w:p w14:paraId="62F36A80" w14:textId="76E82AC9"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Asistencia Técnica de </w:t>
            </w:r>
            <w:r>
              <w:rPr>
                <w:rFonts w:ascii="Lucida Sans Unicode" w:hAnsi="Lucida Sans Unicode" w:cs="Lucida Sans Unicode"/>
                <w:sz w:val="18"/>
                <w:szCs w:val="18"/>
              </w:rPr>
              <w:t>Prerrogativas y Partidos Políticos</w:t>
            </w:r>
          </w:p>
        </w:tc>
        <w:tc>
          <w:tcPr>
            <w:tcW w:w="1701" w:type="dxa"/>
            <w:shd w:val="clear" w:color="auto" w:fill="auto"/>
            <w:vAlign w:val="center"/>
          </w:tcPr>
          <w:p w14:paraId="2F499EB9" w14:textId="22ABA1BC" w:rsidR="00F57AD1" w:rsidRPr="00126BAF" w:rsidRDefault="00F57AD1" w:rsidP="00F57AD1">
            <w:pPr>
              <w:jc w:val="center"/>
              <w:rPr>
                <w:rFonts w:ascii="Lucida Sans Unicode" w:hAnsi="Lucida Sans Unicode" w:cs="Lucida Sans Unicode"/>
                <w:sz w:val="18"/>
                <w:szCs w:val="18"/>
              </w:rPr>
            </w:pPr>
            <w:r w:rsidRPr="00F57AD1">
              <w:rPr>
                <w:rFonts w:ascii="Lucida Sans Unicode" w:hAnsi="Lucida Sans Unicode" w:cs="Lucida Sans Unicode"/>
                <w:sz w:val="18"/>
                <w:szCs w:val="18"/>
              </w:rPr>
              <w:t>Óscar Isaac Sánchez Covarrubias</w:t>
            </w:r>
          </w:p>
        </w:tc>
        <w:tc>
          <w:tcPr>
            <w:tcW w:w="1276" w:type="dxa"/>
            <w:vAlign w:val="center"/>
          </w:tcPr>
          <w:p w14:paraId="278C5BDE" w14:textId="6CF123D6"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1</w:t>
            </w:r>
            <w:r>
              <w:rPr>
                <w:rFonts w:ascii="Lucida Sans Unicode" w:hAnsi="Lucida Sans Unicode" w:cs="Lucida Sans Unicode"/>
                <w:sz w:val="18"/>
                <w:szCs w:val="18"/>
              </w:rPr>
              <w:t>6</w:t>
            </w:r>
            <w:r w:rsidRPr="00126BAF">
              <w:rPr>
                <w:rFonts w:ascii="Lucida Sans Unicode" w:hAnsi="Lucida Sans Unicode" w:cs="Lucida Sans Unicode"/>
                <w:sz w:val="18"/>
                <w:szCs w:val="18"/>
              </w:rPr>
              <w:t xml:space="preserve"> de noviembre de 2024</w:t>
            </w:r>
          </w:p>
        </w:tc>
        <w:tc>
          <w:tcPr>
            <w:tcW w:w="1380" w:type="dxa"/>
            <w:vAlign w:val="center"/>
          </w:tcPr>
          <w:p w14:paraId="365ADA1A" w14:textId="0A01DFFF"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15 de </w:t>
            </w:r>
            <w:r>
              <w:rPr>
                <w:rFonts w:ascii="Lucida Sans Unicode" w:hAnsi="Lucida Sans Unicode" w:cs="Lucida Sans Unicode"/>
                <w:sz w:val="18"/>
                <w:szCs w:val="18"/>
              </w:rPr>
              <w:t>mayo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shd w:val="clear" w:color="auto" w:fill="auto"/>
            <w:vAlign w:val="center"/>
          </w:tcPr>
          <w:p w14:paraId="729773A9" w14:textId="77777777" w:rsidR="00F57AD1"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Primero.</w:t>
            </w:r>
          </w:p>
          <w:p w14:paraId="566DE871" w14:textId="373D0F49"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Oficio viabilidad INE/DESPEN/DCPE/</w:t>
            </w:r>
            <w:r>
              <w:rPr>
                <w:rFonts w:ascii="Lucida Sans Unicode" w:hAnsi="Lucida Sans Unicode" w:cs="Lucida Sans Unicode"/>
                <w:sz w:val="18"/>
                <w:szCs w:val="18"/>
              </w:rPr>
              <w:t>164</w:t>
            </w:r>
            <w:r w:rsidRPr="00126BAF">
              <w:rPr>
                <w:rFonts w:ascii="Lucida Sans Unicode" w:hAnsi="Lucida Sans Unicode" w:cs="Lucida Sans Unicode"/>
                <w:sz w:val="18"/>
                <w:szCs w:val="18"/>
              </w:rPr>
              <w:t>/2024</w:t>
            </w:r>
          </w:p>
        </w:tc>
      </w:tr>
      <w:tr w:rsidR="00F57AD1" w:rsidRPr="00126BAF" w14:paraId="64A90068" w14:textId="77777777" w:rsidTr="0062475D">
        <w:trPr>
          <w:jc w:val="center"/>
        </w:trPr>
        <w:tc>
          <w:tcPr>
            <w:tcW w:w="1838" w:type="dxa"/>
            <w:vAlign w:val="center"/>
          </w:tcPr>
          <w:p w14:paraId="7FCD6EA2" w14:textId="6A5F40C3"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Coordinación de Organización Electoral</w:t>
            </w:r>
          </w:p>
        </w:tc>
        <w:tc>
          <w:tcPr>
            <w:tcW w:w="1701" w:type="dxa"/>
            <w:vAlign w:val="center"/>
          </w:tcPr>
          <w:p w14:paraId="071A32B8" w14:textId="6050BFB4" w:rsidR="00F57AD1" w:rsidRPr="00126BAF" w:rsidRDefault="00F57AD1" w:rsidP="00F57AD1">
            <w:pPr>
              <w:jc w:val="center"/>
              <w:rPr>
                <w:rFonts w:ascii="Lucida Sans Unicode" w:hAnsi="Lucida Sans Unicode" w:cs="Lucida Sans Unicode"/>
                <w:sz w:val="18"/>
                <w:szCs w:val="18"/>
              </w:rPr>
            </w:pPr>
            <w:r w:rsidRPr="00F57AD1">
              <w:rPr>
                <w:rFonts w:ascii="Lucida Sans Unicode" w:hAnsi="Lucida Sans Unicode" w:cs="Lucida Sans Unicode"/>
                <w:sz w:val="18"/>
                <w:szCs w:val="18"/>
              </w:rPr>
              <w:t>Héctor Leonardo Ojeda G. Valdivia</w:t>
            </w:r>
          </w:p>
        </w:tc>
        <w:tc>
          <w:tcPr>
            <w:tcW w:w="1276" w:type="dxa"/>
            <w:vAlign w:val="center"/>
          </w:tcPr>
          <w:p w14:paraId="131865AF" w14:textId="135E98C2"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diciembre</w:t>
            </w:r>
            <w:r w:rsidRPr="00126BAF">
              <w:rPr>
                <w:rFonts w:ascii="Lucida Sans Unicode" w:hAnsi="Lucida Sans Unicode" w:cs="Lucida Sans Unicode"/>
                <w:sz w:val="18"/>
                <w:szCs w:val="18"/>
              </w:rPr>
              <w:t xml:space="preserve"> de 2024</w:t>
            </w:r>
          </w:p>
        </w:tc>
        <w:tc>
          <w:tcPr>
            <w:tcW w:w="1380" w:type="dxa"/>
            <w:vAlign w:val="center"/>
          </w:tcPr>
          <w:p w14:paraId="2A019DD4" w14:textId="0F684B9C" w:rsidR="00F57AD1" w:rsidRPr="00126BAF"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3</w:t>
            </w: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mayo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4FF64788" w14:textId="77777777" w:rsidR="00F57AD1"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Primero.</w:t>
            </w:r>
          </w:p>
          <w:p w14:paraId="1B108AC9" w14:textId="36230D24"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Oficio viabilidad INE/DESPEN/DCPE/</w:t>
            </w:r>
            <w:r>
              <w:rPr>
                <w:rFonts w:ascii="Lucida Sans Unicode" w:hAnsi="Lucida Sans Unicode" w:cs="Lucida Sans Unicode"/>
                <w:sz w:val="18"/>
                <w:szCs w:val="18"/>
              </w:rPr>
              <w:t>164</w:t>
            </w:r>
            <w:r w:rsidRPr="00126BAF">
              <w:rPr>
                <w:rFonts w:ascii="Lucida Sans Unicode" w:hAnsi="Lucida Sans Unicode" w:cs="Lucida Sans Unicode"/>
                <w:sz w:val="18"/>
                <w:szCs w:val="18"/>
              </w:rPr>
              <w:t>/2024</w:t>
            </w:r>
          </w:p>
        </w:tc>
      </w:tr>
      <w:tr w:rsidR="00F57AD1" w:rsidRPr="00126BAF" w14:paraId="41C81422" w14:textId="77777777" w:rsidTr="0062475D">
        <w:trPr>
          <w:jc w:val="center"/>
        </w:trPr>
        <w:tc>
          <w:tcPr>
            <w:tcW w:w="1838" w:type="dxa"/>
            <w:vAlign w:val="center"/>
          </w:tcPr>
          <w:p w14:paraId="520099E4" w14:textId="08C189D6"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Asistencia Técnica de Organización Electoral</w:t>
            </w:r>
          </w:p>
        </w:tc>
        <w:tc>
          <w:tcPr>
            <w:tcW w:w="1701" w:type="dxa"/>
            <w:vAlign w:val="center"/>
          </w:tcPr>
          <w:p w14:paraId="7C1CB038" w14:textId="23E20500" w:rsidR="00F57AD1" w:rsidRPr="00126BAF" w:rsidRDefault="00F57AD1" w:rsidP="00F57AD1">
            <w:pPr>
              <w:jc w:val="center"/>
              <w:rPr>
                <w:rFonts w:ascii="Lucida Sans Unicode" w:hAnsi="Lucida Sans Unicode" w:cs="Lucida Sans Unicode"/>
                <w:sz w:val="18"/>
                <w:szCs w:val="18"/>
              </w:rPr>
            </w:pPr>
            <w:r w:rsidRPr="00F57AD1">
              <w:rPr>
                <w:rFonts w:ascii="Lucida Sans Unicode" w:hAnsi="Lucida Sans Unicode" w:cs="Lucida Sans Unicode"/>
                <w:sz w:val="18"/>
                <w:szCs w:val="18"/>
              </w:rPr>
              <w:t>Diego Alejandro Martínez Meléndez</w:t>
            </w:r>
          </w:p>
        </w:tc>
        <w:tc>
          <w:tcPr>
            <w:tcW w:w="1276" w:type="dxa"/>
            <w:vAlign w:val="center"/>
          </w:tcPr>
          <w:p w14:paraId="73A13FDD" w14:textId="2E8C4FF3"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diciembre</w:t>
            </w:r>
            <w:r w:rsidRPr="00126BAF">
              <w:rPr>
                <w:rFonts w:ascii="Lucida Sans Unicode" w:hAnsi="Lucida Sans Unicode" w:cs="Lucida Sans Unicode"/>
                <w:sz w:val="18"/>
                <w:szCs w:val="18"/>
              </w:rPr>
              <w:t xml:space="preserve"> de 2024</w:t>
            </w:r>
          </w:p>
        </w:tc>
        <w:tc>
          <w:tcPr>
            <w:tcW w:w="1380" w:type="dxa"/>
            <w:vAlign w:val="center"/>
          </w:tcPr>
          <w:p w14:paraId="0C1BF44E" w14:textId="5E8C3714" w:rsidR="00F57AD1" w:rsidRPr="00126BAF"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3</w:t>
            </w: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mayo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41F50554" w14:textId="77777777" w:rsidR="00F57AD1"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Primero.</w:t>
            </w:r>
          </w:p>
          <w:p w14:paraId="277800EC" w14:textId="6FDA5129"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Oficio viabilidad INE/DESPEN/DCPE/</w:t>
            </w:r>
            <w:r>
              <w:rPr>
                <w:rFonts w:ascii="Lucida Sans Unicode" w:hAnsi="Lucida Sans Unicode" w:cs="Lucida Sans Unicode"/>
                <w:sz w:val="18"/>
                <w:szCs w:val="18"/>
              </w:rPr>
              <w:t>164</w:t>
            </w:r>
            <w:r w:rsidRPr="00126BAF">
              <w:rPr>
                <w:rFonts w:ascii="Lucida Sans Unicode" w:hAnsi="Lucida Sans Unicode" w:cs="Lucida Sans Unicode"/>
                <w:sz w:val="18"/>
                <w:szCs w:val="18"/>
              </w:rPr>
              <w:t>/2024</w:t>
            </w:r>
          </w:p>
        </w:tc>
      </w:tr>
      <w:tr w:rsidR="00F57AD1" w:rsidRPr="00126BAF" w14:paraId="38B59D43" w14:textId="77777777" w:rsidTr="0062475D">
        <w:trPr>
          <w:jc w:val="center"/>
        </w:trPr>
        <w:tc>
          <w:tcPr>
            <w:tcW w:w="1838" w:type="dxa"/>
            <w:vAlign w:val="center"/>
          </w:tcPr>
          <w:p w14:paraId="5BAEE887" w14:textId="6FFE2569"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Asistencia Técnica de Educación Cívica</w:t>
            </w:r>
          </w:p>
        </w:tc>
        <w:tc>
          <w:tcPr>
            <w:tcW w:w="1701" w:type="dxa"/>
            <w:vAlign w:val="center"/>
          </w:tcPr>
          <w:p w14:paraId="601B647C" w14:textId="03EE3166"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Silvia Verónica Mexía Castro</w:t>
            </w:r>
          </w:p>
        </w:tc>
        <w:tc>
          <w:tcPr>
            <w:tcW w:w="1276" w:type="dxa"/>
            <w:vAlign w:val="center"/>
          </w:tcPr>
          <w:p w14:paraId="15EADEB0" w14:textId="16E29D25"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diciembre</w:t>
            </w:r>
            <w:r w:rsidRPr="00126BAF">
              <w:rPr>
                <w:rFonts w:ascii="Lucida Sans Unicode" w:hAnsi="Lucida Sans Unicode" w:cs="Lucida Sans Unicode"/>
                <w:sz w:val="18"/>
                <w:szCs w:val="18"/>
              </w:rPr>
              <w:t xml:space="preserve"> de 2024</w:t>
            </w:r>
          </w:p>
        </w:tc>
        <w:tc>
          <w:tcPr>
            <w:tcW w:w="1380" w:type="dxa"/>
            <w:vAlign w:val="center"/>
          </w:tcPr>
          <w:p w14:paraId="6E6DC027" w14:textId="0DB8811C" w:rsidR="00F57AD1" w:rsidRPr="00126BAF"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3</w:t>
            </w: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mayo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1925137B" w14:textId="77777777" w:rsidR="00CC2273" w:rsidRDefault="00CC2273" w:rsidP="00CC2273">
            <w:pPr>
              <w:jc w:val="center"/>
              <w:rPr>
                <w:rFonts w:ascii="Lucida Sans Unicode" w:hAnsi="Lucida Sans Unicode" w:cs="Lucida Sans Unicode"/>
                <w:sz w:val="18"/>
                <w:szCs w:val="18"/>
              </w:rPr>
            </w:pPr>
            <w:r>
              <w:rPr>
                <w:rFonts w:ascii="Lucida Sans Unicode" w:hAnsi="Lucida Sans Unicode" w:cs="Lucida Sans Unicode"/>
                <w:sz w:val="18"/>
                <w:szCs w:val="18"/>
              </w:rPr>
              <w:t>Segundo.</w:t>
            </w:r>
          </w:p>
          <w:p w14:paraId="3E691D2A" w14:textId="77777777" w:rsidR="00CC2273" w:rsidRPr="00126BAF" w:rsidRDefault="00CC2273" w:rsidP="00CC2273">
            <w:pPr>
              <w:jc w:val="center"/>
              <w:rPr>
                <w:rFonts w:ascii="Lucida Sans Unicode" w:hAnsi="Lucida Sans Unicode" w:cs="Lucida Sans Unicode"/>
                <w:sz w:val="18"/>
                <w:szCs w:val="18"/>
              </w:rPr>
            </w:pPr>
            <w:r>
              <w:rPr>
                <w:rFonts w:ascii="Lucida Sans Unicode" w:hAnsi="Lucida Sans Unicode" w:cs="Lucida Sans Unicode"/>
                <w:sz w:val="18"/>
                <w:szCs w:val="18"/>
              </w:rPr>
              <w:t>Acuerdo</w:t>
            </w:r>
          </w:p>
          <w:p w14:paraId="03719D8B" w14:textId="5CF8CB3A" w:rsidR="00F57AD1" w:rsidRPr="00126BAF" w:rsidRDefault="00CC2273" w:rsidP="00CC2273">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IEPC-ACG-</w:t>
            </w:r>
            <w:r>
              <w:rPr>
                <w:rFonts w:ascii="Lucida Sans Unicode" w:hAnsi="Lucida Sans Unicode" w:cs="Lucida Sans Unicode"/>
                <w:sz w:val="18"/>
                <w:szCs w:val="18"/>
              </w:rPr>
              <w:t>362</w:t>
            </w:r>
            <w:r w:rsidRPr="00126BAF">
              <w:rPr>
                <w:rFonts w:ascii="Lucida Sans Unicode" w:hAnsi="Lucida Sans Unicode" w:cs="Lucida Sans Unicode"/>
                <w:sz w:val="18"/>
                <w:szCs w:val="18"/>
              </w:rPr>
              <w:t>/2024</w:t>
            </w:r>
          </w:p>
        </w:tc>
      </w:tr>
      <w:tr w:rsidR="00F57AD1" w:rsidRPr="00126BAF" w14:paraId="3EF84115" w14:textId="77777777" w:rsidTr="0062475D">
        <w:trPr>
          <w:jc w:val="center"/>
        </w:trPr>
        <w:tc>
          <w:tcPr>
            <w:tcW w:w="1838" w:type="dxa"/>
            <w:vAlign w:val="center"/>
          </w:tcPr>
          <w:p w14:paraId="0E852BA0" w14:textId="42DFE17D" w:rsidR="00F57AD1" w:rsidRPr="00126BAF" w:rsidRDefault="00F57AD1" w:rsidP="00F57AD1">
            <w:pPr>
              <w:rPr>
                <w:rFonts w:ascii="Lucida Sans Unicode" w:hAnsi="Lucida Sans Unicode" w:cs="Lucida Sans Unicode"/>
                <w:sz w:val="18"/>
                <w:szCs w:val="18"/>
              </w:rPr>
            </w:pPr>
            <w:r w:rsidRPr="00126BAF">
              <w:rPr>
                <w:rFonts w:ascii="Lucida Sans Unicode" w:hAnsi="Lucida Sans Unicode" w:cs="Lucida Sans Unicode"/>
                <w:sz w:val="18"/>
                <w:szCs w:val="18"/>
              </w:rPr>
              <w:t>Asistencia Técnica de Participación Ciudadana</w:t>
            </w:r>
          </w:p>
        </w:tc>
        <w:tc>
          <w:tcPr>
            <w:tcW w:w="1701" w:type="dxa"/>
            <w:vAlign w:val="center"/>
          </w:tcPr>
          <w:p w14:paraId="25E75D63" w14:textId="21DA40B8"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Noé Gustavo Carreón Luna</w:t>
            </w:r>
          </w:p>
        </w:tc>
        <w:tc>
          <w:tcPr>
            <w:tcW w:w="1276" w:type="dxa"/>
            <w:vAlign w:val="center"/>
          </w:tcPr>
          <w:p w14:paraId="37F664A6" w14:textId="2D7296B6" w:rsidR="00F57AD1" w:rsidRPr="00126BAF" w:rsidRDefault="00F57AD1" w:rsidP="00F57AD1">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diciembre</w:t>
            </w:r>
            <w:r w:rsidRPr="00126BAF">
              <w:rPr>
                <w:rFonts w:ascii="Lucida Sans Unicode" w:hAnsi="Lucida Sans Unicode" w:cs="Lucida Sans Unicode"/>
                <w:sz w:val="18"/>
                <w:szCs w:val="18"/>
              </w:rPr>
              <w:t xml:space="preserve"> de 2024</w:t>
            </w:r>
          </w:p>
        </w:tc>
        <w:tc>
          <w:tcPr>
            <w:tcW w:w="1380" w:type="dxa"/>
            <w:vAlign w:val="center"/>
          </w:tcPr>
          <w:p w14:paraId="02800B4D" w14:textId="1E8A97E3" w:rsidR="00F57AD1" w:rsidRPr="00126BAF" w:rsidRDefault="00F57AD1" w:rsidP="00F57AD1">
            <w:pPr>
              <w:jc w:val="center"/>
              <w:rPr>
                <w:rFonts w:ascii="Lucida Sans Unicode" w:hAnsi="Lucida Sans Unicode" w:cs="Lucida Sans Unicode"/>
                <w:sz w:val="18"/>
                <w:szCs w:val="18"/>
              </w:rPr>
            </w:pPr>
            <w:r>
              <w:rPr>
                <w:rFonts w:ascii="Lucida Sans Unicode" w:hAnsi="Lucida Sans Unicode" w:cs="Lucida Sans Unicode"/>
                <w:sz w:val="18"/>
                <w:szCs w:val="18"/>
              </w:rPr>
              <w:t>3</w:t>
            </w:r>
            <w:r w:rsidRPr="00126BAF">
              <w:rPr>
                <w:rFonts w:ascii="Lucida Sans Unicode" w:hAnsi="Lucida Sans Unicode" w:cs="Lucida Sans Unicode"/>
                <w:sz w:val="18"/>
                <w:szCs w:val="18"/>
              </w:rPr>
              <w:t xml:space="preserve">1 de </w:t>
            </w:r>
            <w:r>
              <w:rPr>
                <w:rFonts w:ascii="Lucida Sans Unicode" w:hAnsi="Lucida Sans Unicode" w:cs="Lucida Sans Unicode"/>
                <w:sz w:val="18"/>
                <w:szCs w:val="18"/>
              </w:rPr>
              <w:t>mayo</w:t>
            </w:r>
            <w:r w:rsidRPr="00126BAF">
              <w:rPr>
                <w:rFonts w:ascii="Lucida Sans Unicode" w:hAnsi="Lucida Sans Unicode" w:cs="Lucida Sans Unicode"/>
                <w:sz w:val="18"/>
                <w:szCs w:val="18"/>
              </w:rPr>
              <w:t xml:space="preserve"> de 202</w:t>
            </w:r>
            <w:r>
              <w:rPr>
                <w:rFonts w:ascii="Lucida Sans Unicode" w:hAnsi="Lucida Sans Unicode" w:cs="Lucida Sans Unicode"/>
                <w:sz w:val="18"/>
                <w:szCs w:val="18"/>
              </w:rPr>
              <w:t>5</w:t>
            </w:r>
          </w:p>
        </w:tc>
        <w:tc>
          <w:tcPr>
            <w:tcW w:w="2789" w:type="dxa"/>
            <w:vAlign w:val="center"/>
          </w:tcPr>
          <w:p w14:paraId="06C5178B" w14:textId="77777777" w:rsidR="00CC2273" w:rsidRDefault="00CC2273" w:rsidP="00CC2273">
            <w:pPr>
              <w:jc w:val="center"/>
              <w:rPr>
                <w:rFonts w:ascii="Lucida Sans Unicode" w:hAnsi="Lucida Sans Unicode" w:cs="Lucida Sans Unicode"/>
                <w:sz w:val="18"/>
                <w:szCs w:val="18"/>
              </w:rPr>
            </w:pPr>
            <w:r>
              <w:rPr>
                <w:rFonts w:ascii="Lucida Sans Unicode" w:hAnsi="Lucida Sans Unicode" w:cs="Lucida Sans Unicode"/>
                <w:sz w:val="18"/>
                <w:szCs w:val="18"/>
              </w:rPr>
              <w:t>Segundo.</w:t>
            </w:r>
          </w:p>
          <w:p w14:paraId="5224E7B1" w14:textId="77777777" w:rsidR="00CC2273" w:rsidRPr="00126BAF" w:rsidRDefault="00CC2273" w:rsidP="00CC2273">
            <w:pPr>
              <w:jc w:val="center"/>
              <w:rPr>
                <w:rFonts w:ascii="Lucida Sans Unicode" w:hAnsi="Lucida Sans Unicode" w:cs="Lucida Sans Unicode"/>
                <w:sz w:val="18"/>
                <w:szCs w:val="18"/>
              </w:rPr>
            </w:pPr>
            <w:r>
              <w:rPr>
                <w:rFonts w:ascii="Lucida Sans Unicode" w:hAnsi="Lucida Sans Unicode" w:cs="Lucida Sans Unicode"/>
                <w:sz w:val="18"/>
                <w:szCs w:val="18"/>
              </w:rPr>
              <w:t>Acuerdo</w:t>
            </w:r>
          </w:p>
          <w:p w14:paraId="053E3808" w14:textId="4F5D30FD" w:rsidR="00F57AD1" w:rsidRPr="00126BAF" w:rsidRDefault="00CC2273" w:rsidP="00CC2273">
            <w:pPr>
              <w:jc w:val="center"/>
              <w:rPr>
                <w:rFonts w:ascii="Lucida Sans Unicode" w:hAnsi="Lucida Sans Unicode" w:cs="Lucida Sans Unicode"/>
                <w:sz w:val="18"/>
                <w:szCs w:val="18"/>
              </w:rPr>
            </w:pPr>
            <w:r w:rsidRPr="00126BAF">
              <w:rPr>
                <w:rFonts w:ascii="Lucida Sans Unicode" w:hAnsi="Lucida Sans Unicode" w:cs="Lucida Sans Unicode"/>
                <w:sz w:val="18"/>
                <w:szCs w:val="18"/>
              </w:rPr>
              <w:t>IEPC-ACG-</w:t>
            </w:r>
            <w:r>
              <w:rPr>
                <w:rFonts w:ascii="Lucida Sans Unicode" w:hAnsi="Lucida Sans Unicode" w:cs="Lucida Sans Unicode"/>
                <w:sz w:val="18"/>
                <w:szCs w:val="18"/>
              </w:rPr>
              <w:t>362</w:t>
            </w:r>
            <w:r w:rsidRPr="00126BAF">
              <w:rPr>
                <w:rFonts w:ascii="Lucida Sans Unicode" w:hAnsi="Lucida Sans Unicode" w:cs="Lucida Sans Unicode"/>
                <w:sz w:val="18"/>
                <w:szCs w:val="18"/>
              </w:rPr>
              <w:t>/2024</w:t>
            </w:r>
          </w:p>
        </w:tc>
      </w:tr>
    </w:tbl>
    <w:bookmarkEnd w:id="0"/>
    <w:p w14:paraId="103F9B37" w14:textId="47397B42" w:rsidR="00A00B94" w:rsidRPr="00F57AD1" w:rsidRDefault="00F57AD1" w:rsidP="00C10DAB">
      <w:pPr>
        <w:contextualSpacing/>
        <w:jc w:val="both"/>
        <w:rPr>
          <w:rFonts w:ascii="Lucida Sans Unicode" w:hAnsi="Lucida Sans Unicode" w:cs="Lucida Sans Unicode"/>
          <w:sz w:val="18"/>
          <w:szCs w:val="18"/>
        </w:rPr>
      </w:pPr>
      <w:r w:rsidRPr="00F57AD1">
        <w:rPr>
          <w:rFonts w:ascii="Lucida Sans Unicode" w:hAnsi="Lucida Sans Unicode" w:cs="Lucida Sans Unicode"/>
          <w:sz w:val="18"/>
          <w:szCs w:val="18"/>
        </w:rPr>
        <w:t xml:space="preserve">*En esta </w:t>
      </w:r>
      <w:r>
        <w:rPr>
          <w:rFonts w:ascii="Lucida Sans Unicode" w:hAnsi="Lucida Sans Unicode" w:cs="Lucida Sans Unicode"/>
          <w:sz w:val="18"/>
          <w:szCs w:val="18"/>
        </w:rPr>
        <w:t>S</w:t>
      </w:r>
      <w:r w:rsidRPr="00F57AD1">
        <w:rPr>
          <w:rFonts w:ascii="Lucida Sans Unicode" w:hAnsi="Lucida Sans Unicode" w:cs="Lucida Sans Unicode"/>
          <w:sz w:val="18"/>
          <w:szCs w:val="18"/>
        </w:rPr>
        <w:t xml:space="preserve">egunda </w:t>
      </w:r>
      <w:r>
        <w:rPr>
          <w:rFonts w:ascii="Lucida Sans Unicode" w:hAnsi="Lucida Sans Unicode" w:cs="Lucida Sans Unicode"/>
          <w:sz w:val="18"/>
          <w:szCs w:val="18"/>
        </w:rPr>
        <w:t>s</w:t>
      </w:r>
      <w:r w:rsidRPr="00F57AD1">
        <w:rPr>
          <w:rFonts w:ascii="Lucida Sans Unicode" w:hAnsi="Lucida Sans Unicode" w:cs="Lucida Sans Unicode"/>
          <w:sz w:val="18"/>
          <w:szCs w:val="18"/>
        </w:rPr>
        <w:t>esión ordinaria se discutirá y en su caso autorizará someter al Consejo General su eventual renovación por hasta 6 meses más.</w:t>
      </w:r>
    </w:p>
    <w:p w14:paraId="64A1D27C" w14:textId="21A225BC" w:rsidR="00126BAF" w:rsidRDefault="00126BAF" w:rsidP="00C10DAB">
      <w:pPr>
        <w:contextualSpacing/>
        <w:jc w:val="both"/>
        <w:rPr>
          <w:rFonts w:ascii="Lucida Sans Unicode" w:hAnsi="Lucida Sans Unicode" w:cs="Lucida Sans Unicode"/>
          <w:sz w:val="20"/>
          <w:szCs w:val="20"/>
        </w:rPr>
      </w:pPr>
    </w:p>
    <w:p w14:paraId="3D04DC18" w14:textId="56A7C39D" w:rsidR="002522CF" w:rsidRPr="00126BAF" w:rsidRDefault="002522CF" w:rsidP="002522CF">
      <w:pPr>
        <w:contextualSpacing/>
        <w:jc w:val="both"/>
        <w:rPr>
          <w:rFonts w:ascii="Lucida Sans Unicode" w:hAnsi="Lucida Sans Unicode" w:cs="Lucida Sans Unicode"/>
          <w:b/>
          <w:bCs/>
          <w:sz w:val="20"/>
          <w:szCs w:val="20"/>
        </w:rPr>
      </w:pPr>
      <w:r w:rsidRPr="00126BAF">
        <w:rPr>
          <w:rFonts w:ascii="Lucida Sans Unicode" w:hAnsi="Lucida Sans Unicode" w:cs="Lucida Sans Unicode"/>
          <w:b/>
          <w:bCs/>
          <w:sz w:val="20"/>
          <w:szCs w:val="20"/>
        </w:rPr>
        <w:t>SIGUIENTES ETAPAS PARA LAS ENCARGADURÍAS DE DESPACHO</w:t>
      </w:r>
    </w:p>
    <w:p w14:paraId="399C520F" w14:textId="2F14C8C6" w:rsidR="002522CF" w:rsidRDefault="002522CF" w:rsidP="00C10DAB">
      <w:pPr>
        <w:contextualSpacing/>
        <w:jc w:val="both"/>
        <w:rPr>
          <w:rFonts w:ascii="Lucida Sans Unicode" w:hAnsi="Lucida Sans Unicode" w:cs="Lucida Sans Unicode"/>
          <w:sz w:val="20"/>
          <w:szCs w:val="20"/>
        </w:rPr>
      </w:pPr>
    </w:p>
    <w:p w14:paraId="324D70CC" w14:textId="0EEFC80D" w:rsidR="009711DA" w:rsidRPr="009711DA" w:rsidRDefault="009711DA" w:rsidP="009711DA">
      <w:pPr>
        <w:jc w:val="both"/>
        <w:rPr>
          <w:rFonts w:ascii="Lucida Sans Unicode" w:hAnsi="Lucida Sans Unicode" w:cs="Lucida Sans Unicode"/>
          <w:sz w:val="20"/>
          <w:szCs w:val="20"/>
        </w:rPr>
      </w:pPr>
      <w:r w:rsidRPr="009711DA">
        <w:rPr>
          <w:rFonts w:ascii="Lucida Sans Unicode" w:hAnsi="Lucida Sans Unicode" w:cs="Lucida Sans Unicode"/>
          <w:sz w:val="20"/>
          <w:szCs w:val="20"/>
        </w:rPr>
        <w:t xml:space="preserve">Con corte al 5 de diciembre de 2024, las 21 plazas adscritas al Servicio Profesional Electoral Nacional (SPEN) están siendo oportunamente ocupadas por </w:t>
      </w:r>
      <w:r>
        <w:rPr>
          <w:rFonts w:ascii="Lucida Sans Unicode" w:hAnsi="Lucida Sans Unicode" w:cs="Lucida Sans Unicode"/>
          <w:sz w:val="20"/>
          <w:szCs w:val="20"/>
        </w:rPr>
        <w:t xml:space="preserve">personas </w:t>
      </w:r>
      <w:r w:rsidRPr="009711DA">
        <w:rPr>
          <w:rFonts w:ascii="Lucida Sans Unicode" w:hAnsi="Lucida Sans Unicode" w:cs="Lucida Sans Unicode"/>
          <w:sz w:val="20"/>
          <w:szCs w:val="20"/>
        </w:rPr>
        <w:t>titulares, asociad</w:t>
      </w:r>
      <w:r>
        <w:rPr>
          <w:rFonts w:ascii="Lucida Sans Unicode" w:hAnsi="Lucida Sans Unicode" w:cs="Lucida Sans Unicode"/>
          <w:sz w:val="20"/>
          <w:szCs w:val="20"/>
        </w:rPr>
        <w:t>a</w:t>
      </w:r>
      <w:r w:rsidRPr="009711DA">
        <w:rPr>
          <w:rFonts w:ascii="Lucida Sans Unicode" w:hAnsi="Lucida Sans Unicode" w:cs="Lucida Sans Unicode"/>
          <w:sz w:val="20"/>
          <w:szCs w:val="20"/>
        </w:rPr>
        <w:t>s y encargad</w:t>
      </w:r>
      <w:r>
        <w:rPr>
          <w:rFonts w:ascii="Lucida Sans Unicode" w:hAnsi="Lucida Sans Unicode" w:cs="Lucida Sans Unicode"/>
          <w:sz w:val="20"/>
          <w:szCs w:val="20"/>
        </w:rPr>
        <w:t>a</w:t>
      </w:r>
      <w:r w:rsidRPr="009711DA">
        <w:rPr>
          <w:rFonts w:ascii="Lucida Sans Unicode" w:hAnsi="Lucida Sans Unicode" w:cs="Lucida Sans Unicode"/>
          <w:sz w:val="20"/>
          <w:szCs w:val="20"/>
        </w:rPr>
        <w:t>s de despacho.</w:t>
      </w:r>
    </w:p>
    <w:p w14:paraId="5FED13DB" w14:textId="77777777" w:rsidR="009711DA" w:rsidRPr="009711DA" w:rsidRDefault="009711DA" w:rsidP="009711DA">
      <w:pPr>
        <w:jc w:val="both"/>
        <w:rPr>
          <w:rFonts w:ascii="Lucida Sans Unicode" w:hAnsi="Lucida Sans Unicode" w:cs="Lucida Sans Unicode"/>
          <w:sz w:val="20"/>
          <w:szCs w:val="20"/>
        </w:rPr>
      </w:pPr>
    </w:p>
    <w:p w14:paraId="45FE90E4" w14:textId="251F98EB" w:rsidR="009711DA" w:rsidRPr="00126BAF" w:rsidRDefault="009711DA" w:rsidP="009711DA">
      <w:pPr>
        <w:jc w:val="both"/>
        <w:rPr>
          <w:rFonts w:ascii="Lucida Sans Unicode" w:hAnsi="Lucida Sans Unicode" w:cs="Lucida Sans Unicode"/>
          <w:sz w:val="20"/>
          <w:szCs w:val="20"/>
        </w:rPr>
      </w:pPr>
      <w:r w:rsidRPr="009711DA">
        <w:rPr>
          <w:rFonts w:ascii="Lucida Sans Unicode" w:hAnsi="Lucida Sans Unicode" w:cs="Lucida Sans Unicode"/>
          <w:sz w:val="20"/>
          <w:szCs w:val="20"/>
        </w:rPr>
        <w:t>Se continuará impulsando el objetivo adicional de esta figura: incentivar al personal de la rama administrativa, eventual y de honorarios a participar en futuros concursos para una plaza del SPEN. Esto permitirá que dicho personal conozca los beneficios y obligaciones asociados a estas posiciones, pero, sobre todo, el prestigio y renombre implícito en pertenecer a uno de los servicios civiles de carrera más importantes del país. Este esfuerzo es especialmente relevante en un contexto político donde sobresalen la capacidad y la fortaleza del Servicio en su totalidad.</w:t>
      </w:r>
    </w:p>
    <w:p w14:paraId="040DCCF6" w14:textId="77777777" w:rsidR="009C0C2A" w:rsidRPr="00126BAF" w:rsidRDefault="009C0C2A" w:rsidP="0006467F">
      <w:pPr>
        <w:jc w:val="center"/>
        <w:rPr>
          <w:rFonts w:ascii="Lucida Sans Unicode" w:hAnsi="Lucida Sans Unicode" w:cs="Lucida Sans Unicode"/>
          <w:sz w:val="20"/>
          <w:szCs w:val="20"/>
        </w:rPr>
      </w:pPr>
    </w:p>
    <w:p w14:paraId="6F2EF4AA" w14:textId="74DC4C42" w:rsidR="0006467F" w:rsidRPr="00126BAF" w:rsidRDefault="004C54E1" w:rsidP="0006467F">
      <w:pPr>
        <w:jc w:val="center"/>
        <w:rPr>
          <w:rFonts w:ascii="Lucida Sans Unicode" w:hAnsi="Lucida Sans Unicode" w:cs="Lucida Sans Unicode"/>
          <w:b/>
          <w:bCs/>
          <w:sz w:val="20"/>
          <w:szCs w:val="20"/>
        </w:rPr>
      </w:pPr>
      <w:r w:rsidRPr="00126BAF">
        <w:rPr>
          <w:rFonts w:ascii="Lucida Sans Unicode" w:hAnsi="Lucida Sans Unicode" w:cs="Lucida Sans Unicode"/>
          <w:b/>
          <w:bCs/>
          <w:sz w:val="20"/>
          <w:szCs w:val="20"/>
        </w:rPr>
        <w:t>G</w:t>
      </w:r>
      <w:r w:rsidR="0006467F" w:rsidRPr="00126BAF">
        <w:rPr>
          <w:rFonts w:ascii="Lucida Sans Unicode" w:hAnsi="Lucida Sans Unicode" w:cs="Lucida Sans Unicode"/>
          <w:b/>
          <w:bCs/>
          <w:sz w:val="20"/>
          <w:szCs w:val="20"/>
        </w:rPr>
        <w:t>uadalajara, Jalisco</w:t>
      </w:r>
      <w:r w:rsidR="00C13AFA" w:rsidRPr="00126BAF">
        <w:rPr>
          <w:rFonts w:ascii="Lucida Sans Unicode" w:hAnsi="Lucida Sans Unicode" w:cs="Lucida Sans Unicode"/>
          <w:b/>
          <w:bCs/>
          <w:sz w:val="20"/>
          <w:szCs w:val="20"/>
        </w:rPr>
        <w:t>;</w:t>
      </w:r>
      <w:r w:rsidR="0006467F" w:rsidRPr="00126BAF">
        <w:rPr>
          <w:rFonts w:ascii="Lucida Sans Unicode" w:hAnsi="Lucida Sans Unicode" w:cs="Lucida Sans Unicode"/>
          <w:b/>
          <w:bCs/>
          <w:sz w:val="20"/>
          <w:szCs w:val="20"/>
        </w:rPr>
        <w:t xml:space="preserve"> a </w:t>
      </w:r>
      <w:r w:rsidR="00A12910" w:rsidRPr="00126BAF">
        <w:rPr>
          <w:rFonts w:ascii="Lucida Sans Unicode" w:hAnsi="Lucida Sans Unicode" w:cs="Lucida Sans Unicode"/>
          <w:b/>
          <w:bCs/>
          <w:sz w:val="20"/>
          <w:szCs w:val="20"/>
        </w:rPr>
        <w:t>1</w:t>
      </w:r>
      <w:r w:rsidR="00B012D3">
        <w:rPr>
          <w:rFonts w:ascii="Lucida Sans Unicode" w:hAnsi="Lucida Sans Unicode" w:cs="Lucida Sans Unicode"/>
          <w:b/>
          <w:bCs/>
          <w:sz w:val="20"/>
          <w:szCs w:val="20"/>
        </w:rPr>
        <w:t>0</w:t>
      </w:r>
      <w:r w:rsidR="0006467F" w:rsidRPr="00126BAF">
        <w:rPr>
          <w:rFonts w:ascii="Lucida Sans Unicode" w:hAnsi="Lucida Sans Unicode" w:cs="Lucida Sans Unicode"/>
          <w:b/>
          <w:bCs/>
          <w:sz w:val="20"/>
          <w:szCs w:val="20"/>
        </w:rPr>
        <w:t xml:space="preserve"> de </w:t>
      </w:r>
      <w:r w:rsidR="00B012D3">
        <w:rPr>
          <w:rFonts w:ascii="Lucida Sans Unicode" w:hAnsi="Lucida Sans Unicode" w:cs="Lucida Sans Unicode"/>
          <w:b/>
          <w:bCs/>
          <w:sz w:val="20"/>
          <w:szCs w:val="20"/>
        </w:rPr>
        <w:t>d</w:t>
      </w:r>
      <w:r w:rsidR="00A12910" w:rsidRPr="00126BAF">
        <w:rPr>
          <w:rFonts w:ascii="Lucida Sans Unicode" w:hAnsi="Lucida Sans Unicode" w:cs="Lucida Sans Unicode"/>
          <w:b/>
          <w:bCs/>
          <w:sz w:val="20"/>
          <w:szCs w:val="20"/>
        </w:rPr>
        <w:t>i</w:t>
      </w:r>
      <w:r w:rsidR="00B012D3">
        <w:rPr>
          <w:rFonts w:ascii="Lucida Sans Unicode" w:hAnsi="Lucida Sans Unicode" w:cs="Lucida Sans Unicode"/>
          <w:b/>
          <w:bCs/>
          <w:sz w:val="20"/>
          <w:szCs w:val="20"/>
        </w:rPr>
        <w:t>ciembre</w:t>
      </w:r>
      <w:r w:rsidR="0006467F" w:rsidRPr="00126BAF">
        <w:rPr>
          <w:rFonts w:ascii="Lucida Sans Unicode" w:hAnsi="Lucida Sans Unicode" w:cs="Lucida Sans Unicode"/>
          <w:b/>
          <w:bCs/>
          <w:sz w:val="20"/>
          <w:szCs w:val="20"/>
        </w:rPr>
        <w:t xml:space="preserve"> de 202</w:t>
      </w:r>
      <w:r w:rsidR="00A12910" w:rsidRPr="00126BAF">
        <w:rPr>
          <w:rFonts w:ascii="Lucida Sans Unicode" w:hAnsi="Lucida Sans Unicode" w:cs="Lucida Sans Unicode"/>
          <w:b/>
          <w:bCs/>
          <w:sz w:val="20"/>
          <w:szCs w:val="20"/>
        </w:rPr>
        <w:t>4</w:t>
      </w:r>
    </w:p>
    <w:p w14:paraId="30585CA2" w14:textId="335CD939" w:rsidR="008E3CE4" w:rsidRPr="00126BAF" w:rsidRDefault="008E3CE4" w:rsidP="0006467F">
      <w:pPr>
        <w:jc w:val="center"/>
        <w:rPr>
          <w:rFonts w:ascii="Lucida Sans Unicode" w:hAnsi="Lucida Sans Unicode" w:cs="Lucida Sans Unicode"/>
          <w:sz w:val="20"/>
          <w:szCs w:val="20"/>
        </w:rPr>
      </w:pPr>
    </w:p>
    <w:p w14:paraId="43408D84" w14:textId="6ABD15A6" w:rsidR="009C0C2A" w:rsidRDefault="009C0C2A" w:rsidP="00A12910">
      <w:pPr>
        <w:rPr>
          <w:rFonts w:ascii="Lucida Sans Unicode" w:hAnsi="Lucida Sans Unicode" w:cs="Lucida Sans Unicode"/>
          <w:sz w:val="20"/>
          <w:szCs w:val="20"/>
        </w:rPr>
      </w:pPr>
    </w:p>
    <w:p w14:paraId="72F4713F" w14:textId="77777777" w:rsidR="00B012D3" w:rsidRDefault="00B012D3" w:rsidP="00A12910">
      <w:pPr>
        <w:rPr>
          <w:rFonts w:ascii="Lucida Sans Unicode" w:hAnsi="Lucida Sans Unicode" w:cs="Lucida Sans Unicode"/>
          <w:sz w:val="20"/>
          <w:szCs w:val="20"/>
        </w:rPr>
      </w:pPr>
    </w:p>
    <w:p w14:paraId="5F76D6C3" w14:textId="77777777" w:rsidR="00B012D3" w:rsidRPr="00126BAF" w:rsidRDefault="00B012D3" w:rsidP="00A12910">
      <w:pPr>
        <w:rPr>
          <w:rFonts w:ascii="Lucida Sans Unicode" w:hAnsi="Lucida Sans Unicode" w:cs="Lucida Sans Unicode"/>
          <w:sz w:val="20"/>
          <w:szCs w:val="20"/>
        </w:rPr>
      </w:pPr>
    </w:p>
    <w:p w14:paraId="316F5EF6" w14:textId="1BB0D060" w:rsidR="00126BAF" w:rsidRDefault="00B012D3" w:rsidP="00126BAF">
      <w:pPr>
        <w:jc w:val="center"/>
        <w:rPr>
          <w:rFonts w:ascii="Lucida Sans Unicode" w:hAnsi="Lucida Sans Unicode" w:cs="Lucida Sans Unicode"/>
          <w:b/>
          <w:sz w:val="20"/>
          <w:szCs w:val="20"/>
        </w:rPr>
      </w:pPr>
      <w:r>
        <w:rPr>
          <w:rFonts w:ascii="Lucida Sans Unicode" w:hAnsi="Lucida Sans Unicode" w:cs="Lucida Sans Unicode"/>
          <w:b/>
          <w:bCs/>
          <w:sz w:val="20"/>
          <w:szCs w:val="20"/>
        </w:rPr>
        <w:t>Lic</w:t>
      </w:r>
      <w:r w:rsidR="00A12910" w:rsidRPr="00126BAF">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Fe</w:t>
      </w:r>
      <w:r w:rsidR="00A12910" w:rsidRPr="00126BAF">
        <w:rPr>
          <w:rFonts w:ascii="Lucida Sans Unicode" w:hAnsi="Lucida Sans Unicode" w:cs="Lucida Sans Unicode"/>
          <w:b/>
          <w:bCs/>
          <w:sz w:val="20"/>
          <w:szCs w:val="20"/>
        </w:rPr>
        <w:t>rn</w:t>
      </w:r>
      <w:r>
        <w:rPr>
          <w:rFonts w:ascii="Lucida Sans Unicode" w:hAnsi="Lucida Sans Unicode" w:cs="Lucida Sans Unicode"/>
          <w:b/>
          <w:bCs/>
          <w:sz w:val="20"/>
          <w:szCs w:val="20"/>
        </w:rPr>
        <w:t>ando</w:t>
      </w:r>
      <w:r w:rsidR="00A12910" w:rsidRPr="00126BAF">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Pér</w:t>
      </w:r>
      <w:r w:rsidR="00A12910" w:rsidRPr="00126BAF">
        <w:rPr>
          <w:rFonts w:ascii="Lucida Sans Unicode" w:hAnsi="Lucida Sans Unicode" w:cs="Lucida Sans Unicode"/>
          <w:b/>
          <w:bCs/>
          <w:sz w:val="20"/>
          <w:szCs w:val="20"/>
        </w:rPr>
        <w:t>e</w:t>
      </w:r>
      <w:r>
        <w:rPr>
          <w:rFonts w:ascii="Lucida Sans Unicode" w:hAnsi="Lucida Sans Unicode" w:cs="Lucida Sans Unicode"/>
          <w:b/>
          <w:bCs/>
          <w:sz w:val="20"/>
          <w:szCs w:val="20"/>
        </w:rPr>
        <w:t>z</w:t>
      </w:r>
      <w:r w:rsidR="00A12910" w:rsidRPr="00126BAF">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Núñez</w:t>
      </w:r>
      <w:r w:rsidR="00A12910" w:rsidRPr="00126BAF">
        <w:rPr>
          <w:rFonts w:ascii="Lucida Sans Unicode" w:hAnsi="Lucida Sans Unicode" w:cs="Lucida Sans Unicode"/>
          <w:b/>
          <w:bCs/>
          <w:sz w:val="20"/>
          <w:szCs w:val="20"/>
        </w:rPr>
        <w:t>.</w:t>
      </w:r>
    </w:p>
    <w:p w14:paraId="76B350D8" w14:textId="5EC304FC" w:rsidR="00A12910" w:rsidRPr="00126BAF" w:rsidRDefault="00126BAF" w:rsidP="00126BAF">
      <w:pPr>
        <w:jc w:val="center"/>
        <w:rPr>
          <w:rFonts w:ascii="Lucida Sans Unicode" w:hAnsi="Lucida Sans Unicode" w:cs="Lucida Sans Unicode"/>
          <w:b/>
          <w:sz w:val="20"/>
          <w:szCs w:val="20"/>
        </w:rPr>
      </w:pPr>
      <w:r w:rsidRPr="00126BAF">
        <w:rPr>
          <w:rFonts w:ascii="Lucida Sans Unicode" w:hAnsi="Lucida Sans Unicode" w:cs="Lucida Sans Unicode"/>
          <w:b/>
          <w:sz w:val="20"/>
          <w:szCs w:val="20"/>
        </w:rPr>
        <w:t xml:space="preserve">El Secretario </w:t>
      </w:r>
      <w:r w:rsidR="00B012D3">
        <w:rPr>
          <w:rFonts w:ascii="Lucida Sans Unicode" w:hAnsi="Lucida Sans Unicode" w:cs="Lucida Sans Unicode"/>
          <w:b/>
          <w:sz w:val="20"/>
          <w:szCs w:val="20"/>
        </w:rPr>
        <w:t>Té</w:t>
      </w:r>
      <w:r w:rsidRPr="00126BAF">
        <w:rPr>
          <w:rFonts w:ascii="Lucida Sans Unicode" w:hAnsi="Lucida Sans Unicode" w:cs="Lucida Sans Unicode"/>
          <w:b/>
          <w:sz w:val="20"/>
          <w:szCs w:val="20"/>
        </w:rPr>
        <w:t>c</w:t>
      </w:r>
      <w:r w:rsidR="00B012D3">
        <w:rPr>
          <w:rFonts w:ascii="Lucida Sans Unicode" w:hAnsi="Lucida Sans Unicode" w:cs="Lucida Sans Unicode"/>
          <w:b/>
          <w:sz w:val="20"/>
          <w:szCs w:val="20"/>
        </w:rPr>
        <w:t>n</w:t>
      </w:r>
      <w:r w:rsidRPr="00126BAF">
        <w:rPr>
          <w:rFonts w:ascii="Lucida Sans Unicode" w:hAnsi="Lucida Sans Unicode" w:cs="Lucida Sans Unicode"/>
          <w:b/>
          <w:sz w:val="20"/>
          <w:szCs w:val="20"/>
        </w:rPr>
        <w:t>i</w:t>
      </w:r>
      <w:r w:rsidR="00B012D3">
        <w:rPr>
          <w:rFonts w:ascii="Lucida Sans Unicode" w:hAnsi="Lucida Sans Unicode" w:cs="Lucida Sans Unicode"/>
          <w:b/>
          <w:sz w:val="20"/>
          <w:szCs w:val="20"/>
        </w:rPr>
        <w:t>c</w:t>
      </w:r>
      <w:r w:rsidRPr="00126BAF">
        <w:rPr>
          <w:rFonts w:ascii="Lucida Sans Unicode" w:hAnsi="Lucida Sans Unicode" w:cs="Lucida Sans Unicode"/>
          <w:b/>
          <w:sz w:val="20"/>
          <w:szCs w:val="20"/>
        </w:rPr>
        <w:t>o</w:t>
      </w:r>
    </w:p>
    <w:p w14:paraId="52C265C1" w14:textId="136A293F" w:rsidR="00B3473F" w:rsidRPr="00B012D3" w:rsidRDefault="00A12910" w:rsidP="00B012D3">
      <w:pPr>
        <w:spacing w:after="160"/>
        <w:jc w:val="center"/>
        <w:rPr>
          <w:rFonts w:ascii="Lucida Sans Unicode" w:hAnsi="Lucida Sans Unicode" w:cs="Lucida Sans Unicode"/>
          <w:b/>
          <w:i/>
          <w:iCs/>
          <w:sz w:val="20"/>
          <w:szCs w:val="20"/>
        </w:rPr>
      </w:pPr>
      <w:r w:rsidRPr="00126BAF">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B3473F" w:rsidRPr="00B012D3" w:rsidSect="004C54E1">
      <w:headerReference w:type="default" r:id="rId8"/>
      <w:footerReference w:type="even" r:id="rId9"/>
      <w:footerReference w:type="default" r:id="rId10"/>
      <w:pgSz w:w="12240" w:h="15840" w:code="1"/>
      <w:pgMar w:top="2410" w:right="1701" w:bottom="1418"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BC3F" w14:textId="77777777" w:rsidR="00C00F4C" w:rsidRDefault="00C00F4C">
      <w:r>
        <w:separator/>
      </w:r>
    </w:p>
  </w:endnote>
  <w:endnote w:type="continuationSeparator" w:id="0">
    <w:p w14:paraId="25BFBD45" w14:textId="77777777" w:rsidR="00C00F4C" w:rsidRDefault="00C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060A" w14:textId="77777777" w:rsidR="000F703E" w:rsidRDefault="0019758A"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638813" w14:textId="77777777" w:rsidR="000F703E" w:rsidRDefault="000F703E"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944B" w14:textId="3CD7FE31" w:rsidR="000F703E" w:rsidRDefault="0012332D" w:rsidP="0012332D">
    <w:pPr>
      <w:pStyle w:val="Piedepgina"/>
      <w:ind w:right="360"/>
      <w:rPr>
        <w:rFonts w:ascii="Trebuchet MS" w:eastAsia="Calibri" w:hAnsi="Trebuchet MS" w:cs="Arial"/>
        <w:sz w:val="20"/>
        <w:szCs w:val="20"/>
        <w:lang w:eastAsia="en-US"/>
      </w:rPr>
    </w:pPr>
    <w:r>
      <w:rPr>
        <w:noProof/>
        <w:sz w:val="22"/>
        <w:szCs w:val="22"/>
      </w:rPr>
      <w:drawing>
        <wp:inline distT="0" distB="0" distL="0" distR="0" wp14:anchorId="453F698E" wp14:editId="2CC13891">
          <wp:extent cx="3650095" cy="863575"/>
          <wp:effectExtent l="0" t="0" r="0" b="635"/>
          <wp:docPr id="108921558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706033" cy="876809"/>
                  </a:xfrm>
                  <a:prstGeom prst="rect">
                    <a:avLst/>
                  </a:prstGeom>
                </pic:spPr>
              </pic:pic>
            </a:graphicData>
          </a:graphic>
        </wp:inline>
      </w:drawing>
    </w:r>
  </w:p>
  <w:p w14:paraId="08E608B8" w14:textId="77777777" w:rsidR="000F703E" w:rsidRDefault="0019758A" w:rsidP="003C1CB5">
    <w:pPr>
      <w:pStyle w:val="Piedepgina"/>
      <w:ind w:right="360"/>
      <w:jc w:val="right"/>
    </w:pPr>
    <w:r>
      <w:rPr>
        <w:rFonts w:ascii="Trebuchet MS" w:eastAsia="Calibri" w:hAnsi="Trebuchet MS" w:cs="Arial"/>
        <w:sz w:val="20"/>
        <w:szCs w:val="20"/>
        <w:lang w:eastAsia="en-US"/>
      </w:rPr>
      <w:t xml:space="preserve">Página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PAGE </w:instrText>
    </w:r>
    <w:r>
      <w:rPr>
        <w:rFonts w:ascii="Trebuchet MS" w:eastAsia="Calibri" w:hAnsi="Trebuchet MS" w:cs="Arial"/>
        <w:sz w:val="20"/>
        <w:szCs w:val="20"/>
        <w:lang w:eastAsia="en-US"/>
      </w:rPr>
      <w:fldChar w:fldCharType="separate"/>
    </w:r>
    <w:r w:rsidR="00B3473F">
      <w:rPr>
        <w:rFonts w:ascii="Trebuchet MS" w:eastAsia="Calibri" w:hAnsi="Trebuchet MS" w:cs="Arial"/>
        <w:noProof/>
        <w:sz w:val="20"/>
        <w:szCs w:val="20"/>
        <w:lang w:eastAsia="en-US"/>
      </w:rPr>
      <w:t>1</w:t>
    </w:r>
    <w:r>
      <w:rPr>
        <w:rFonts w:ascii="Trebuchet MS" w:eastAsia="Calibri" w:hAnsi="Trebuchet MS" w:cs="Arial"/>
        <w:sz w:val="20"/>
        <w:szCs w:val="20"/>
        <w:lang w:eastAsia="en-US"/>
      </w:rPr>
      <w:fldChar w:fldCharType="end"/>
    </w:r>
    <w:r>
      <w:rPr>
        <w:rFonts w:ascii="Trebuchet MS" w:eastAsia="Calibri" w:hAnsi="Trebuchet MS" w:cs="Arial"/>
        <w:sz w:val="20"/>
        <w:szCs w:val="20"/>
        <w:lang w:eastAsia="en-US"/>
      </w:rPr>
      <w:t xml:space="preserve"> de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NUMPAGES </w:instrText>
    </w:r>
    <w:r>
      <w:rPr>
        <w:rFonts w:ascii="Trebuchet MS" w:eastAsia="Calibri" w:hAnsi="Trebuchet MS" w:cs="Arial"/>
        <w:sz w:val="20"/>
        <w:szCs w:val="20"/>
        <w:lang w:eastAsia="en-US"/>
      </w:rPr>
      <w:fldChar w:fldCharType="separate"/>
    </w:r>
    <w:r w:rsidR="00B3473F">
      <w:rPr>
        <w:rFonts w:ascii="Trebuchet MS" w:eastAsia="Calibri" w:hAnsi="Trebuchet MS" w:cs="Arial"/>
        <w:noProof/>
        <w:sz w:val="20"/>
        <w:szCs w:val="20"/>
        <w:lang w:eastAsia="en-US"/>
      </w:rPr>
      <w:t>2</w:t>
    </w:r>
    <w:r>
      <w:rPr>
        <w:rFonts w:ascii="Trebuchet MS" w:eastAsia="Calibri" w:hAnsi="Trebuchet MS" w:cs="Arial"/>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5D2E" w14:textId="77777777" w:rsidR="00C00F4C" w:rsidRDefault="00C00F4C">
      <w:r>
        <w:separator/>
      </w:r>
    </w:p>
  </w:footnote>
  <w:footnote w:type="continuationSeparator" w:id="0">
    <w:p w14:paraId="17AB6DB1" w14:textId="77777777" w:rsidR="00C00F4C" w:rsidRDefault="00C0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0F22" w14:textId="42BA9002" w:rsidR="000F703E" w:rsidRDefault="000B6C4F">
    <w:pPr>
      <w:pStyle w:val="Encabezado"/>
    </w:pPr>
    <w:r>
      <w:rPr>
        <w:noProof/>
        <w:lang w:val="es-MX" w:eastAsia="es-MX"/>
      </w:rPr>
      <w:drawing>
        <wp:inline distT="0" distB="0" distL="0" distR="0" wp14:anchorId="0A33754C" wp14:editId="73278C8B">
          <wp:extent cx="1871894" cy="1003935"/>
          <wp:effectExtent l="0" t="0" r="0" b="5715"/>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3986" cy="1053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E5C"/>
    <w:multiLevelType w:val="hybridMultilevel"/>
    <w:tmpl w:val="34609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16C98"/>
    <w:multiLevelType w:val="hybridMultilevel"/>
    <w:tmpl w:val="89EED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AB1B07"/>
    <w:multiLevelType w:val="hybridMultilevel"/>
    <w:tmpl w:val="0F046A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258CC"/>
    <w:multiLevelType w:val="hybridMultilevel"/>
    <w:tmpl w:val="ABF2E4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AA4E63"/>
    <w:multiLevelType w:val="hybridMultilevel"/>
    <w:tmpl w:val="EF44A0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F849A3"/>
    <w:multiLevelType w:val="hybridMultilevel"/>
    <w:tmpl w:val="8D2AEB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40949"/>
    <w:multiLevelType w:val="hybridMultilevel"/>
    <w:tmpl w:val="AB183E52"/>
    <w:lvl w:ilvl="0" w:tplc="080A000B">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1C661E9F"/>
    <w:multiLevelType w:val="hybridMultilevel"/>
    <w:tmpl w:val="E7F4F7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F16D49"/>
    <w:multiLevelType w:val="hybridMultilevel"/>
    <w:tmpl w:val="8D0694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41562D"/>
    <w:multiLevelType w:val="hybridMultilevel"/>
    <w:tmpl w:val="7736D26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46F00D7"/>
    <w:multiLevelType w:val="hybridMultilevel"/>
    <w:tmpl w:val="BC76B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C5347E"/>
    <w:multiLevelType w:val="hybridMultilevel"/>
    <w:tmpl w:val="EC589C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6257E3"/>
    <w:multiLevelType w:val="hybridMultilevel"/>
    <w:tmpl w:val="B936E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C13E48"/>
    <w:multiLevelType w:val="hybridMultilevel"/>
    <w:tmpl w:val="083682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951F84"/>
    <w:multiLevelType w:val="hybridMultilevel"/>
    <w:tmpl w:val="83FA6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4476819">
    <w:abstractNumId w:val="8"/>
  </w:num>
  <w:num w:numId="2" w16cid:durableId="773937835">
    <w:abstractNumId w:val="0"/>
  </w:num>
  <w:num w:numId="3" w16cid:durableId="118570169">
    <w:abstractNumId w:val="7"/>
  </w:num>
  <w:num w:numId="4" w16cid:durableId="1455631929">
    <w:abstractNumId w:val="10"/>
  </w:num>
  <w:num w:numId="5" w16cid:durableId="2904445">
    <w:abstractNumId w:val="1"/>
  </w:num>
  <w:num w:numId="6" w16cid:durableId="1533029816">
    <w:abstractNumId w:val="12"/>
  </w:num>
  <w:num w:numId="7" w16cid:durableId="525213915">
    <w:abstractNumId w:val="14"/>
  </w:num>
  <w:num w:numId="8" w16cid:durableId="759258988">
    <w:abstractNumId w:val="6"/>
  </w:num>
  <w:num w:numId="9" w16cid:durableId="1123959007">
    <w:abstractNumId w:val="5"/>
  </w:num>
  <w:num w:numId="10" w16cid:durableId="788938002">
    <w:abstractNumId w:val="9"/>
  </w:num>
  <w:num w:numId="11" w16cid:durableId="965163252">
    <w:abstractNumId w:val="2"/>
  </w:num>
  <w:num w:numId="12" w16cid:durableId="392317773">
    <w:abstractNumId w:val="11"/>
  </w:num>
  <w:num w:numId="13" w16cid:durableId="1771192948">
    <w:abstractNumId w:val="4"/>
  </w:num>
  <w:num w:numId="14" w16cid:durableId="1838616024">
    <w:abstractNumId w:val="13"/>
  </w:num>
  <w:num w:numId="15" w16cid:durableId="1083259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AB"/>
    <w:rsid w:val="000105EE"/>
    <w:rsid w:val="00014246"/>
    <w:rsid w:val="00023158"/>
    <w:rsid w:val="00031F69"/>
    <w:rsid w:val="0003392A"/>
    <w:rsid w:val="00057A07"/>
    <w:rsid w:val="0006467F"/>
    <w:rsid w:val="000723F1"/>
    <w:rsid w:val="000B6C4F"/>
    <w:rsid w:val="000B6C68"/>
    <w:rsid w:val="000F6AA2"/>
    <w:rsid w:val="000F703E"/>
    <w:rsid w:val="0012332D"/>
    <w:rsid w:val="00126BAF"/>
    <w:rsid w:val="00172456"/>
    <w:rsid w:val="0019758A"/>
    <w:rsid w:val="001A3859"/>
    <w:rsid w:val="001B30F0"/>
    <w:rsid w:val="001C1472"/>
    <w:rsid w:val="002243E0"/>
    <w:rsid w:val="002265B9"/>
    <w:rsid w:val="00231DE8"/>
    <w:rsid w:val="002522CF"/>
    <w:rsid w:val="002846B6"/>
    <w:rsid w:val="00304E8D"/>
    <w:rsid w:val="00317558"/>
    <w:rsid w:val="003323CA"/>
    <w:rsid w:val="00350120"/>
    <w:rsid w:val="00385C6C"/>
    <w:rsid w:val="00391E2B"/>
    <w:rsid w:val="003D08C8"/>
    <w:rsid w:val="003D7594"/>
    <w:rsid w:val="00413CFE"/>
    <w:rsid w:val="00464829"/>
    <w:rsid w:val="004A4FD7"/>
    <w:rsid w:val="004B0767"/>
    <w:rsid w:val="004B6C40"/>
    <w:rsid w:val="004C54E1"/>
    <w:rsid w:val="005017F8"/>
    <w:rsid w:val="00513D5E"/>
    <w:rsid w:val="00522CC8"/>
    <w:rsid w:val="00542567"/>
    <w:rsid w:val="0057102D"/>
    <w:rsid w:val="005C67D5"/>
    <w:rsid w:val="005D7DB9"/>
    <w:rsid w:val="006017D5"/>
    <w:rsid w:val="00614F63"/>
    <w:rsid w:val="006210E9"/>
    <w:rsid w:val="0062475D"/>
    <w:rsid w:val="006302FB"/>
    <w:rsid w:val="006539D2"/>
    <w:rsid w:val="00673BB0"/>
    <w:rsid w:val="006A00B6"/>
    <w:rsid w:val="006D6318"/>
    <w:rsid w:val="006D7013"/>
    <w:rsid w:val="0070103D"/>
    <w:rsid w:val="007159C3"/>
    <w:rsid w:val="00720939"/>
    <w:rsid w:val="00726E1A"/>
    <w:rsid w:val="007432A6"/>
    <w:rsid w:val="007A00C4"/>
    <w:rsid w:val="007B6667"/>
    <w:rsid w:val="007C588C"/>
    <w:rsid w:val="007D66AB"/>
    <w:rsid w:val="007E261B"/>
    <w:rsid w:val="007E2AF8"/>
    <w:rsid w:val="008017EA"/>
    <w:rsid w:val="00802086"/>
    <w:rsid w:val="00827391"/>
    <w:rsid w:val="00827CB9"/>
    <w:rsid w:val="00836DFA"/>
    <w:rsid w:val="008462C2"/>
    <w:rsid w:val="00846594"/>
    <w:rsid w:val="00852CA7"/>
    <w:rsid w:val="008809B3"/>
    <w:rsid w:val="00885237"/>
    <w:rsid w:val="00891F1D"/>
    <w:rsid w:val="00892187"/>
    <w:rsid w:val="008D17C9"/>
    <w:rsid w:val="008E3CE4"/>
    <w:rsid w:val="008E75CE"/>
    <w:rsid w:val="009119F2"/>
    <w:rsid w:val="009477CC"/>
    <w:rsid w:val="00970934"/>
    <w:rsid w:val="009711DA"/>
    <w:rsid w:val="00972966"/>
    <w:rsid w:val="00981474"/>
    <w:rsid w:val="009C0C2A"/>
    <w:rsid w:val="009C33D4"/>
    <w:rsid w:val="009E3061"/>
    <w:rsid w:val="009E743E"/>
    <w:rsid w:val="009F7BDF"/>
    <w:rsid w:val="00A00B94"/>
    <w:rsid w:val="00A00E5D"/>
    <w:rsid w:val="00A12910"/>
    <w:rsid w:val="00A2309D"/>
    <w:rsid w:val="00A25755"/>
    <w:rsid w:val="00A60036"/>
    <w:rsid w:val="00A72BEA"/>
    <w:rsid w:val="00A756E5"/>
    <w:rsid w:val="00AB02E1"/>
    <w:rsid w:val="00B01111"/>
    <w:rsid w:val="00B012D3"/>
    <w:rsid w:val="00B04F38"/>
    <w:rsid w:val="00B10911"/>
    <w:rsid w:val="00B27385"/>
    <w:rsid w:val="00B3473F"/>
    <w:rsid w:val="00B35B1E"/>
    <w:rsid w:val="00B5002D"/>
    <w:rsid w:val="00BB286B"/>
    <w:rsid w:val="00BF1DAB"/>
    <w:rsid w:val="00BF2436"/>
    <w:rsid w:val="00C00F4C"/>
    <w:rsid w:val="00C0767B"/>
    <w:rsid w:val="00C10DAB"/>
    <w:rsid w:val="00C13AFA"/>
    <w:rsid w:val="00C35F9F"/>
    <w:rsid w:val="00C57947"/>
    <w:rsid w:val="00C62F65"/>
    <w:rsid w:val="00C645C7"/>
    <w:rsid w:val="00CA012C"/>
    <w:rsid w:val="00CC2273"/>
    <w:rsid w:val="00D1627A"/>
    <w:rsid w:val="00D344A4"/>
    <w:rsid w:val="00D44809"/>
    <w:rsid w:val="00D96714"/>
    <w:rsid w:val="00DF07D2"/>
    <w:rsid w:val="00DF77AB"/>
    <w:rsid w:val="00E02023"/>
    <w:rsid w:val="00E52EA8"/>
    <w:rsid w:val="00EB1B8F"/>
    <w:rsid w:val="00EB74D8"/>
    <w:rsid w:val="00EC1229"/>
    <w:rsid w:val="00ED2958"/>
    <w:rsid w:val="00EE7BD7"/>
    <w:rsid w:val="00F02CEC"/>
    <w:rsid w:val="00F132A5"/>
    <w:rsid w:val="00F522FD"/>
    <w:rsid w:val="00F57AD1"/>
    <w:rsid w:val="00F91AD0"/>
    <w:rsid w:val="00FD2FA6"/>
    <w:rsid w:val="00FF5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FD1F"/>
  <w15:chartTrackingRefBased/>
  <w15:docId w15:val="{700D9C0E-27B2-40AF-8565-EC85806E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A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10DAB"/>
    <w:pPr>
      <w:tabs>
        <w:tab w:val="center" w:pos="4252"/>
        <w:tab w:val="right" w:pos="8504"/>
      </w:tabs>
    </w:pPr>
  </w:style>
  <w:style w:type="character" w:customStyle="1" w:styleId="PiedepginaCar">
    <w:name w:val="Pie de página Car"/>
    <w:basedOn w:val="Fuentedeprrafopredeter"/>
    <w:link w:val="Piedepgina"/>
    <w:rsid w:val="00C10DAB"/>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C10DAB"/>
  </w:style>
  <w:style w:type="paragraph" w:styleId="Encabezado">
    <w:name w:val="header"/>
    <w:basedOn w:val="Normal"/>
    <w:link w:val="EncabezadoCar"/>
    <w:uiPriority w:val="99"/>
    <w:rsid w:val="00C10DAB"/>
    <w:pPr>
      <w:tabs>
        <w:tab w:val="center" w:pos="4252"/>
        <w:tab w:val="right" w:pos="8504"/>
      </w:tabs>
    </w:pPr>
  </w:style>
  <w:style w:type="character" w:customStyle="1" w:styleId="EncabezadoCar">
    <w:name w:val="Encabezado Car"/>
    <w:basedOn w:val="Fuentedeprrafopredeter"/>
    <w:link w:val="Encabezado"/>
    <w:uiPriority w:val="99"/>
    <w:rsid w:val="00C10DAB"/>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C1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0DAB"/>
    <w:pPr>
      <w:suppressAutoHyphens w:val="0"/>
      <w:spacing w:after="160" w:line="259" w:lineRule="auto"/>
      <w:ind w:left="720"/>
      <w:contextualSpacing/>
    </w:pPr>
    <w:rPr>
      <w:rFonts w:asciiTheme="minorHAnsi" w:eastAsiaTheme="minorHAnsi" w:hAnsiTheme="minorHAnsi" w:cstheme="minorBidi"/>
      <w:sz w:val="22"/>
      <w:szCs w:val="22"/>
      <w:lang w:val="es-MX" w:eastAsia="en-US"/>
    </w:rPr>
  </w:style>
  <w:style w:type="character" w:styleId="Refdecomentario">
    <w:name w:val="annotation reference"/>
    <w:basedOn w:val="Fuentedeprrafopredeter"/>
    <w:uiPriority w:val="99"/>
    <w:semiHidden/>
    <w:unhideWhenUsed/>
    <w:rsid w:val="00F91AD0"/>
    <w:rPr>
      <w:sz w:val="16"/>
      <w:szCs w:val="16"/>
    </w:rPr>
  </w:style>
  <w:style w:type="paragraph" w:styleId="Textocomentario">
    <w:name w:val="annotation text"/>
    <w:basedOn w:val="Normal"/>
    <w:link w:val="TextocomentarioCar"/>
    <w:uiPriority w:val="99"/>
    <w:semiHidden/>
    <w:unhideWhenUsed/>
    <w:rsid w:val="00F91AD0"/>
    <w:rPr>
      <w:sz w:val="20"/>
      <w:szCs w:val="20"/>
    </w:rPr>
  </w:style>
  <w:style w:type="character" w:customStyle="1" w:styleId="TextocomentarioCar">
    <w:name w:val="Texto comentario Car"/>
    <w:basedOn w:val="Fuentedeprrafopredeter"/>
    <w:link w:val="Textocomentario"/>
    <w:uiPriority w:val="99"/>
    <w:semiHidden/>
    <w:rsid w:val="00F91AD0"/>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F91AD0"/>
    <w:rPr>
      <w:b/>
      <w:bCs/>
    </w:rPr>
  </w:style>
  <w:style w:type="character" w:customStyle="1" w:styleId="AsuntodelcomentarioCar">
    <w:name w:val="Asunto del comentario Car"/>
    <w:basedOn w:val="TextocomentarioCar"/>
    <w:link w:val="Asuntodelcomentario"/>
    <w:uiPriority w:val="99"/>
    <w:semiHidden/>
    <w:rsid w:val="00F91AD0"/>
    <w:rPr>
      <w:rFonts w:ascii="Times New Roman" w:eastAsia="Times New Roman" w:hAnsi="Times New Roman" w:cs="Times New Roman"/>
      <w:b/>
      <w:bCs/>
      <w:sz w:val="20"/>
      <w:szCs w:val="20"/>
      <w:lang w:val="es-ES" w:eastAsia="ar-SA"/>
    </w:rPr>
  </w:style>
  <w:style w:type="paragraph" w:styleId="Textodeglobo">
    <w:name w:val="Balloon Text"/>
    <w:basedOn w:val="Normal"/>
    <w:link w:val="TextodegloboCar"/>
    <w:uiPriority w:val="99"/>
    <w:semiHidden/>
    <w:unhideWhenUsed/>
    <w:rsid w:val="00981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474"/>
    <w:rPr>
      <w:rFonts w:ascii="Segoe UI" w:eastAsia="Times New Roman" w:hAnsi="Segoe UI" w:cs="Segoe UI"/>
      <w:sz w:val="18"/>
      <w:szCs w:val="18"/>
      <w:lang w:val="es-ES" w:eastAsia="ar-SA"/>
    </w:rPr>
  </w:style>
  <w:style w:type="paragraph" w:styleId="NormalWeb">
    <w:name w:val="Normal (Web)"/>
    <w:basedOn w:val="Normal"/>
    <w:uiPriority w:val="99"/>
    <w:semiHidden/>
    <w:unhideWhenUsed/>
    <w:rsid w:val="004B0767"/>
    <w:pPr>
      <w:suppressAutoHyphens w:val="0"/>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6C6F3-459B-4FE3-9B67-2F36E355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737</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 Antonio Gonzalez Ocampo</cp:lastModifiedBy>
  <cp:revision>7</cp:revision>
  <cp:lastPrinted>2024-07-17T18:40:00Z</cp:lastPrinted>
  <dcterms:created xsi:type="dcterms:W3CDTF">2024-12-09T15:00:00Z</dcterms:created>
  <dcterms:modified xsi:type="dcterms:W3CDTF">2024-12-10T16:00:00Z</dcterms:modified>
</cp:coreProperties>
</file>