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80311A" w14:textId="2E9E0047" w:rsidR="00C03E0C" w:rsidRPr="005E44D1" w:rsidRDefault="00C03E0C" w:rsidP="00C03E0C">
      <w:pPr>
        <w:jc w:val="both"/>
        <w:rPr>
          <w:rFonts w:ascii="Trebuchet MS" w:hAnsi="Trebuchet MS"/>
          <w:b/>
          <w:bCs/>
          <w:sz w:val="24"/>
          <w:szCs w:val="24"/>
        </w:rPr>
      </w:pPr>
      <w:r w:rsidRPr="005E44D1">
        <w:rPr>
          <w:rFonts w:ascii="Trebuchet MS" w:hAnsi="Trebuchet MS"/>
          <w:b/>
          <w:bCs/>
          <w:sz w:val="24"/>
          <w:szCs w:val="24"/>
        </w:rPr>
        <w:t>INFORME QUE PRESENTA EL TITULAR DEL ÓRGANO DE ENLACE DEL INSTITUTO ELECTORAL Y DE PARTICIPACIÓN CIUDADANA DEL ESTADO DE JALISCO CON EL SERVICIO PROFESIONAL ELECTORAL NACIONAL RESPECTO AL DICTAMEN GENERAL DE RESULTADOS DE LA EVALUACIÓN DEL DES</w:t>
      </w:r>
      <w:r w:rsidR="008109EE" w:rsidRPr="005E44D1">
        <w:rPr>
          <w:rFonts w:ascii="Trebuchet MS" w:hAnsi="Trebuchet MS"/>
          <w:b/>
          <w:bCs/>
          <w:sz w:val="24"/>
          <w:szCs w:val="24"/>
        </w:rPr>
        <w:t>EM</w:t>
      </w:r>
      <w:r w:rsidRPr="005E44D1">
        <w:rPr>
          <w:rFonts w:ascii="Trebuchet MS" w:hAnsi="Trebuchet MS"/>
          <w:b/>
          <w:bCs/>
          <w:sz w:val="24"/>
          <w:szCs w:val="24"/>
        </w:rPr>
        <w:t>PEÑO 2021 DE</w:t>
      </w:r>
      <w:r w:rsidR="00736370" w:rsidRPr="005E44D1">
        <w:rPr>
          <w:rFonts w:ascii="Trebuchet MS" w:hAnsi="Trebuchet MS"/>
          <w:b/>
          <w:bCs/>
          <w:sz w:val="24"/>
          <w:szCs w:val="24"/>
        </w:rPr>
        <w:t xml:space="preserve"> LA MEMBRESÍA</w:t>
      </w:r>
      <w:r w:rsidRPr="005E44D1">
        <w:rPr>
          <w:rFonts w:ascii="Trebuchet MS" w:hAnsi="Trebuchet MS"/>
          <w:b/>
          <w:bCs/>
          <w:sz w:val="24"/>
          <w:szCs w:val="24"/>
        </w:rPr>
        <w:t xml:space="preserve"> DEL SERVICIO PROFESIONAL ELECTORAL NACIONAL </w:t>
      </w:r>
      <w:r w:rsidR="00736370" w:rsidRPr="005E44D1">
        <w:rPr>
          <w:rFonts w:ascii="Trebuchet MS" w:hAnsi="Trebuchet MS"/>
          <w:b/>
          <w:bCs/>
          <w:sz w:val="24"/>
          <w:szCs w:val="24"/>
        </w:rPr>
        <w:t xml:space="preserve">CON </w:t>
      </w:r>
      <w:r w:rsidRPr="005E44D1">
        <w:rPr>
          <w:rFonts w:ascii="Trebuchet MS" w:hAnsi="Trebuchet MS"/>
          <w:b/>
          <w:bCs/>
          <w:sz w:val="24"/>
          <w:szCs w:val="24"/>
        </w:rPr>
        <w:t>ADSCRI</w:t>
      </w:r>
      <w:r w:rsidR="00736370" w:rsidRPr="005E44D1">
        <w:rPr>
          <w:rFonts w:ascii="Trebuchet MS" w:hAnsi="Trebuchet MS"/>
          <w:b/>
          <w:bCs/>
          <w:sz w:val="24"/>
          <w:szCs w:val="24"/>
        </w:rPr>
        <w:t>PCIÓN</w:t>
      </w:r>
      <w:r w:rsidRPr="005E44D1">
        <w:rPr>
          <w:rFonts w:ascii="Trebuchet MS" w:hAnsi="Trebuchet MS"/>
          <w:b/>
          <w:bCs/>
          <w:sz w:val="24"/>
          <w:szCs w:val="24"/>
        </w:rPr>
        <w:t xml:space="preserve"> A ESTE INSTITUTO ELECTORAL.</w:t>
      </w:r>
    </w:p>
    <w:p w14:paraId="46E8A5C3" w14:textId="77777777" w:rsidR="00C03E0C" w:rsidRPr="005E44D1" w:rsidRDefault="00C03E0C" w:rsidP="00C03E0C">
      <w:pPr>
        <w:rPr>
          <w:rFonts w:ascii="Trebuchet MS" w:hAnsi="Trebuchet MS"/>
          <w:b/>
          <w:bCs/>
          <w:sz w:val="24"/>
          <w:szCs w:val="24"/>
        </w:rPr>
      </w:pPr>
    </w:p>
    <w:p w14:paraId="662BF24B" w14:textId="77777777" w:rsidR="00C03E0C" w:rsidRPr="005E44D1" w:rsidRDefault="00C03E0C" w:rsidP="00C03E0C">
      <w:pPr>
        <w:rPr>
          <w:rFonts w:ascii="Trebuchet MS" w:hAnsi="Trebuchet MS"/>
          <w:b/>
          <w:bCs/>
          <w:sz w:val="24"/>
          <w:szCs w:val="24"/>
        </w:rPr>
      </w:pPr>
      <w:r w:rsidRPr="005E44D1">
        <w:rPr>
          <w:rFonts w:ascii="Trebuchet MS" w:hAnsi="Trebuchet MS"/>
          <w:b/>
          <w:bCs/>
          <w:sz w:val="24"/>
          <w:szCs w:val="24"/>
        </w:rPr>
        <w:t>ANTECEDENTES</w:t>
      </w:r>
    </w:p>
    <w:p w14:paraId="3EFB19E3" w14:textId="77777777" w:rsidR="00C03E0C" w:rsidRPr="005E44D1" w:rsidRDefault="00C03E0C" w:rsidP="00C03E0C">
      <w:pPr>
        <w:jc w:val="both"/>
        <w:rPr>
          <w:rFonts w:ascii="Trebuchet MS" w:hAnsi="Trebuchet MS"/>
          <w:sz w:val="24"/>
          <w:szCs w:val="24"/>
        </w:rPr>
      </w:pPr>
    </w:p>
    <w:p w14:paraId="421CEFDB" w14:textId="160677F5" w:rsidR="00C03E0C" w:rsidRPr="005E44D1" w:rsidRDefault="00C03E0C" w:rsidP="00C03E0C">
      <w:pPr>
        <w:pStyle w:val="Prrafodelista"/>
        <w:numPr>
          <w:ilvl w:val="0"/>
          <w:numId w:val="1"/>
        </w:numPr>
        <w:spacing w:after="0" w:line="240" w:lineRule="auto"/>
        <w:jc w:val="both"/>
        <w:rPr>
          <w:rFonts w:ascii="Trebuchet MS" w:hAnsi="Trebuchet MS"/>
          <w:sz w:val="24"/>
          <w:szCs w:val="24"/>
        </w:rPr>
      </w:pPr>
      <w:r w:rsidRPr="005E44D1">
        <w:rPr>
          <w:rFonts w:ascii="Trebuchet MS" w:hAnsi="Trebuchet MS"/>
          <w:sz w:val="24"/>
          <w:szCs w:val="24"/>
        </w:rPr>
        <w:t>El 8 de julio de 2020, el Consejo General del Instituto Nacional Electoral (INE) aprobó</w:t>
      </w:r>
      <w:r w:rsidR="00736370" w:rsidRPr="005E44D1">
        <w:rPr>
          <w:rFonts w:ascii="Trebuchet MS" w:hAnsi="Trebuchet MS"/>
          <w:sz w:val="24"/>
          <w:szCs w:val="24"/>
        </w:rPr>
        <w:t>,</w:t>
      </w:r>
      <w:r w:rsidRPr="005E44D1">
        <w:rPr>
          <w:rFonts w:ascii="Trebuchet MS" w:hAnsi="Trebuchet MS"/>
          <w:sz w:val="24"/>
          <w:szCs w:val="24"/>
        </w:rPr>
        <w:t xml:space="preserve"> mediante acuerdo INE/CG162/2020</w:t>
      </w:r>
      <w:r w:rsidR="00736370" w:rsidRPr="005E44D1">
        <w:rPr>
          <w:rFonts w:ascii="Trebuchet MS" w:hAnsi="Trebuchet MS"/>
          <w:sz w:val="24"/>
          <w:szCs w:val="24"/>
        </w:rPr>
        <w:t>,</w:t>
      </w:r>
      <w:r w:rsidRPr="005E44D1">
        <w:rPr>
          <w:rFonts w:ascii="Trebuchet MS" w:hAnsi="Trebuchet MS"/>
          <w:sz w:val="24"/>
          <w:szCs w:val="24"/>
        </w:rPr>
        <w:t xml:space="preserve"> la reforma al Estatuto del Servicio Profesional Electoral Nacional y del </w:t>
      </w:r>
      <w:r w:rsidR="00736370" w:rsidRPr="005E44D1">
        <w:rPr>
          <w:rFonts w:ascii="Trebuchet MS" w:hAnsi="Trebuchet MS"/>
          <w:sz w:val="24"/>
          <w:szCs w:val="24"/>
        </w:rPr>
        <w:t>P</w:t>
      </w:r>
      <w:r w:rsidRPr="005E44D1">
        <w:rPr>
          <w:rFonts w:ascii="Trebuchet MS" w:hAnsi="Trebuchet MS"/>
          <w:sz w:val="24"/>
          <w:szCs w:val="24"/>
        </w:rPr>
        <w:t xml:space="preserve">ersonal de la </w:t>
      </w:r>
      <w:r w:rsidR="00736370" w:rsidRPr="005E44D1">
        <w:rPr>
          <w:rFonts w:ascii="Trebuchet MS" w:hAnsi="Trebuchet MS"/>
          <w:sz w:val="24"/>
          <w:szCs w:val="24"/>
        </w:rPr>
        <w:t>R</w:t>
      </w:r>
      <w:r w:rsidRPr="005E44D1">
        <w:rPr>
          <w:rFonts w:ascii="Trebuchet MS" w:hAnsi="Trebuchet MS"/>
          <w:sz w:val="24"/>
          <w:szCs w:val="24"/>
        </w:rPr>
        <w:t xml:space="preserve">ama </w:t>
      </w:r>
      <w:r w:rsidR="00736370" w:rsidRPr="005E44D1">
        <w:rPr>
          <w:rFonts w:ascii="Trebuchet MS" w:hAnsi="Trebuchet MS"/>
          <w:sz w:val="24"/>
          <w:szCs w:val="24"/>
        </w:rPr>
        <w:t>A</w:t>
      </w:r>
      <w:r w:rsidRPr="005E44D1">
        <w:rPr>
          <w:rFonts w:ascii="Trebuchet MS" w:hAnsi="Trebuchet MS"/>
          <w:sz w:val="24"/>
          <w:szCs w:val="24"/>
        </w:rPr>
        <w:t>dministrativa.</w:t>
      </w:r>
    </w:p>
    <w:p w14:paraId="6B2A8EF4" w14:textId="77777777" w:rsidR="00C03E0C" w:rsidRPr="005E44D1" w:rsidRDefault="00C03E0C" w:rsidP="00C03E0C">
      <w:pPr>
        <w:pStyle w:val="Prrafodelista"/>
        <w:spacing w:after="0" w:line="240" w:lineRule="auto"/>
        <w:jc w:val="both"/>
        <w:rPr>
          <w:rFonts w:ascii="Trebuchet MS" w:hAnsi="Trebuchet MS"/>
          <w:sz w:val="24"/>
          <w:szCs w:val="24"/>
        </w:rPr>
      </w:pPr>
    </w:p>
    <w:p w14:paraId="5ABB2425" w14:textId="469401CE" w:rsidR="00C03E0C" w:rsidRPr="005E44D1" w:rsidRDefault="00C03E0C" w:rsidP="00C03E0C">
      <w:pPr>
        <w:pStyle w:val="Prrafodelista"/>
        <w:numPr>
          <w:ilvl w:val="0"/>
          <w:numId w:val="1"/>
        </w:numPr>
        <w:spacing w:after="0" w:line="240" w:lineRule="auto"/>
        <w:jc w:val="both"/>
        <w:rPr>
          <w:rFonts w:ascii="Trebuchet MS" w:hAnsi="Trebuchet MS"/>
          <w:sz w:val="24"/>
          <w:szCs w:val="24"/>
        </w:rPr>
      </w:pPr>
      <w:r w:rsidRPr="005E44D1">
        <w:rPr>
          <w:rFonts w:ascii="Trebuchet MS" w:hAnsi="Trebuchet MS"/>
          <w:sz w:val="24"/>
          <w:szCs w:val="24"/>
        </w:rPr>
        <w:t>El 24 de agosto de ese mismo año, la Junta General Ejecutiva del INE aprobó</w:t>
      </w:r>
      <w:r w:rsidR="00736370" w:rsidRPr="005E44D1">
        <w:rPr>
          <w:rFonts w:ascii="Trebuchet MS" w:hAnsi="Trebuchet MS"/>
          <w:sz w:val="24"/>
          <w:szCs w:val="24"/>
        </w:rPr>
        <w:t>,</w:t>
      </w:r>
      <w:r w:rsidRPr="005E44D1">
        <w:rPr>
          <w:rFonts w:ascii="Trebuchet MS" w:hAnsi="Trebuchet MS"/>
          <w:sz w:val="24"/>
          <w:szCs w:val="24"/>
        </w:rPr>
        <w:t xml:space="preserve"> </w:t>
      </w:r>
      <w:r w:rsidR="00736370" w:rsidRPr="005E44D1">
        <w:rPr>
          <w:rFonts w:ascii="Trebuchet MS" w:hAnsi="Trebuchet MS"/>
          <w:sz w:val="24"/>
          <w:szCs w:val="24"/>
        </w:rPr>
        <w:t>mediante</w:t>
      </w:r>
      <w:r w:rsidRPr="005E44D1">
        <w:rPr>
          <w:rFonts w:ascii="Trebuchet MS" w:hAnsi="Trebuchet MS"/>
          <w:sz w:val="24"/>
          <w:szCs w:val="24"/>
        </w:rPr>
        <w:t xml:space="preserve"> acuerdo INE/JGE99/2020</w:t>
      </w:r>
      <w:r w:rsidR="00736370" w:rsidRPr="005E44D1">
        <w:rPr>
          <w:rFonts w:ascii="Trebuchet MS" w:hAnsi="Trebuchet MS"/>
          <w:sz w:val="24"/>
          <w:szCs w:val="24"/>
        </w:rPr>
        <w:t>,</w:t>
      </w:r>
      <w:r w:rsidRPr="005E44D1">
        <w:rPr>
          <w:rFonts w:ascii="Trebuchet MS" w:hAnsi="Trebuchet MS"/>
          <w:sz w:val="24"/>
          <w:szCs w:val="24"/>
        </w:rPr>
        <w:t xml:space="preserve"> los Lineamientos para la Evaluación del Desempeño de las y los miembros del Servicio Profesional Electoral Nacional del Sistema del Instituto Nacional Electoral (Lineamientos).</w:t>
      </w:r>
    </w:p>
    <w:p w14:paraId="586682DF" w14:textId="77777777" w:rsidR="00C03E0C" w:rsidRPr="005E44D1" w:rsidRDefault="00C03E0C" w:rsidP="00C03E0C">
      <w:pPr>
        <w:rPr>
          <w:rFonts w:ascii="Trebuchet MS" w:hAnsi="Trebuchet MS"/>
          <w:sz w:val="24"/>
          <w:szCs w:val="24"/>
        </w:rPr>
      </w:pPr>
    </w:p>
    <w:p w14:paraId="6FB78046" w14:textId="77777777" w:rsidR="00C03E0C" w:rsidRPr="005E44D1" w:rsidRDefault="00C03E0C" w:rsidP="00C03E0C">
      <w:pPr>
        <w:rPr>
          <w:rFonts w:ascii="Trebuchet MS" w:hAnsi="Trebuchet MS"/>
          <w:b/>
          <w:bCs/>
          <w:sz w:val="24"/>
          <w:szCs w:val="24"/>
        </w:rPr>
      </w:pPr>
      <w:r w:rsidRPr="005E44D1">
        <w:rPr>
          <w:rFonts w:ascii="Trebuchet MS" w:hAnsi="Trebuchet MS"/>
          <w:b/>
          <w:bCs/>
          <w:sz w:val="24"/>
          <w:szCs w:val="24"/>
        </w:rPr>
        <w:t>CONSIDERACIONES</w:t>
      </w:r>
    </w:p>
    <w:p w14:paraId="6DC0E068" w14:textId="77777777" w:rsidR="00C03E0C" w:rsidRPr="005E44D1" w:rsidRDefault="00C03E0C" w:rsidP="00C03E0C">
      <w:pPr>
        <w:jc w:val="both"/>
        <w:rPr>
          <w:rFonts w:ascii="Trebuchet MS" w:hAnsi="Trebuchet MS"/>
          <w:sz w:val="24"/>
          <w:szCs w:val="24"/>
        </w:rPr>
      </w:pPr>
    </w:p>
    <w:p w14:paraId="1B6DF40A" w14:textId="29265F45" w:rsidR="00C03E0C" w:rsidRPr="005E44D1" w:rsidRDefault="00C03E0C" w:rsidP="00C03E0C">
      <w:pPr>
        <w:jc w:val="both"/>
        <w:rPr>
          <w:rFonts w:ascii="Trebuchet MS" w:hAnsi="Trebuchet MS"/>
          <w:sz w:val="24"/>
          <w:szCs w:val="24"/>
        </w:rPr>
      </w:pPr>
      <w:r w:rsidRPr="005E44D1">
        <w:rPr>
          <w:rFonts w:ascii="Trebuchet MS" w:hAnsi="Trebuchet MS"/>
          <w:sz w:val="24"/>
          <w:szCs w:val="24"/>
        </w:rPr>
        <w:t xml:space="preserve">El 22 de septiembre de 2021, la Dirección Ejecutiva </w:t>
      </w:r>
      <w:r w:rsidR="00736370" w:rsidRPr="005E44D1">
        <w:rPr>
          <w:rFonts w:ascii="Trebuchet MS" w:hAnsi="Trebuchet MS"/>
          <w:sz w:val="24"/>
          <w:szCs w:val="24"/>
        </w:rPr>
        <w:t>d</w:t>
      </w:r>
      <w:r w:rsidRPr="005E44D1">
        <w:rPr>
          <w:rFonts w:ascii="Trebuchet MS" w:hAnsi="Trebuchet MS"/>
          <w:sz w:val="24"/>
          <w:szCs w:val="24"/>
        </w:rPr>
        <w:t>el Servicio Profesional Electoral Nacional (DESPEN), a través de la circular número INE/DESPEN/DPR443/2021, notificó al Instituto Electoral y de Participación Ciudadana del Estado de Jalisco (IEPC) que, el periodo de evaluación para metas individuales y colectivas comprendería del 1 de septiembre de 2020 al 31 de agosto de 2021. Para el caso de este Instituto se determinó evaluar seis metas colectivas y dos individuales.</w:t>
      </w:r>
    </w:p>
    <w:p w14:paraId="6437D9A7" w14:textId="77777777" w:rsidR="00C03E0C" w:rsidRPr="005E44D1" w:rsidRDefault="00C03E0C" w:rsidP="00C03E0C">
      <w:pPr>
        <w:jc w:val="both"/>
        <w:rPr>
          <w:rFonts w:ascii="Trebuchet MS" w:hAnsi="Trebuchet MS"/>
          <w:sz w:val="24"/>
          <w:szCs w:val="24"/>
        </w:rPr>
      </w:pPr>
    </w:p>
    <w:p w14:paraId="4DA5DA72" w14:textId="77777777" w:rsidR="00C03E0C" w:rsidRPr="005E44D1" w:rsidRDefault="00C03E0C" w:rsidP="00C03E0C">
      <w:pPr>
        <w:jc w:val="both"/>
        <w:rPr>
          <w:rFonts w:ascii="Trebuchet MS" w:hAnsi="Trebuchet MS"/>
          <w:sz w:val="24"/>
          <w:szCs w:val="24"/>
        </w:rPr>
      </w:pPr>
      <w:r w:rsidRPr="005E44D1">
        <w:rPr>
          <w:rFonts w:ascii="Trebuchet MS" w:hAnsi="Trebuchet MS"/>
          <w:sz w:val="24"/>
          <w:szCs w:val="24"/>
        </w:rPr>
        <w:t>El 27 de octubre de 2021, la DESPEN, a través de la circular número INE/DESPEN/DPR/580/2021, informó al IEPC que el periodo de la evaluación del desempeño se ampliaría hasta el 15 de noviembre de ese año.</w:t>
      </w:r>
    </w:p>
    <w:p w14:paraId="6EBA2E23" w14:textId="77777777" w:rsidR="00C03E0C" w:rsidRPr="005E44D1" w:rsidRDefault="00C03E0C" w:rsidP="00C03E0C">
      <w:pPr>
        <w:jc w:val="both"/>
        <w:rPr>
          <w:rFonts w:ascii="Trebuchet MS" w:hAnsi="Trebuchet MS"/>
          <w:sz w:val="24"/>
          <w:szCs w:val="24"/>
        </w:rPr>
      </w:pPr>
    </w:p>
    <w:p w14:paraId="18F5DAC2" w14:textId="774DCC23" w:rsidR="005C3967" w:rsidRPr="005E44D1" w:rsidRDefault="00C03E0C" w:rsidP="00C03E0C">
      <w:pPr>
        <w:jc w:val="both"/>
        <w:rPr>
          <w:rFonts w:ascii="Trebuchet MS" w:hAnsi="Trebuchet MS"/>
          <w:sz w:val="24"/>
          <w:szCs w:val="24"/>
        </w:rPr>
      </w:pPr>
      <w:r w:rsidRPr="005E44D1">
        <w:rPr>
          <w:rFonts w:ascii="Trebuchet MS" w:hAnsi="Trebuchet MS"/>
          <w:sz w:val="24"/>
          <w:szCs w:val="24"/>
        </w:rPr>
        <w:t>Es así que, concluido el plazo referido, la DESPEN integró el Dictamen General que contiene los resultados de la evaluación del desempeño del personal del Servicio y de la rama administrativa que ocupó una plaza del mismo por al menos seis meses durante el periodo que se evalúa</w:t>
      </w:r>
      <w:r w:rsidR="005C3967" w:rsidRPr="005E44D1">
        <w:rPr>
          <w:rFonts w:ascii="Trebuchet MS" w:hAnsi="Trebuchet MS"/>
          <w:sz w:val="24"/>
          <w:szCs w:val="24"/>
        </w:rPr>
        <w:t>; el cual fue remitido mediante OFICIO No. INE/DESPEN/DPR029/2022</w:t>
      </w:r>
      <w:r w:rsidR="00744005" w:rsidRPr="005E44D1">
        <w:rPr>
          <w:rFonts w:ascii="Trebuchet MS" w:hAnsi="Trebuchet MS"/>
          <w:sz w:val="24"/>
          <w:szCs w:val="24"/>
        </w:rPr>
        <w:t xml:space="preserve"> con fecha 08 de febrero del año en curso.</w:t>
      </w:r>
    </w:p>
    <w:p w14:paraId="6FFD41A2" w14:textId="77777777" w:rsidR="005C3967" w:rsidRPr="005E44D1" w:rsidRDefault="005C3967" w:rsidP="00C03E0C">
      <w:pPr>
        <w:jc w:val="both"/>
        <w:rPr>
          <w:rFonts w:ascii="Trebuchet MS" w:hAnsi="Trebuchet MS"/>
          <w:sz w:val="24"/>
          <w:szCs w:val="24"/>
        </w:rPr>
      </w:pPr>
    </w:p>
    <w:p w14:paraId="7788F60A" w14:textId="72960160" w:rsidR="00C03E0C" w:rsidRPr="005E44D1" w:rsidRDefault="00C03E0C" w:rsidP="00C03E0C">
      <w:pPr>
        <w:jc w:val="both"/>
        <w:rPr>
          <w:rFonts w:ascii="Trebuchet MS" w:hAnsi="Trebuchet MS"/>
          <w:sz w:val="24"/>
          <w:szCs w:val="24"/>
        </w:rPr>
      </w:pPr>
      <w:r w:rsidRPr="005E44D1">
        <w:rPr>
          <w:rFonts w:ascii="Trebuchet MS" w:hAnsi="Trebuchet MS"/>
          <w:sz w:val="24"/>
          <w:szCs w:val="24"/>
        </w:rPr>
        <w:lastRenderedPageBreak/>
        <w:t>Es importante precisar que el Dictamen no podrá ser modificado de ninguna manera.</w:t>
      </w:r>
    </w:p>
    <w:p w14:paraId="7F65C70D" w14:textId="77777777" w:rsidR="00C72272" w:rsidRPr="005E44D1" w:rsidRDefault="00C72272" w:rsidP="00C03E0C">
      <w:pPr>
        <w:jc w:val="both"/>
        <w:rPr>
          <w:rFonts w:ascii="Trebuchet MS" w:hAnsi="Trebuchet MS"/>
          <w:sz w:val="24"/>
          <w:szCs w:val="24"/>
        </w:rPr>
      </w:pPr>
    </w:p>
    <w:p w14:paraId="1AEB02E3" w14:textId="6845ED40" w:rsidR="00C03E0C" w:rsidRPr="005E44D1" w:rsidRDefault="00C03E0C" w:rsidP="00C03E0C">
      <w:pPr>
        <w:jc w:val="both"/>
        <w:rPr>
          <w:rFonts w:ascii="Trebuchet MS" w:hAnsi="Trebuchet MS"/>
          <w:sz w:val="24"/>
          <w:szCs w:val="24"/>
        </w:rPr>
      </w:pPr>
      <w:r w:rsidRPr="005E44D1">
        <w:rPr>
          <w:rFonts w:ascii="Trebuchet MS" w:hAnsi="Trebuchet MS"/>
          <w:sz w:val="24"/>
          <w:szCs w:val="24"/>
        </w:rPr>
        <w:t>Con base en lo anterior, se desprende que, de las 21 plazas del SPEN adscritas al IEPC, cuatro se encontraron vacantes en el periodo de evaluación, por lo que, de las y los</w:t>
      </w:r>
      <w:r w:rsidR="00736370" w:rsidRPr="005E44D1">
        <w:rPr>
          <w:rFonts w:ascii="Trebuchet MS" w:hAnsi="Trebuchet MS"/>
          <w:sz w:val="24"/>
          <w:szCs w:val="24"/>
        </w:rPr>
        <w:t xml:space="preserve"> </w:t>
      </w:r>
      <w:r w:rsidRPr="005E44D1">
        <w:rPr>
          <w:rFonts w:ascii="Trebuchet MS" w:hAnsi="Trebuchet MS"/>
          <w:sz w:val="24"/>
          <w:szCs w:val="24"/>
        </w:rPr>
        <w:t>17 funcionarios evaluados, ya sea</w:t>
      </w:r>
      <w:r w:rsidR="00736370" w:rsidRPr="005E44D1">
        <w:rPr>
          <w:rFonts w:ascii="Trebuchet MS" w:hAnsi="Trebuchet MS"/>
          <w:sz w:val="24"/>
          <w:szCs w:val="24"/>
        </w:rPr>
        <w:t>n titulares o</w:t>
      </w:r>
      <w:r w:rsidRPr="005E44D1">
        <w:rPr>
          <w:rFonts w:ascii="Trebuchet MS" w:hAnsi="Trebuchet MS"/>
          <w:sz w:val="24"/>
          <w:szCs w:val="24"/>
        </w:rPr>
        <w:t xml:space="preserve"> que ocupan cargos y/o puestos </w:t>
      </w:r>
      <w:r w:rsidR="00736370" w:rsidRPr="005E44D1">
        <w:rPr>
          <w:rFonts w:ascii="Trebuchet MS" w:hAnsi="Trebuchet MS"/>
          <w:sz w:val="24"/>
          <w:szCs w:val="24"/>
        </w:rPr>
        <w:t>mediante</w:t>
      </w:r>
      <w:r w:rsidRPr="005E44D1">
        <w:rPr>
          <w:rFonts w:ascii="Trebuchet MS" w:hAnsi="Trebuchet MS"/>
          <w:sz w:val="24"/>
          <w:szCs w:val="24"/>
        </w:rPr>
        <w:t xml:space="preserve"> encargo de despacho, se da cuenta que, nueve obtuvieron una calificación </w:t>
      </w:r>
      <w:r w:rsidRPr="005E44D1">
        <w:rPr>
          <w:rFonts w:ascii="Trebuchet MS" w:hAnsi="Trebuchet MS"/>
          <w:b/>
          <w:bCs/>
          <w:sz w:val="24"/>
          <w:szCs w:val="24"/>
        </w:rPr>
        <w:t>sobresaliente</w:t>
      </w:r>
      <w:r w:rsidRPr="005E44D1">
        <w:rPr>
          <w:rFonts w:ascii="Trebuchet MS" w:hAnsi="Trebuchet MS"/>
          <w:sz w:val="24"/>
          <w:szCs w:val="24"/>
        </w:rPr>
        <w:t xml:space="preserve">, tres </w:t>
      </w:r>
      <w:r w:rsidRPr="005E44D1">
        <w:rPr>
          <w:rFonts w:ascii="Trebuchet MS" w:hAnsi="Trebuchet MS"/>
          <w:b/>
          <w:bCs/>
          <w:sz w:val="24"/>
          <w:szCs w:val="24"/>
        </w:rPr>
        <w:t>altamente competente</w:t>
      </w:r>
      <w:r w:rsidRPr="005E44D1">
        <w:rPr>
          <w:rFonts w:ascii="Trebuchet MS" w:hAnsi="Trebuchet MS"/>
          <w:sz w:val="24"/>
          <w:szCs w:val="24"/>
        </w:rPr>
        <w:t xml:space="preserve">, tres </w:t>
      </w:r>
      <w:r w:rsidRPr="005E44D1">
        <w:rPr>
          <w:rFonts w:ascii="Trebuchet MS" w:hAnsi="Trebuchet MS"/>
          <w:b/>
          <w:bCs/>
          <w:sz w:val="24"/>
          <w:szCs w:val="24"/>
        </w:rPr>
        <w:t>competente</w:t>
      </w:r>
      <w:r w:rsidRPr="005E44D1">
        <w:rPr>
          <w:rFonts w:ascii="Trebuchet MS" w:hAnsi="Trebuchet MS"/>
          <w:sz w:val="24"/>
          <w:szCs w:val="24"/>
        </w:rPr>
        <w:t xml:space="preserve"> y dos </w:t>
      </w:r>
      <w:r w:rsidRPr="005E44D1">
        <w:rPr>
          <w:rFonts w:ascii="Trebuchet MS" w:hAnsi="Trebuchet MS"/>
          <w:b/>
          <w:bCs/>
          <w:sz w:val="24"/>
          <w:szCs w:val="24"/>
        </w:rPr>
        <w:t>aceptable</w:t>
      </w:r>
      <w:r w:rsidRPr="005E44D1">
        <w:rPr>
          <w:rFonts w:ascii="Trebuchet MS" w:hAnsi="Trebuchet MS"/>
          <w:sz w:val="24"/>
          <w:szCs w:val="24"/>
        </w:rPr>
        <w:t xml:space="preserve">. </w:t>
      </w:r>
    </w:p>
    <w:p w14:paraId="44DA7862" w14:textId="77777777" w:rsidR="00C03E0C" w:rsidRPr="005E44D1" w:rsidRDefault="00C03E0C" w:rsidP="00C03E0C">
      <w:pPr>
        <w:jc w:val="both"/>
        <w:rPr>
          <w:rFonts w:ascii="Trebuchet MS" w:hAnsi="Trebuchet MS"/>
          <w:sz w:val="24"/>
          <w:szCs w:val="24"/>
        </w:rPr>
      </w:pPr>
    </w:p>
    <w:p w14:paraId="0C49311B" w14:textId="26A6A56E" w:rsidR="00C03E0C" w:rsidRPr="005E44D1" w:rsidRDefault="00C03E0C" w:rsidP="00C03E0C">
      <w:pPr>
        <w:jc w:val="both"/>
        <w:rPr>
          <w:rFonts w:ascii="Trebuchet MS" w:hAnsi="Trebuchet MS"/>
          <w:sz w:val="24"/>
          <w:szCs w:val="24"/>
        </w:rPr>
      </w:pPr>
      <w:r w:rsidRPr="005E44D1">
        <w:rPr>
          <w:rFonts w:ascii="Trebuchet MS" w:hAnsi="Trebuchet MS"/>
          <w:sz w:val="24"/>
          <w:szCs w:val="24"/>
        </w:rPr>
        <w:t xml:space="preserve">Es importante señalar que de acuerdo con lo que establecen los artículos 12 inciso p) y 75 de los Lineamientos, una vez que el Órgano Superior de Dirección del </w:t>
      </w:r>
      <w:r w:rsidR="00736370" w:rsidRPr="005E44D1">
        <w:rPr>
          <w:rFonts w:ascii="Trebuchet MS" w:hAnsi="Trebuchet MS"/>
          <w:sz w:val="24"/>
          <w:szCs w:val="24"/>
        </w:rPr>
        <w:t>organismo público</w:t>
      </w:r>
      <w:bookmarkStart w:id="0" w:name="_GoBack"/>
      <w:bookmarkEnd w:id="0"/>
      <w:r w:rsidR="00736370" w:rsidRPr="005E44D1">
        <w:rPr>
          <w:rFonts w:ascii="Trebuchet MS" w:hAnsi="Trebuchet MS"/>
          <w:sz w:val="24"/>
          <w:szCs w:val="24"/>
        </w:rPr>
        <w:t xml:space="preserve"> local electoral (</w:t>
      </w:r>
      <w:r w:rsidRPr="005E44D1">
        <w:rPr>
          <w:rFonts w:ascii="Trebuchet MS" w:hAnsi="Trebuchet MS"/>
          <w:sz w:val="24"/>
          <w:szCs w:val="24"/>
        </w:rPr>
        <w:t>OPLE</w:t>
      </w:r>
      <w:r w:rsidR="00736370" w:rsidRPr="005E44D1">
        <w:rPr>
          <w:rFonts w:ascii="Trebuchet MS" w:hAnsi="Trebuchet MS"/>
          <w:sz w:val="24"/>
          <w:szCs w:val="24"/>
        </w:rPr>
        <w:t>)</w:t>
      </w:r>
      <w:r w:rsidRPr="005E44D1">
        <w:rPr>
          <w:rFonts w:ascii="Trebuchet MS" w:hAnsi="Trebuchet MS"/>
          <w:sz w:val="24"/>
          <w:szCs w:val="24"/>
        </w:rPr>
        <w:t xml:space="preserve"> apruebe el Dictamen General de resultados anuales de la evaluación del desempeño, en un periodo no mayor a un mes, contados a partir del siguiente día de su aprobación, el Órgano de Enlace notificará a las y los miembros del Servicio, mediante un oficio/circular, lo siguiente: </w:t>
      </w:r>
    </w:p>
    <w:p w14:paraId="6EED82B1" w14:textId="77777777" w:rsidR="00C03E0C" w:rsidRPr="005E44D1" w:rsidRDefault="00C03E0C" w:rsidP="00C03E0C">
      <w:pPr>
        <w:jc w:val="both"/>
        <w:rPr>
          <w:rFonts w:ascii="Trebuchet MS" w:hAnsi="Trebuchet MS"/>
          <w:sz w:val="24"/>
          <w:szCs w:val="24"/>
        </w:rPr>
      </w:pPr>
    </w:p>
    <w:p w14:paraId="28BBAEBF" w14:textId="77777777" w:rsidR="00C03E0C" w:rsidRPr="005E44D1" w:rsidRDefault="00C03E0C" w:rsidP="00C03E0C">
      <w:pPr>
        <w:pStyle w:val="Prrafodelista"/>
        <w:numPr>
          <w:ilvl w:val="0"/>
          <w:numId w:val="2"/>
        </w:numPr>
        <w:spacing w:after="0" w:line="240" w:lineRule="auto"/>
        <w:jc w:val="both"/>
        <w:rPr>
          <w:rFonts w:ascii="Trebuchet MS" w:hAnsi="Trebuchet MS"/>
          <w:sz w:val="24"/>
          <w:szCs w:val="24"/>
        </w:rPr>
      </w:pPr>
      <w:r w:rsidRPr="005E44D1">
        <w:rPr>
          <w:rFonts w:ascii="Trebuchet MS" w:hAnsi="Trebuchet MS"/>
          <w:sz w:val="24"/>
          <w:szCs w:val="24"/>
        </w:rPr>
        <w:t xml:space="preserve">La fecha en que el Órgano Superior de Dirección del OPLE aprobó el Dictamen General de resultados anuales de la evaluación del desempeño, y </w:t>
      </w:r>
    </w:p>
    <w:p w14:paraId="35044207" w14:textId="77777777" w:rsidR="00C72272" w:rsidRPr="005E44D1" w:rsidRDefault="00C72272" w:rsidP="005E44D1">
      <w:pPr>
        <w:pStyle w:val="Prrafodelista"/>
        <w:spacing w:after="0" w:line="240" w:lineRule="auto"/>
        <w:jc w:val="both"/>
        <w:rPr>
          <w:rFonts w:ascii="Trebuchet MS" w:hAnsi="Trebuchet MS"/>
          <w:sz w:val="24"/>
          <w:szCs w:val="24"/>
        </w:rPr>
      </w:pPr>
    </w:p>
    <w:p w14:paraId="432BA556" w14:textId="290415FC" w:rsidR="00C03E0C" w:rsidRPr="005E44D1" w:rsidRDefault="00C03E0C" w:rsidP="00C03E0C">
      <w:pPr>
        <w:pStyle w:val="Prrafodelista"/>
        <w:numPr>
          <w:ilvl w:val="0"/>
          <w:numId w:val="2"/>
        </w:numPr>
        <w:spacing w:after="0" w:line="240" w:lineRule="auto"/>
        <w:jc w:val="both"/>
        <w:rPr>
          <w:rFonts w:ascii="Trebuchet MS" w:hAnsi="Trebuchet MS"/>
          <w:sz w:val="24"/>
          <w:szCs w:val="24"/>
        </w:rPr>
      </w:pPr>
      <w:r w:rsidRPr="005E44D1">
        <w:rPr>
          <w:rFonts w:ascii="Trebuchet MS" w:hAnsi="Trebuchet MS"/>
          <w:sz w:val="24"/>
          <w:szCs w:val="24"/>
        </w:rPr>
        <w:t xml:space="preserve">La fecha a partir de la cual podrán consultar el Dictamen de </w:t>
      </w:r>
      <w:r w:rsidR="00604CBE" w:rsidRPr="005E44D1">
        <w:rPr>
          <w:rFonts w:ascii="Trebuchet MS" w:hAnsi="Trebuchet MS"/>
          <w:sz w:val="24"/>
          <w:szCs w:val="24"/>
        </w:rPr>
        <w:t>R</w:t>
      </w:r>
      <w:r w:rsidRPr="005E44D1">
        <w:rPr>
          <w:rFonts w:ascii="Trebuchet MS" w:hAnsi="Trebuchet MS"/>
          <w:sz w:val="24"/>
          <w:szCs w:val="24"/>
        </w:rPr>
        <w:t xml:space="preserve">esultados </w:t>
      </w:r>
      <w:r w:rsidR="00604CBE" w:rsidRPr="005E44D1">
        <w:rPr>
          <w:rFonts w:ascii="Trebuchet MS" w:hAnsi="Trebuchet MS"/>
          <w:sz w:val="24"/>
          <w:szCs w:val="24"/>
        </w:rPr>
        <w:t>I</w:t>
      </w:r>
      <w:r w:rsidRPr="005E44D1">
        <w:rPr>
          <w:rFonts w:ascii="Trebuchet MS" w:hAnsi="Trebuchet MS"/>
          <w:sz w:val="24"/>
          <w:szCs w:val="24"/>
        </w:rPr>
        <w:t>ndividuales anual en el Sistema Integral de Información del Servicio Profesional Electoral Nacional (SIIISPEN).</w:t>
      </w:r>
    </w:p>
    <w:p w14:paraId="7C72A6CF" w14:textId="77777777" w:rsidR="00C03E0C" w:rsidRPr="005E44D1" w:rsidRDefault="00C03E0C" w:rsidP="00C03E0C">
      <w:pPr>
        <w:jc w:val="both"/>
        <w:rPr>
          <w:rFonts w:ascii="Trebuchet MS" w:hAnsi="Trebuchet MS"/>
          <w:sz w:val="24"/>
          <w:szCs w:val="24"/>
        </w:rPr>
      </w:pPr>
    </w:p>
    <w:p w14:paraId="557659D8" w14:textId="67B657EA" w:rsidR="00C03E0C" w:rsidRPr="005E44D1" w:rsidRDefault="00C03E0C" w:rsidP="00C03E0C">
      <w:pPr>
        <w:jc w:val="both"/>
        <w:rPr>
          <w:rFonts w:ascii="Trebuchet MS" w:hAnsi="Trebuchet MS"/>
          <w:sz w:val="24"/>
          <w:szCs w:val="24"/>
        </w:rPr>
      </w:pPr>
      <w:r w:rsidRPr="005E44D1">
        <w:rPr>
          <w:rFonts w:ascii="Trebuchet MS" w:hAnsi="Trebuchet MS"/>
          <w:sz w:val="24"/>
          <w:szCs w:val="24"/>
        </w:rPr>
        <w:t xml:space="preserve">Derivado de lo expuesto y, de acuerdo con lo establecido en el artículo 10, inciso d) de los Lineamientos en la materia, corresponde al Órgano Superior de Dirección de este Instituto aprobar el Dictamen General de </w:t>
      </w:r>
      <w:r w:rsidR="00604CBE" w:rsidRPr="005E44D1">
        <w:rPr>
          <w:rFonts w:ascii="Trebuchet MS" w:hAnsi="Trebuchet MS"/>
          <w:sz w:val="24"/>
          <w:szCs w:val="24"/>
        </w:rPr>
        <w:t>R</w:t>
      </w:r>
      <w:r w:rsidRPr="005E44D1">
        <w:rPr>
          <w:rFonts w:ascii="Trebuchet MS" w:hAnsi="Trebuchet MS"/>
          <w:sz w:val="24"/>
          <w:szCs w:val="24"/>
        </w:rPr>
        <w:t xml:space="preserve">esultados de la </w:t>
      </w:r>
      <w:r w:rsidR="00604CBE" w:rsidRPr="005E44D1">
        <w:rPr>
          <w:rFonts w:ascii="Trebuchet MS" w:hAnsi="Trebuchet MS"/>
          <w:sz w:val="24"/>
          <w:szCs w:val="24"/>
        </w:rPr>
        <w:t>E</w:t>
      </w:r>
      <w:r w:rsidRPr="005E44D1">
        <w:rPr>
          <w:rFonts w:ascii="Trebuchet MS" w:hAnsi="Trebuchet MS"/>
          <w:sz w:val="24"/>
          <w:szCs w:val="24"/>
        </w:rPr>
        <w:t xml:space="preserve">valuación del </w:t>
      </w:r>
      <w:r w:rsidR="00604CBE" w:rsidRPr="005E44D1">
        <w:rPr>
          <w:rFonts w:ascii="Trebuchet MS" w:hAnsi="Trebuchet MS"/>
          <w:sz w:val="24"/>
          <w:szCs w:val="24"/>
        </w:rPr>
        <w:t>D</w:t>
      </w:r>
      <w:r w:rsidRPr="005E44D1">
        <w:rPr>
          <w:rFonts w:ascii="Trebuchet MS" w:hAnsi="Trebuchet MS"/>
          <w:sz w:val="24"/>
          <w:szCs w:val="24"/>
        </w:rPr>
        <w:t>esempeño, previo conocimiento de las integrantes de la Comisión de Seguimiento al Servicio.</w:t>
      </w:r>
    </w:p>
    <w:p w14:paraId="38619D0B" w14:textId="77777777" w:rsidR="00C03E0C" w:rsidRPr="005E44D1" w:rsidRDefault="00C03E0C" w:rsidP="00C03E0C">
      <w:pPr>
        <w:jc w:val="both"/>
        <w:rPr>
          <w:rFonts w:ascii="Trebuchet MS" w:hAnsi="Trebuchet MS"/>
          <w:sz w:val="24"/>
          <w:szCs w:val="24"/>
        </w:rPr>
      </w:pPr>
    </w:p>
    <w:p w14:paraId="13D28637" w14:textId="5649CBA5" w:rsidR="00C03E0C" w:rsidRPr="005E44D1" w:rsidRDefault="00C03E0C" w:rsidP="00C03E0C">
      <w:pPr>
        <w:jc w:val="center"/>
        <w:rPr>
          <w:rFonts w:ascii="Trebuchet MS" w:hAnsi="Trebuchet MS"/>
          <w:sz w:val="24"/>
          <w:szCs w:val="24"/>
        </w:rPr>
      </w:pPr>
      <w:r w:rsidRPr="005E44D1">
        <w:rPr>
          <w:rFonts w:ascii="Trebuchet MS" w:hAnsi="Trebuchet MS"/>
          <w:sz w:val="24"/>
          <w:szCs w:val="24"/>
        </w:rPr>
        <w:t>Guadalajara, Jalisco</w:t>
      </w:r>
      <w:r w:rsidR="006E2730" w:rsidRPr="005E44D1">
        <w:rPr>
          <w:rFonts w:ascii="Trebuchet MS" w:hAnsi="Trebuchet MS"/>
          <w:sz w:val="24"/>
          <w:szCs w:val="24"/>
        </w:rPr>
        <w:t>;</w:t>
      </w:r>
      <w:r w:rsidRPr="005E44D1">
        <w:rPr>
          <w:rFonts w:ascii="Trebuchet MS" w:hAnsi="Trebuchet MS"/>
          <w:sz w:val="24"/>
          <w:szCs w:val="24"/>
        </w:rPr>
        <w:t xml:space="preserve"> a 17 de febrero de 2021</w:t>
      </w:r>
    </w:p>
    <w:p w14:paraId="54598CD0" w14:textId="77777777" w:rsidR="00C9527D" w:rsidRPr="005E44D1" w:rsidRDefault="00C9527D" w:rsidP="00C03E0C">
      <w:pPr>
        <w:jc w:val="center"/>
        <w:rPr>
          <w:rFonts w:ascii="Trebuchet MS" w:hAnsi="Trebuchet MS"/>
          <w:sz w:val="24"/>
          <w:szCs w:val="24"/>
        </w:rPr>
      </w:pPr>
    </w:p>
    <w:p w14:paraId="0A7BE48D" w14:textId="77777777" w:rsidR="00C9527D" w:rsidRPr="005E44D1" w:rsidRDefault="00C9527D" w:rsidP="00C03E0C">
      <w:pPr>
        <w:jc w:val="center"/>
        <w:rPr>
          <w:rFonts w:ascii="Trebuchet MS" w:hAnsi="Trebuchet MS"/>
          <w:sz w:val="24"/>
          <w:szCs w:val="24"/>
        </w:rPr>
      </w:pPr>
    </w:p>
    <w:p w14:paraId="112420B0" w14:textId="77777777" w:rsidR="00C03E0C" w:rsidRPr="005E44D1" w:rsidRDefault="00C03E0C" w:rsidP="00C03E0C">
      <w:pPr>
        <w:jc w:val="center"/>
        <w:rPr>
          <w:rFonts w:ascii="Trebuchet MS" w:hAnsi="Trebuchet MS"/>
          <w:sz w:val="24"/>
          <w:szCs w:val="24"/>
        </w:rPr>
      </w:pPr>
    </w:p>
    <w:p w14:paraId="3206AD7F" w14:textId="77777777" w:rsidR="00C03E0C" w:rsidRPr="005E44D1" w:rsidRDefault="00C03E0C" w:rsidP="00C03E0C">
      <w:pPr>
        <w:jc w:val="center"/>
        <w:rPr>
          <w:rFonts w:ascii="Trebuchet MS" w:hAnsi="Trebuchet MS"/>
          <w:sz w:val="24"/>
          <w:szCs w:val="24"/>
        </w:rPr>
      </w:pPr>
      <w:r w:rsidRPr="005E44D1">
        <w:rPr>
          <w:rFonts w:ascii="Trebuchet MS" w:hAnsi="Trebuchet MS"/>
          <w:sz w:val="24"/>
          <w:szCs w:val="24"/>
        </w:rPr>
        <w:lastRenderedPageBreak/>
        <w:t>Lic. Fernando Pérez Núñez</w:t>
      </w:r>
    </w:p>
    <w:p w14:paraId="453AA565" w14:textId="77777777" w:rsidR="00C03E0C" w:rsidRPr="005E44D1" w:rsidRDefault="00C03E0C" w:rsidP="00C03E0C">
      <w:pPr>
        <w:jc w:val="center"/>
        <w:rPr>
          <w:rFonts w:ascii="Trebuchet MS" w:hAnsi="Trebuchet MS"/>
          <w:sz w:val="24"/>
          <w:szCs w:val="24"/>
        </w:rPr>
      </w:pPr>
      <w:r w:rsidRPr="005E44D1">
        <w:rPr>
          <w:rFonts w:ascii="Trebuchet MS" w:hAnsi="Trebuchet MS"/>
          <w:sz w:val="24"/>
          <w:szCs w:val="24"/>
        </w:rPr>
        <w:t>Director Ejecutivo de Administración Innovación y</w:t>
      </w:r>
    </w:p>
    <w:p w14:paraId="75E7FFBC" w14:textId="77777777" w:rsidR="00C03E0C" w:rsidRPr="005E44D1" w:rsidRDefault="00C03E0C" w:rsidP="00C03E0C">
      <w:pPr>
        <w:jc w:val="center"/>
        <w:rPr>
          <w:rFonts w:ascii="Trebuchet MS" w:hAnsi="Trebuchet MS"/>
          <w:sz w:val="24"/>
          <w:szCs w:val="24"/>
        </w:rPr>
      </w:pPr>
      <w:r w:rsidRPr="005E44D1">
        <w:rPr>
          <w:rFonts w:ascii="Trebuchet MS" w:hAnsi="Trebuchet MS"/>
          <w:sz w:val="24"/>
          <w:szCs w:val="24"/>
        </w:rPr>
        <w:t xml:space="preserve">Órgano de Enlace con el </w:t>
      </w:r>
    </w:p>
    <w:p w14:paraId="604ACCA6" w14:textId="77777777" w:rsidR="00C03E0C" w:rsidRPr="00C03E0C" w:rsidRDefault="00C03E0C" w:rsidP="00C03E0C">
      <w:pPr>
        <w:jc w:val="center"/>
        <w:rPr>
          <w:rFonts w:ascii="Trebuchet MS" w:hAnsi="Trebuchet MS"/>
          <w:sz w:val="24"/>
          <w:szCs w:val="24"/>
        </w:rPr>
      </w:pPr>
      <w:r w:rsidRPr="005E44D1">
        <w:rPr>
          <w:rFonts w:ascii="Trebuchet MS" w:hAnsi="Trebuchet MS"/>
          <w:sz w:val="24"/>
          <w:szCs w:val="24"/>
        </w:rPr>
        <w:t>Servicio Profesional Electoral Nacional</w:t>
      </w:r>
      <w:r w:rsidRPr="00C03E0C">
        <w:rPr>
          <w:rFonts w:ascii="Trebuchet MS" w:hAnsi="Trebuchet MS"/>
          <w:sz w:val="24"/>
          <w:szCs w:val="24"/>
        </w:rPr>
        <w:t xml:space="preserve"> </w:t>
      </w:r>
    </w:p>
    <w:p w14:paraId="08065C5B" w14:textId="77777777" w:rsidR="00D344A4" w:rsidRPr="00C03E0C" w:rsidRDefault="00D344A4">
      <w:pPr>
        <w:rPr>
          <w:rFonts w:ascii="Trebuchet MS" w:hAnsi="Trebuchet MS"/>
        </w:rPr>
      </w:pPr>
    </w:p>
    <w:sectPr w:rsidR="00D344A4" w:rsidRPr="00C03E0C" w:rsidSect="00C14970">
      <w:headerReference w:type="default" r:id="rId8"/>
      <w:footerReference w:type="default" r:id="rId9"/>
      <w:pgSz w:w="11906" w:h="16838" w:code="9"/>
      <w:pgMar w:top="1134" w:right="1701" w:bottom="1134" w:left="1701" w:header="1701" w:footer="17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F8D14" w14:textId="77777777" w:rsidR="00A63C5C" w:rsidRDefault="00A63C5C">
      <w:r>
        <w:separator/>
      </w:r>
    </w:p>
  </w:endnote>
  <w:endnote w:type="continuationSeparator" w:id="0">
    <w:p w14:paraId="7DB41161" w14:textId="77777777" w:rsidR="00A63C5C" w:rsidRDefault="00A6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F05F" w14:textId="77777777" w:rsidR="0001239F" w:rsidRPr="00D1309F" w:rsidRDefault="00C03E0C" w:rsidP="00ED67C0">
    <w:pPr>
      <w:pStyle w:val="Piedepgina"/>
      <w:jc w:val="right"/>
      <w:rPr>
        <w:rFonts w:ascii="Trebuchet MS" w:hAnsi="Trebuchet MS" w:cs="Arial"/>
        <w:b/>
        <w:sz w:val="18"/>
        <w:szCs w:val="18"/>
      </w:rPr>
    </w:pPr>
    <w:r w:rsidRPr="00D1309F">
      <w:rPr>
        <w:rFonts w:ascii="Trebuchet MS" w:hAnsi="Trebuchet MS" w:cs="Arial"/>
        <w:b/>
        <w:sz w:val="18"/>
        <w:szCs w:val="18"/>
      </w:rPr>
      <w:t xml:space="preserve">Página </w:t>
    </w:r>
    <w:r w:rsidRPr="00D1309F">
      <w:rPr>
        <w:rFonts w:ascii="Trebuchet MS" w:hAnsi="Trebuchet MS" w:cs="Arial"/>
        <w:b/>
        <w:sz w:val="18"/>
        <w:szCs w:val="18"/>
      </w:rPr>
      <w:fldChar w:fldCharType="begin"/>
    </w:r>
    <w:r w:rsidRPr="00D1309F">
      <w:rPr>
        <w:rFonts w:ascii="Trebuchet MS" w:hAnsi="Trebuchet MS" w:cs="Arial"/>
        <w:b/>
        <w:sz w:val="18"/>
        <w:szCs w:val="18"/>
      </w:rPr>
      <w:instrText xml:space="preserve"> PAGE </w:instrText>
    </w:r>
    <w:r w:rsidRPr="00D1309F">
      <w:rPr>
        <w:rFonts w:ascii="Trebuchet MS" w:hAnsi="Trebuchet MS" w:cs="Arial"/>
        <w:b/>
        <w:sz w:val="18"/>
        <w:szCs w:val="18"/>
      </w:rPr>
      <w:fldChar w:fldCharType="separate"/>
    </w:r>
    <w:r w:rsidR="005E44D1">
      <w:rPr>
        <w:rFonts w:ascii="Trebuchet MS" w:hAnsi="Trebuchet MS" w:cs="Arial"/>
        <w:b/>
        <w:noProof/>
        <w:sz w:val="18"/>
        <w:szCs w:val="18"/>
      </w:rPr>
      <w:t>2</w:t>
    </w:r>
    <w:r w:rsidRPr="00D1309F">
      <w:rPr>
        <w:rFonts w:ascii="Trebuchet MS" w:hAnsi="Trebuchet MS" w:cs="Arial"/>
        <w:b/>
        <w:sz w:val="18"/>
        <w:szCs w:val="18"/>
      </w:rPr>
      <w:fldChar w:fldCharType="end"/>
    </w:r>
    <w:r w:rsidRPr="00D1309F">
      <w:rPr>
        <w:rFonts w:ascii="Trebuchet MS" w:hAnsi="Trebuchet MS" w:cs="Arial"/>
        <w:b/>
        <w:sz w:val="18"/>
        <w:szCs w:val="18"/>
      </w:rPr>
      <w:t xml:space="preserve"> de </w:t>
    </w:r>
    <w:r w:rsidRPr="00D1309F">
      <w:rPr>
        <w:rFonts w:ascii="Trebuchet MS" w:hAnsi="Trebuchet MS" w:cs="Arial"/>
        <w:b/>
        <w:sz w:val="18"/>
        <w:szCs w:val="18"/>
      </w:rPr>
      <w:fldChar w:fldCharType="begin"/>
    </w:r>
    <w:r w:rsidRPr="00D1309F">
      <w:rPr>
        <w:rFonts w:ascii="Trebuchet MS" w:hAnsi="Trebuchet MS" w:cs="Arial"/>
        <w:b/>
        <w:sz w:val="18"/>
        <w:szCs w:val="18"/>
      </w:rPr>
      <w:instrText xml:space="preserve"> NUMPAGES </w:instrText>
    </w:r>
    <w:r w:rsidRPr="00D1309F">
      <w:rPr>
        <w:rFonts w:ascii="Trebuchet MS" w:hAnsi="Trebuchet MS" w:cs="Arial"/>
        <w:b/>
        <w:sz w:val="18"/>
        <w:szCs w:val="18"/>
      </w:rPr>
      <w:fldChar w:fldCharType="separate"/>
    </w:r>
    <w:r w:rsidR="005E44D1">
      <w:rPr>
        <w:rFonts w:ascii="Trebuchet MS" w:hAnsi="Trebuchet MS" w:cs="Arial"/>
        <w:b/>
        <w:noProof/>
        <w:sz w:val="18"/>
        <w:szCs w:val="18"/>
      </w:rPr>
      <w:t>2</w:t>
    </w:r>
    <w:r w:rsidRPr="00D1309F">
      <w:rPr>
        <w:rFonts w:ascii="Trebuchet MS" w:hAnsi="Trebuchet MS"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F03B06" w14:textId="77777777" w:rsidR="00A63C5C" w:rsidRDefault="00A63C5C">
      <w:r>
        <w:separator/>
      </w:r>
    </w:p>
  </w:footnote>
  <w:footnote w:type="continuationSeparator" w:id="0">
    <w:p w14:paraId="1EA2A586" w14:textId="77777777" w:rsidR="00A63C5C" w:rsidRDefault="00A63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6A29A" w14:textId="668E4F0D" w:rsidR="00277EBB" w:rsidRDefault="00C03E0C" w:rsidP="00454248">
    <w:pPr>
      <w:tabs>
        <w:tab w:val="center" w:pos="4252"/>
        <w:tab w:val="right" w:pos="8504"/>
      </w:tabs>
      <w:jc w:val="both"/>
      <w:rPr>
        <w:rFonts w:ascii="Trebuchet MS" w:hAnsi="Trebuchet MS" w:cs="Arial"/>
        <w:b/>
        <w:noProof/>
        <w:sz w:val="26"/>
        <w:szCs w:val="26"/>
        <w:lang w:val="es-MX" w:eastAsia="es-MX"/>
      </w:rPr>
    </w:pPr>
    <w:r w:rsidRPr="00454248">
      <w:rPr>
        <w:rFonts w:ascii="Trebuchet MS" w:hAnsi="Trebuchet MS" w:cs="Arial"/>
        <w:b/>
        <w:noProof/>
        <w:sz w:val="26"/>
        <w:szCs w:val="26"/>
        <w:lang w:val="es-MX" w:eastAsia="es-MX"/>
      </w:rPr>
      <w:drawing>
        <wp:inline distT="0" distB="0" distL="0" distR="0" wp14:anchorId="39AAD127" wp14:editId="13ACC856">
          <wp:extent cx="1390015" cy="78295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782955"/>
                  </a:xfrm>
                  <a:prstGeom prst="rect">
                    <a:avLst/>
                  </a:prstGeom>
                  <a:noFill/>
                  <a:ln>
                    <a:noFill/>
                  </a:ln>
                </pic:spPr>
              </pic:pic>
            </a:graphicData>
          </a:graphic>
        </wp:inline>
      </w:drawing>
    </w:r>
  </w:p>
  <w:p w14:paraId="0A38DB32" w14:textId="77777777" w:rsidR="00277EBB" w:rsidRDefault="00C03E0C" w:rsidP="002774AB">
    <w:pPr>
      <w:tabs>
        <w:tab w:val="center" w:pos="4252"/>
        <w:tab w:val="right" w:pos="8504"/>
      </w:tabs>
      <w:jc w:val="both"/>
      <w:rPr>
        <w:rFonts w:ascii="Trebuchet MS" w:hAnsi="Trebuchet MS" w:cs="Arial"/>
        <w:b/>
        <w:noProof/>
        <w:sz w:val="26"/>
        <w:szCs w:val="26"/>
        <w:lang w:val="es-MX" w:eastAsia="es-MX"/>
      </w:rPr>
    </w:pPr>
    <w:r>
      <w:rPr>
        <w:rFonts w:ascii="Trebuchet MS" w:hAnsi="Trebuchet MS" w:cs="Arial"/>
        <w:b/>
        <w:noProof/>
        <w:sz w:val="26"/>
        <w:szCs w:val="26"/>
        <w:lang w:val="es-MX"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4A3188"/>
    <w:multiLevelType w:val="hybridMultilevel"/>
    <w:tmpl w:val="F1306B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50641D3"/>
    <w:multiLevelType w:val="hybridMultilevel"/>
    <w:tmpl w:val="C93202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0C"/>
    <w:rsid w:val="00294EAD"/>
    <w:rsid w:val="00330A58"/>
    <w:rsid w:val="005B38FC"/>
    <w:rsid w:val="005C3967"/>
    <w:rsid w:val="005E44D1"/>
    <w:rsid w:val="00604CBE"/>
    <w:rsid w:val="006E2730"/>
    <w:rsid w:val="00736370"/>
    <w:rsid w:val="00744005"/>
    <w:rsid w:val="007D7BD9"/>
    <w:rsid w:val="008109EE"/>
    <w:rsid w:val="008E4554"/>
    <w:rsid w:val="00A63C5C"/>
    <w:rsid w:val="00B568FE"/>
    <w:rsid w:val="00C03E0C"/>
    <w:rsid w:val="00C72272"/>
    <w:rsid w:val="00C9527D"/>
    <w:rsid w:val="00D344A4"/>
    <w:rsid w:val="00E712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68B6"/>
  <w15:chartTrackingRefBased/>
  <w15:docId w15:val="{759641E5-33AC-486E-ABC7-6870902B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E0C"/>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3E0C"/>
    <w:pPr>
      <w:jc w:val="both"/>
    </w:pPr>
    <w:rPr>
      <w:rFonts w:ascii="Arial" w:hAnsi="Arial"/>
      <w:b/>
      <w:kern w:val="18"/>
      <w:sz w:val="28"/>
    </w:rPr>
  </w:style>
  <w:style w:type="character" w:customStyle="1" w:styleId="TextoindependienteCar">
    <w:name w:val="Texto independiente Car"/>
    <w:basedOn w:val="Fuentedeprrafopredeter"/>
    <w:link w:val="Textoindependiente"/>
    <w:rsid w:val="00C03E0C"/>
    <w:rPr>
      <w:rFonts w:ascii="Arial" w:eastAsia="Times New Roman" w:hAnsi="Arial" w:cs="Times New Roman"/>
      <w:b/>
      <w:kern w:val="18"/>
      <w:sz w:val="28"/>
      <w:szCs w:val="20"/>
      <w:lang w:val="es-ES_tradnl" w:eastAsia="es-ES"/>
    </w:rPr>
  </w:style>
  <w:style w:type="paragraph" w:styleId="Piedepgina">
    <w:name w:val="footer"/>
    <w:basedOn w:val="Normal"/>
    <w:link w:val="PiedepginaCar"/>
    <w:rsid w:val="00C03E0C"/>
    <w:pPr>
      <w:tabs>
        <w:tab w:val="center" w:pos="4252"/>
        <w:tab w:val="right" w:pos="8504"/>
      </w:tabs>
    </w:pPr>
  </w:style>
  <w:style w:type="character" w:customStyle="1" w:styleId="PiedepginaCar">
    <w:name w:val="Pie de página Car"/>
    <w:basedOn w:val="Fuentedeprrafopredeter"/>
    <w:link w:val="Piedepgina"/>
    <w:rsid w:val="00C03E0C"/>
    <w:rPr>
      <w:rFonts w:ascii="Times New Roman" w:eastAsia="Times New Roman" w:hAnsi="Times New Roman" w:cs="Times New Roman"/>
      <w:sz w:val="20"/>
      <w:szCs w:val="20"/>
      <w:lang w:val="es-ES_tradnl" w:eastAsia="es-ES"/>
    </w:rPr>
  </w:style>
  <w:style w:type="paragraph" w:styleId="Sinespaciado">
    <w:name w:val="No Spacing"/>
    <w:link w:val="SinespaciadoCar"/>
    <w:uiPriority w:val="1"/>
    <w:qFormat/>
    <w:rsid w:val="00C03E0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03E0C"/>
    <w:rPr>
      <w:rFonts w:ascii="Calibri" w:eastAsia="Calibri" w:hAnsi="Calibri" w:cs="Times New Roman"/>
    </w:rPr>
  </w:style>
  <w:style w:type="paragraph" w:styleId="Prrafodelista">
    <w:name w:val="List Paragraph"/>
    <w:basedOn w:val="Normal"/>
    <w:uiPriority w:val="34"/>
    <w:qFormat/>
    <w:rsid w:val="00C03E0C"/>
    <w:pPr>
      <w:spacing w:after="160" w:line="259" w:lineRule="auto"/>
      <w:ind w:left="720"/>
      <w:contextualSpacing/>
    </w:pPr>
    <w:rPr>
      <w:rFonts w:ascii="Calibri" w:eastAsia="Calibri" w:hAnsi="Calibri"/>
      <w:sz w:val="22"/>
      <w:szCs w:val="22"/>
      <w:lang w:val="es-MX" w:eastAsia="en-US"/>
    </w:rPr>
  </w:style>
  <w:style w:type="character" w:styleId="Refdecomentario">
    <w:name w:val="annotation reference"/>
    <w:rsid w:val="00C03E0C"/>
    <w:rPr>
      <w:sz w:val="16"/>
      <w:szCs w:val="16"/>
    </w:rPr>
  </w:style>
  <w:style w:type="paragraph" w:styleId="Textocomentario">
    <w:name w:val="annotation text"/>
    <w:basedOn w:val="Normal"/>
    <w:link w:val="TextocomentarioCar"/>
    <w:rsid w:val="00C03E0C"/>
  </w:style>
  <w:style w:type="character" w:customStyle="1" w:styleId="TextocomentarioCar">
    <w:name w:val="Texto comentario Car"/>
    <w:basedOn w:val="Fuentedeprrafopredeter"/>
    <w:link w:val="Textocomentario"/>
    <w:rsid w:val="00C03E0C"/>
    <w:rPr>
      <w:rFonts w:ascii="Times New Roman" w:eastAsia="Times New Roman" w:hAnsi="Times New Roman" w:cs="Times New Roman"/>
      <w:sz w:val="20"/>
      <w:szCs w:val="20"/>
      <w:lang w:val="es-ES_tradnl" w:eastAsia="es-ES"/>
    </w:rPr>
  </w:style>
  <w:style w:type="paragraph" w:styleId="Revisin">
    <w:name w:val="Revision"/>
    <w:hidden/>
    <w:uiPriority w:val="99"/>
    <w:semiHidden/>
    <w:rsid w:val="00330A58"/>
    <w:pPr>
      <w:spacing w:after="0" w:line="240" w:lineRule="auto"/>
    </w:pPr>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5C39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3967"/>
    <w:rPr>
      <w:rFonts w:ascii="Segoe UI" w:eastAsia="Times New Roman" w:hAnsi="Segoe UI" w:cs="Segoe UI"/>
      <w:sz w:val="18"/>
      <w:szCs w:val="18"/>
      <w:lang w:val="es-ES_tradnl" w:eastAsia="es-ES"/>
    </w:rPr>
  </w:style>
  <w:style w:type="paragraph" w:styleId="Encabezado">
    <w:name w:val="header"/>
    <w:basedOn w:val="Normal"/>
    <w:link w:val="EncabezadoCar"/>
    <w:uiPriority w:val="99"/>
    <w:unhideWhenUsed/>
    <w:rsid w:val="005C3967"/>
    <w:pPr>
      <w:tabs>
        <w:tab w:val="center" w:pos="4419"/>
        <w:tab w:val="right" w:pos="8838"/>
      </w:tabs>
    </w:pPr>
  </w:style>
  <w:style w:type="character" w:customStyle="1" w:styleId="EncabezadoCar">
    <w:name w:val="Encabezado Car"/>
    <w:basedOn w:val="Fuentedeprrafopredeter"/>
    <w:link w:val="Encabezado"/>
    <w:uiPriority w:val="99"/>
    <w:rsid w:val="005C3967"/>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C458E-B409-431C-A418-DAB4B18F4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586</Words>
  <Characters>3229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Luis Alfonso Campos</cp:lastModifiedBy>
  <cp:revision>6</cp:revision>
  <dcterms:created xsi:type="dcterms:W3CDTF">2022-02-18T01:17:00Z</dcterms:created>
  <dcterms:modified xsi:type="dcterms:W3CDTF">2022-02-18T18:35:00Z</dcterms:modified>
</cp:coreProperties>
</file>