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84CC" w14:textId="77777777" w:rsidR="007D6DA6" w:rsidRDefault="007D6DA6" w:rsidP="008C100F">
      <w:pPr>
        <w:pStyle w:val="Sinespaciado"/>
        <w:jc w:val="both"/>
      </w:pPr>
      <w:r>
        <w:t xml:space="preserve">INFORME </w:t>
      </w:r>
      <w:r w:rsidR="00DD3EE1">
        <w:t>SOBRE LOS AVANCES AL</w:t>
      </w:r>
      <w:r>
        <w:t xml:space="preserve"> SERVICIO PROFESIONAL ELECTORAL NACIONAL</w:t>
      </w:r>
      <w:r w:rsidR="00DD3EE1">
        <w:t xml:space="preserve"> DE ESTE INSTITUTO.</w:t>
      </w:r>
    </w:p>
    <w:p w14:paraId="46453C6F" w14:textId="3D33317E" w:rsidR="007D6DA6" w:rsidRDefault="00291D05" w:rsidP="007D6DA6">
      <w:pPr>
        <w:pBdr>
          <w:bottom w:val="single" w:sz="12" w:space="1" w:color="auto"/>
        </w:pBdr>
        <w:jc w:val="right"/>
      </w:pPr>
      <w:r>
        <w:t xml:space="preserve"> AL </w:t>
      </w:r>
      <w:r w:rsidR="009A3752">
        <w:t xml:space="preserve"> </w:t>
      </w:r>
      <w:r w:rsidR="007443B5">
        <w:t>24</w:t>
      </w:r>
      <w:r w:rsidR="007D6DA6">
        <w:t xml:space="preserve"> </w:t>
      </w:r>
      <w:r w:rsidR="00501515">
        <w:t xml:space="preserve">DE </w:t>
      </w:r>
      <w:r w:rsidR="007443B5">
        <w:t>SEPTIEMBRE</w:t>
      </w:r>
      <w:r>
        <w:t xml:space="preserve"> 20</w:t>
      </w:r>
      <w:r w:rsidR="000C2C80">
        <w:t>20</w:t>
      </w:r>
      <w:r w:rsidR="007D6DA6">
        <w:t>.</w:t>
      </w:r>
    </w:p>
    <w:p w14:paraId="692C3C3F" w14:textId="19D3A118" w:rsidR="00A2623F" w:rsidRPr="008C100F" w:rsidRDefault="007443B5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Desde el</w:t>
      </w:r>
      <w:r w:rsidR="00A2623F" w:rsidRPr="008C1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informe </w:t>
      </w:r>
      <w:r w:rsidR="005622B0">
        <w:rPr>
          <w:sz w:val="24"/>
          <w:szCs w:val="24"/>
        </w:rPr>
        <w:t xml:space="preserve">presentado a esta comisión </w:t>
      </w:r>
      <w:r>
        <w:rPr>
          <w:sz w:val="24"/>
          <w:szCs w:val="24"/>
        </w:rPr>
        <w:t>de fecha 02 de junio</w:t>
      </w:r>
      <w:r w:rsidR="005622B0">
        <w:rPr>
          <w:sz w:val="24"/>
          <w:szCs w:val="24"/>
        </w:rPr>
        <w:t>, hasta</w:t>
      </w:r>
      <w:r w:rsidR="000C2C80" w:rsidRPr="008C100F">
        <w:rPr>
          <w:sz w:val="24"/>
          <w:szCs w:val="24"/>
        </w:rPr>
        <w:t xml:space="preserve"> </w:t>
      </w:r>
      <w:r w:rsidR="005622B0">
        <w:rPr>
          <w:sz w:val="24"/>
          <w:szCs w:val="24"/>
        </w:rPr>
        <w:t>e</w:t>
      </w:r>
      <w:r w:rsidR="00A2623F" w:rsidRPr="008C100F">
        <w:rPr>
          <w:sz w:val="24"/>
          <w:szCs w:val="24"/>
        </w:rPr>
        <w:t xml:space="preserve">l </w:t>
      </w:r>
      <w:r w:rsidR="00AF55A7" w:rsidRPr="008C100F">
        <w:rPr>
          <w:sz w:val="24"/>
          <w:szCs w:val="24"/>
        </w:rPr>
        <w:t>día</w:t>
      </w:r>
      <w:r w:rsidR="000C2C80" w:rsidRPr="008C100F">
        <w:rPr>
          <w:sz w:val="24"/>
          <w:szCs w:val="24"/>
        </w:rPr>
        <w:t xml:space="preserve"> de hoy</w:t>
      </w:r>
      <w:r>
        <w:rPr>
          <w:sz w:val="24"/>
          <w:szCs w:val="24"/>
        </w:rPr>
        <w:t xml:space="preserve">, me permito comunicar </w:t>
      </w:r>
      <w:r w:rsidR="000C2C80" w:rsidRPr="008C100F">
        <w:rPr>
          <w:sz w:val="24"/>
          <w:szCs w:val="24"/>
        </w:rPr>
        <w:t>lo siguiente:</w:t>
      </w:r>
    </w:p>
    <w:p w14:paraId="6110397E" w14:textId="77777777" w:rsidR="00E4336F" w:rsidRDefault="00E4336F" w:rsidP="00EE0281">
      <w:pPr>
        <w:pStyle w:val="Sinespaciado"/>
        <w:jc w:val="both"/>
        <w:rPr>
          <w:sz w:val="24"/>
          <w:szCs w:val="24"/>
        </w:rPr>
      </w:pPr>
    </w:p>
    <w:p w14:paraId="5496EDCC" w14:textId="52E0BDB0" w:rsidR="007443B5" w:rsidRDefault="00B9584B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fecha </w:t>
      </w:r>
      <w:r w:rsidR="007443B5">
        <w:rPr>
          <w:sz w:val="24"/>
          <w:szCs w:val="24"/>
        </w:rPr>
        <w:t xml:space="preserve">04 de Junio, se dio respuesta al Oficio No. INE/DESPEN/1214/2020 </w:t>
      </w:r>
      <w:r w:rsidR="00525872">
        <w:rPr>
          <w:sz w:val="24"/>
          <w:szCs w:val="24"/>
        </w:rPr>
        <w:t xml:space="preserve">en el cual </w:t>
      </w:r>
      <w:r w:rsidR="007443B5">
        <w:rPr>
          <w:sz w:val="24"/>
          <w:szCs w:val="24"/>
        </w:rPr>
        <w:t>se confirma las vacantes del servicio profesional de este instituto son seis de acuerdo a lo siguiente:</w:t>
      </w:r>
    </w:p>
    <w:p w14:paraId="2F7722EF" w14:textId="77777777" w:rsidR="007443B5" w:rsidRDefault="007443B5" w:rsidP="00EE0281">
      <w:pPr>
        <w:pStyle w:val="Sinespaciado"/>
        <w:jc w:val="both"/>
        <w:rPr>
          <w:sz w:val="24"/>
          <w:szCs w:val="24"/>
        </w:rPr>
      </w:pPr>
    </w:p>
    <w:tbl>
      <w:tblPr>
        <w:tblW w:w="886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198"/>
        <w:gridCol w:w="1689"/>
        <w:gridCol w:w="849"/>
        <w:gridCol w:w="1581"/>
        <w:gridCol w:w="993"/>
        <w:gridCol w:w="1054"/>
      </w:tblGrid>
      <w:tr w:rsidR="007443B5" w:rsidRPr="007443B5" w14:paraId="3474DD24" w14:textId="77777777" w:rsidTr="007443B5">
        <w:trPr>
          <w:trHeight w:val="88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9221B" w14:textId="22880E6E" w:rsidR="007443B5" w:rsidRPr="007443B5" w:rsidRDefault="005C2A0E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Núm.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E3E86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Cargo o puesto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176EB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BDFDA" w14:textId="3FA5473B" w:rsidR="007443B5" w:rsidRPr="007443B5" w:rsidRDefault="005C2A0E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Núm.</w:t>
            </w:r>
            <w:r w:rsidR="007443B5" w:rsidRPr="007443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plazas vacantes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776CC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Cargo inmediato superior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570AF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nivel tabular de la vacante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0DE17" w14:textId="1BB13967" w:rsidR="007443B5" w:rsidRPr="007443B5" w:rsidRDefault="005C2A0E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Percepciones</w:t>
            </w:r>
            <w:r w:rsidR="007443B5" w:rsidRPr="007443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brutas mensuales del cargo o puesto</w:t>
            </w:r>
          </w:p>
        </w:tc>
      </w:tr>
      <w:tr w:rsidR="007443B5" w:rsidRPr="007443B5" w14:paraId="0E3D4EF7" w14:textId="77777777" w:rsidTr="007443B5">
        <w:trPr>
          <w:trHeight w:val="44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E2E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4DA" w14:textId="1D0B4FFE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Coordinador / </w:t>
            </w:r>
            <w:r w:rsidR="005C2A0E"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coordinadora</w:t>
            </w: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de Educación Cívica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D9B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Dirección de Educación Cívica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7D5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CE2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Directora de Educación Cívica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029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Nivel 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D85D" w14:textId="4D810CD7" w:rsidR="007443B5" w:rsidRPr="007443B5" w:rsidRDefault="005C2A0E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443B5"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27,475.76 </w:t>
            </w:r>
          </w:p>
        </w:tc>
      </w:tr>
      <w:tr w:rsidR="007443B5" w:rsidRPr="007443B5" w14:paraId="2BC3C116" w14:textId="77777777" w:rsidTr="007443B5">
        <w:trPr>
          <w:trHeight w:val="44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1C6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40B" w14:textId="1F86A0FE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Coordinador / </w:t>
            </w:r>
            <w:r w:rsidR="005C2A0E"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coordinadora</w:t>
            </w: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de Organización Electoral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7D1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Dirección de Organización Electoral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202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6F1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Director de Organización Electoral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895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Nivel 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751D" w14:textId="3D2E06A4" w:rsidR="007443B5" w:rsidRPr="007443B5" w:rsidRDefault="005C2A0E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443B5"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27,475.76 </w:t>
            </w:r>
          </w:p>
        </w:tc>
      </w:tr>
      <w:tr w:rsidR="007443B5" w:rsidRPr="007443B5" w14:paraId="7EA59C89" w14:textId="77777777" w:rsidTr="007443B5">
        <w:trPr>
          <w:trHeight w:val="66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4409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4FB" w14:textId="0A770D64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Coordinador / </w:t>
            </w:r>
            <w:r w:rsidR="005C2A0E"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coordinadora</w:t>
            </w: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de Prerrogativas a Partidos Políticos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55D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Dirección de Prerrogativas a Partidos Políticos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500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77F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Directora de Prerrogativas a Partidos Políticos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EC6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Nivel 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164" w14:textId="03462B9E" w:rsidR="007443B5" w:rsidRPr="007443B5" w:rsidRDefault="005C2A0E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443B5"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27,475.76 </w:t>
            </w:r>
          </w:p>
        </w:tc>
      </w:tr>
      <w:tr w:rsidR="007443B5" w:rsidRPr="007443B5" w14:paraId="24C8A386" w14:textId="77777777" w:rsidTr="007443B5">
        <w:trPr>
          <w:trHeight w:val="44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15A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DA9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Técnico / técnica de Educación Cívica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635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Dirección de Educación Cívica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05D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A12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Directora de Educación Cívica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8CC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Nivel 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628" w14:textId="7E83B4DB" w:rsidR="007443B5" w:rsidRPr="007443B5" w:rsidRDefault="005C2A0E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443B5"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21,132.80 </w:t>
            </w:r>
          </w:p>
        </w:tc>
      </w:tr>
      <w:tr w:rsidR="007443B5" w:rsidRPr="007443B5" w14:paraId="241A2098" w14:textId="77777777" w:rsidTr="007443B5">
        <w:trPr>
          <w:trHeight w:val="66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119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89E" w14:textId="51304B6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Técnico / técnica de Participación Ciudadana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BC0" w14:textId="0D7F13D6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Dirección de Participación Ciudadana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362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040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Director de Participación Ciudadana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570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Nivel 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988" w14:textId="21D151AA" w:rsidR="007443B5" w:rsidRPr="007443B5" w:rsidRDefault="005C2A0E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443B5"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21,132.80 </w:t>
            </w:r>
          </w:p>
        </w:tc>
      </w:tr>
      <w:tr w:rsidR="007443B5" w:rsidRPr="007443B5" w14:paraId="59B4CCD4" w14:textId="77777777" w:rsidTr="007443B5">
        <w:trPr>
          <w:trHeight w:val="66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4D0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FEE1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Técnico / técnica de Prerrogativas a Partidos Políticos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3DE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Dirección de Prerrogativas a Partidos Políticos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C73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AE8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Directora de Prerrogativas a Partidos Políticos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C09" w14:textId="77777777" w:rsidR="007443B5" w:rsidRPr="007443B5" w:rsidRDefault="007443B5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Nivel 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260" w14:textId="35A4B501" w:rsidR="007443B5" w:rsidRPr="007443B5" w:rsidRDefault="005C2A0E" w:rsidP="0074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443B5" w:rsidRPr="007443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21,132.80 </w:t>
            </w:r>
          </w:p>
        </w:tc>
      </w:tr>
    </w:tbl>
    <w:p w14:paraId="0883F276" w14:textId="77777777" w:rsidR="007443B5" w:rsidRDefault="007443B5" w:rsidP="00EE0281">
      <w:pPr>
        <w:pStyle w:val="Sinespaciado"/>
        <w:jc w:val="both"/>
        <w:rPr>
          <w:sz w:val="24"/>
          <w:szCs w:val="24"/>
        </w:rPr>
      </w:pPr>
    </w:p>
    <w:p w14:paraId="52A1CDC1" w14:textId="77777777" w:rsidR="00DF45C1" w:rsidRDefault="007443B5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Vacantes que fueron incluidas en la </w:t>
      </w:r>
      <w:r w:rsidR="00315152" w:rsidRPr="00315152">
        <w:rPr>
          <w:b/>
          <w:sz w:val="24"/>
          <w:szCs w:val="24"/>
        </w:rPr>
        <w:t>C</w:t>
      </w:r>
      <w:r w:rsidRPr="00315152">
        <w:rPr>
          <w:b/>
          <w:sz w:val="24"/>
          <w:szCs w:val="24"/>
        </w:rPr>
        <w:t xml:space="preserve">onvocatoria </w:t>
      </w:r>
      <w:r w:rsidR="00315152" w:rsidRPr="00315152">
        <w:rPr>
          <w:b/>
          <w:sz w:val="24"/>
          <w:szCs w:val="24"/>
        </w:rPr>
        <w:t>del Concurso Público 2020 para ocupar cargos y puestos del Servicio Profesional Electoral del Sistema de Organismos Públicos Locales Electo</w:t>
      </w:r>
      <w:r w:rsidR="00315152">
        <w:rPr>
          <w:b/>
          <w:sz w:val="24"/>
          <w:szCs w:val="24"/>
        </w:rPr>
        <w:t xml:space="preserve">rales, </w:t>
      </w:r>
      <w:r w:rsidR="00315152" w:rsidRPr="00315152">
        <w:rPr>
          <w:sz w:val="24"/>
          <w:szCs w:val="24"/>
        </w:rPr>
        <w:t>difundida</w:t>
      </w:r>
      <w:r w:rsidR="00315152">
        <w:rPr>
          <w:sz w:val="24"/>
          <w:szCs w:val="24"/>
        </w:rPr>
        <w:t xml:space="preserve"> del 08 al 12 de julio de 2020. </w:t>
      </w:r>
    </w:p>
    <w:p w14:paraId="776BCC60" w14:textId="77777777" w:rsidR="00DF45C1" w:rsidRDefault="00DF45C1" w:rsidP="00EE0281">
      <w:pPr>
        <w:pStyle w:val="Sinespaciado"/>
        <w:jc w:val="both"/>
        <w:rPr>
          <w:sz w:val="24"/>
          <w:szCs w:val="24"/>
        </w:rPr>
      </w:pPr>
    </w:p>
    <w:p w14:paraId="6803B201" w14:textId="15460C3E" w:rsidR="007443B5" w:rsidRDefault="00DF45C1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Cabe destacar que la convocatoria</w:t>
      </w:r>
      <w:r w:rsidR="00525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25872">
        <w:rPr>
          <w:sz w:val="24"/>
          <w:szCs w:val="24"/>
        </w:rPr>
        <w:t>es exclusiva para mujeres</w:t>
      </w:r>
      <w:r w:rsidR="00525872">
        <w:rPr>
          <w:sz w:val="24"/>
          <w:szCs w:val="24"/>
        </w:rPr>
        <w:t xml:space="preserve"> </w:t>
      </w:r>
      <w:r>
        <w:rPr>
          <w:sz w:val="24"/>
          <w:szCs w:val="24"/>
        </w:rPr>
        <w:t>para el estado de Jalisco, entre otros estados</w:t>
      </w:r>
      <w:r w:rsidR="00E5017A">
        <w:rPr>
          <w:sz w:val="24"/>
          <w:szCs w:val="24"/>
        </w:rPr>
        <w:t xml:space="preserve">, como acción afirmativa </w:t>
      </w:r>
      <w:r>
        <w:rPr>
          <w:sz w:val="24"/>
          <w:szCs w:val="24"/>
        </w:rPr>
        <w:t xml:space="preserve">con la finalidad de </w:t>
      </w:r>
      <w:r w:rsidR="00E5017A">
        <w:rPr>
          <w:sz w:val="24"/>
          <w:szCs w:val="24"/>
        </w:rPr>
        <w:t xml:space="preserve">reducir la brecha de género que existente actualmente en las </w:t>
      </w:r>
      <w:r w:rsidR="009272BF">
        <w:rPr>
          <w:sz w:val="24"/>
          <w:szCs w:val="24"/>
        </w:rPr>
        <w:t>estructuras</w:t>
      </w:r>
      <w:r w:rsidR="00E5017A">
        <w:rPr>
          <w:sz w:val="24"/>
          <w:szCs w:val="24"/>
        </w:rPr>
        <w:t xml:space="preserve"> </w:t>
      </w:r>
      <w:r w:rsidR="009272BF">
        <w:rPr>
          <w:sz w:val="24"/>
          <w:szCs w:val="24"/>
        </w:rPr>
        <w:t>de estos estados, con el objeto de alcanzar un equilibrio en su conformación.</w:t>
      </w:r>
    </w:p>
    <w:p w14:paraId="2BB3849C" w14:textId="77777777" w:rsidR="00315152" w:rsidRDefault="00315152" w:rsidP="00EE0281">
      <w:pPr>
        <w:pStyle w:val="Sinespaciado"/>
        <w:jc w:val="both"/>
        <w:rPr>
          <w:sz w:val="24"/>
          <w:szCs w:val="24"/>
        </w:rPr>
      </w:pPr>
    </w:p>
    <w:p w14:paraId="3FCAF45E" w14:textId="77777777" w:rsidR="00AC14B4" w:rsidRDefault="00315152" w:rsidP="00AC14B4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El concurso público se desarrollara en tres fases</w:t>
      </w:r>
      <w:r w:rsidR="00AC14B4">
        <w:rPr>
          <w:sz w:val="24"/>
          <w:szCs w:val="24"/>
        </w:rPr>
        <w:t xml:space="preserve">: </w:t>
      </w:r>
    </w:p>
    <w:p w14:paraId="693B81E0" w14:textId="77777777" w:rsidR="00AC14B4" w:rsidRDefault="00AC14B4" w:rsidP="00AC14B4">
      <w:pPr>
        <w:pStyle w:val="Sinespaciado"/>
        <w:jc w:val="both"/>
        <w:rPr>
          <w:sz w:val="24"/>
          <w:szCs w:val="24"/>
        </w:rPr>
      </w:pPr>
    </w:p>
    <w:p w14:paraId="215E08A6" w14:textId="7B401082" w:rsidR="00AC14B4" w:rsidRDefault="00AC14B4" w:rsidP="00AC14B4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primera fase de la difusión de la convocatoria y registro de aspirantes.</w:t>
      </w:r>
    </w:p>
    <w:p w14:paraId="5F563557" w14:textId="35AC3D46" w:rsidR="00AC14B4" w:rsidRDefault="00AC14B4" w:rsidP="00AC14B4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segunda fase de las evaluaciones: examen de conocimientos, cotejo documental, evaluación psicométrica</w:t>
      </w:r>
      <w:r w:rsidR="00627F2E">
        <w:rPr>
          <w:sz w:val="24"/>
          <w:szCs w:val="24"/>
        </w:rPr>
        <w:t xml:space="preserve"> (aplicada el pasado 19 de septiembre bajo la modalidad en línea)</w:t>
      </w:r>
      <w:r>
        <w:rPr>
          <w:sz w:val="24"/>
          <w:szCs w:val="24"/>
        </w:rPr>
        <w:t xml:space="preserve"> y entrevistas.</w:t>
      </w:r>
    </w:p>
    <w:p w14:paraId="600BF3BC" w14:textId="37003E01" w:rsidR="00AC14B4" w:rsidRPr="00AC14B4" w:rsidRDefault="00AC14B4" w:rsidP="00AC14B4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Y la tercera fase de resultados: calificación final, criterios de desempate designación de ganadores y en su caso, lista de reserva.</w:t>
      </w:r>
    </w:p>
    <w:p w14:paraId="25DD711C" w14:textId="77777777" w:rsidR="00AC14B4" w:rsidRDefault="00AC14B4" w:rsidP="00AC14B4">
      <w:pPr>
        <w:pStyle w:val="Sinespaciado"/>
        <w:ind w:left="1440"/>
        <w:jc w:val="both"/>
        <w:rPr>
          <w:sz w:val="24"/>
          <w:szCs w:val="24"/>
        </w:rPr>
      </w:pPr>
    </w:p>
    <w:p w14:paraId="231B0C39" w14:textId="526AEA45" w:rsidR="00C20906" w:rsidRDefault="009272BF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periodo de registro de aspirantes se </w:t>
      </w:r>
      <w:r w:rsidR="005C2A0E">
        <w:rPr>
          <w:sz w:val="24"/>
          <w:szCs w:val="24"/>
        </w:rPr>
        <w:t>llevó</w:t>
      </w:r>
      <w:r>
        <w:rPr>
          <w:sz w:val="24"/>
          <w:szCs w:val="24"/>
        </w:rPr>
        <w:t xml:space="preserve"> a cabo del 13 al 17 de Julio de 2020, al cual se inscribieron</w:t>
      </w:r>
      <w:r w:rsidR="00C20906">
        <w:rPr>
          <w:sz w:val="24"/>
          <w:szCs w:val="24"/>
        </w:rPr>
        <w:t>:</w:t>
      </w:r>
    </w:p>
    <w:p w14:paraId="17E38E8C" w14:textId="77777777" w:rsidR="00C20906" w:rsidRDefault="00C20906" w:rsidP="00EE0281">
      <w:pPr>
        <w:pStyle w:val="Sinespaciado"/>
        <w:jc w:val="both"/>
        <w:rPr>
          <w:sz w:val="24"/>
          <w:szCs w:val="24"/>
        </w:rPr>
      </w:pPr>
    </w:p>
    <w:p w14:paraId="055C92F4" w14:textId="375C34E7" w:rsidR="00C20906" w:rsidRDefault="00C20906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355</w:t>
      </w:r>
      <w:r w:rsidR="004F14F9">
        <w:rPr>
          <w:sz w:val="24"/>
          <w:szCs w:val="24"/>
        </w:rPr>
        <w:tab/>
      </w:r>
      <w:r>
        <w:rPr>
          <w:sz w:val="24"/>
          <w:szCs w:val="24"/>
        </w:rPr>
        <w:t xml:space="preserve">Aspirantes registrados </w:t>
      </w:r>
    </w:p>
    <w:p w14:paraId="0446B7A6" w14:textId="4DB8DA72" w:rsidR="00C20906" w:rsidRDefault="00C20906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272</w:t>
      </w:r>
      <w:r w:rsidR="004F14F9">
        <w:rPr>
          <w:sz w:val="24"/>
          <w:szCs w:val="24"/>
        </w:rPr>
        <w:tab/>
        <w:t>Confirmaron su postulación</w:t>
      </w:r>
    </w:p>
    <w:p w14:paraId="76423A58" w14:textId="47A11976" w:rsidR="00C20906" w:rsidRDefault="004F14F9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</w:r>
      <w:r w:rsidRPr="004F14F9">
        <w:rPr>
          <w:sz w:val="24"/>
          <w:szCs w:val="24"/>
        </w:rPr>
        <w:t>Aspirantes hombres descartados</w:t>
      </w:r>
      <w:r w:rsidRPr="004F14F9">
        <w:rPr>
          <w:b/>
          <w:bCs/>
          <w:sz w:val="24"/>
          <w:szCs w:val="24"/>
        </w:rPr>
        <w:t xml:space="preserve"> </w:t>
      </w:r>
      <w:r w:rsidR="009272BF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14:paraId="71ACC18B" w14:textId="7E8CB6BB" w:rsidR="00315152" w:rsidRDefault="00C20906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F14F9">
        <w:rPr>
          <w:sz w:val="24"/>
          <w:szCs w:val="24"/>
        </w:rPr>
        <w:t>51</w:t>
      </w:r>
      <w:r w:rsidR="004F14F9">
        <w:rPr>
          <w:sz w:val="24"/>
          <w:szCs w:val="24"/>
        </w:rPr>
        <w:tab/>
        <w:t>A</w:t>
      </w:r>
      <w:r>
        <w:rPr>
          <w:sz w:val="24"/>
          <w:szCs w:val="24"/>
        </w:rPr>
        <w:t>spirantes con derecho a examen.</w:t>
      </w:r>
    </w:p>
    <w:p w14:paraId="774B2B53" w14:textId="77777777" w:rsidR="004F14F9" w:rsidRDefault="004F14F9" w:rsidP="00EE0281">
      <w:pPr>
        <w:pStyle w:val="Sinespaciado"/>
        <w:jc w:val="both"/>
        <w:rPr>
          <w:sz w:val="24"/>
          <w:szCs w:val="24"/>
        </w:rPr>
      </w:pPr>
    </w:p>
    <w:p w14:paraId="64193A11" w14:textId="2D5A1AEC" w:rsidR="007443B5" w:rsidRDefault="00315152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135DFB">
        <w:rPr>
          <w:sz w:val="24"/>
          <w:szCs w:val="24"/>
        </w:rPr>
        <w:t xml:space="preserve">examen de conocimientos </w:t>
      </w:r>
      <w:r>
        <w:rPr>
          <w:sz w:val="24"/>
          <w:szCs w:val="24"/>
        </w:rPr>
        <w:t xml:space="preserve">se </w:t>
      </w:r>
      <w:r w:rsidR="00135DFB">
        <w:rPr>
          <w:sz w:val="24"/>
          <w:szCs w:val="24"/>
        </w:rPr>
        <w:t>llevó a cabo el pasado s</w:t>
      </w:r>
      <w:r w:rsidR="009272BF">
        <w:rPr>
          <w:sz w:val="24"/>
          <w:szCs w:val="24"/>
        </w:rPr>
        <w:t>ábado 08 de agosto (con si</w:t>
      </w:r>
      <w:r w:rsidR="00135DFB">
        <w:rPr>
          <w:sz w:val="24"/>
          <w:szCs w:val="24"/>
        </w:rPr>
        <w:t>m</w:t>
      </w:r>
      <w:r w:rsidR="009272BF">
        <w:rPr>
          <w:sz w:val="24"/>
          <w:szCs w:val="24"/>
        </w:rPr>
        <w:t>ulacros previos el 03 de agosto)</w:t>
      </w:r>
      <w:r>
        <w:rPr>
          <w:sz w:val="24"/>
          <w:szCs w:val="24"/>
        </w:rPr>
        <w:t xml:space="preserve"> </w:t>
      </w:r>
      <w:r w:rsidR="009272BF">
        <w:rPr>
          <w:sz w:val="24"/>
          <w:szCs w:val="24"/>
        </w:rPr>
        <w:t>bajo las modalidad “e</w:t>
      </w:r>
      <w:r w:rsidR="00135DFB">
        <w:rPr>
          <w:sz w:val="24"/>
          <w:szCs w:val="24"/>
        </w:rPr>
        <w:t>x</w:t>
      </w:r>
      <w:r w:rsidR="009272BF">
        <w:rPr>
          <w:sz w:val="24"/>
          <w:szCs w:val="24"/>
        </w:rPr>
        <w:t>amen en casa”</w:t>
      </w:r>
      <w:r w:rsidR="00525872">
        <w:rPr>
          <w:sz w:val="24"/>
          <w:szCs w:val="24"/>
        </w:rPr>
        <w:t>.  De un total de 11,227</w:t>
      </w:r>
      <w:r w:rsidR="00135DFB">
        <w:rPr>
          <w:sz w:val="24"/>
          <w:szCs w:val="24"/>
        </w:rPr>
        <w:t xml:space="preserve"> </w:t>
      </w:r>
      <w:r w:rsidR="00525872">
        <w:rPr>
          <w:sz w:val="24"/>
          <w:szCs w:val="24"/>
        </w:rPr>
        <w:t>aspirantes con derecho,</w:t>
      </w:r>
      <w:r w:rsidR="00135DFB">
        <w:rPr>
          <w:sz w:val="24"/>
          <w:szCs w:val="24"/>
        </w:rPr>
        <w:t xml:space="preserve"> </w:t>
      </w:r>
      <w:r w:rsidR="00525872">
        <w:rPr>
          <w:sz w:val="24"/>
          <w:szCs w:val="24"/>
        </w:rPr>
        <w:t xml:space="preserve">asistieron </w:t>
      </w:r>
      <w:r w:rsidR="00135DFB">
        <w:rPr>
          <w:sz w:val="24"/>
          <w:szCs w:val="24"/>
        </w:rPr>
        <w:t>9010 aspirantes (80.25%</w:t>
      </w:r>
      <w:r w:rsidR="00525872">
        <w:rPr>
          <w:sz w:val="24"/>
          <w:szCs w:val="24"/>
        </w:rPr>
        <w:t>),</w:t>
      </w:r>
      <w:r w:rsidR="00135DFB">
        <w:rPr>
          <w:sz w:val="24"/>
          <w:szCs w:val="24"/>
        </w:rPr>
        <w:t xml:space="preserve"> </w:t>
      </w:r>
      <w:r w:rsidR="00525872">
        <w:rPr>
          <w:sz w:val="24"/>
          <w:szCs w:val="24"/>
        </w:rPr>
        <w:t>n</w:t>
      </w:r>
      <w:r w:rsidR="00135DFB">
        <w:rPr>
          <w:sz w:val="24"/>
          <w:szCs w:val="24"/>
        </w:rPr>
        <w:t xml:space="preserve">o asistieron 2,217 </w:t>
      </w:r>
      <w:r w:rsidR="00525872">
        <w:rPr>
          <w:sz w:val="24"/>
          <w:szCs w:val="24"/>
        </w:rPr>
        <w:t>(</w:t>
      </w:r>
      <w:r w:rsidR="00135DFB">
        <w:rPr>
          <w:sz w:val="24"/>
          <w:szCs w:val="24"/>
        </w:rPr>
        <w:t>19.75%).</w:t>
      </w:r>
    </w:p>
    <w:p w14:paraId="7A53BD3C" w14:textId="77777777" w:rsidR="00315152" w:rsidRDefault="00315152" w:rsidP="00EE0281">
      <w:pPr>
        <w:pStyle w:val="Sinespaciado"/>
        <w:jc w:val="both"/>
        <w:rPr>
          <w:sz w:val="24"/>
          <w:szCs w:val="24"/>
        </w:rPr>
      </w:pPr>
    </w:p>
    <w:p w14:paraId="5421CF41" w14:textId="07B1DAF6" w:rsidR="00135DFB" w:rsidRDefault="00135DFB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cotejo se </w:t>
      </w:r>
      <w:r w:rsidR="00B6052B">
        <w:rPr>
          <w:sz w:val="24"/>
          <w:szCs w:val="24"/>
        </w:rPr>
        <w:t>llevó</w:t>
      </w:r>
      <w:r>
        <w:rPr>
          <w:sz w:val="24"/>
          <w:szCs w:val="24"/>
        </w:rPr>
        <w:t xml:space="preserve"> a cabo el pasado</w:t>
      </w:r>
      <w:r w:rsidR="00B6052B">
        <w:rPr>
          <w:sz w:val="24"/>
          <w:szCs w:val="24"/>
        </w:rPr>
        <w:t xml:space="preserve"> martes 01 de septiembre de 2020,</w:t>
      </w:r>
      <w:r>
        <w:rPr>
          <w:sz w:val="24"/>
          <w:szCs w:val="24"/>
        </w:rPr>
        <w:t xml:space="preserve"> 1</w:t>
      </w:r>
      <w:r w:rsidR="00B6052B">
        <w:rPr>
          <w:sz w:val="24"/>
          <w:szCs w:val="24"/>
        </w:rPr>
        <w:t>3</w:t>
      </w:r>
      <w:r>
        <w:rPr>
          <w:sz w:val="24"/>
          <w:szCs w:val="24"/>
        </w:rPr>
        <w:t xml:space="preserve"> personas</w:t>
      </w:r>
      <w:r w:rsidR="00EA4F40">
        <w:rPr>
          <w:sz w:val="24"/>
          <w:szCs w:val="24"/>
        </w:rPr>
        <w:t xml:space="preserve"> de un total de 14</w:t>
      </w:r>
      <w:r w:rsidR="00B6052B">
        <w:rPr>
          <w:sz w:val="24"/>
          <w:szCs w:val="24"/>
        </w:rPr>
        <w:t>.</w:t>
      </w:r>
    </w:p>
    <w:p w14:paraId="3B830869" w14:textId="61A8E4F0" w:rsidR="007443B5" w:rsidRDefault="00315152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3604D7" w14:textId="133C585A" w:rsidR="00315152" w:rsidRDefault="00315152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La evaluación</w:t>
      </w:r>
      <w:r w:rsidR="00EA4F40">
        <w:rPr>
          <w:sz w:val="24"/>
          <w:szCs w:val="24"/>
        </w:rPr>
        <w:t xml:space="preserve"> psicométrica</w:t>
      </w:r>
      <w:r>
        <w:rPr>
          <w:sz w:val="24"/>
          <w:szCs w:val="24"/>
        </w:rPr>
        <w:t xml:space="preserve"> se </w:t>
      </w:r>
      <w:r w:rsidR="00EA4F40">
        <w:rPr>
          <w:sz w:val="24"/>
          <w:szCs w:val="24"/>
        </w:rPr>
        <w:t>llevó</w:t>
      </w:r>
      <w:r>
        <w:rPr>
          <w:sz w:val="24"/>
          <w:szCs w:val="24"/>
        </w:rPr>
        <w:t xml:space="preserve"> a cabo el paso 19 de septiembre</w:t>
      </w:r>
      <w:r w:rsidR="00365FC5">
        <w:rPr>
          <w:sz w:val="24"/>
          <w:szCs w:val="24"/>
        </w:rPr>
        <w:t xml:space="preserve"> en las instalaciones de la junta local del Instituto Nacional Electoral, y a</w:t>
      </w:r>
      <w:r w:rsidR="00EA4F40">
        <w:rPr>
          <w:sz w:val="24"/>
          <w:szCs w:val="24"/>
        </w:rPr>
        <w:t>l</w:t>
      </w:r>
      <w:r>
        <w:rPr>
          <w:sz w:val="24"/>
          <w:szCs w:val="24"/>
        </w:rPr>
        <w:t xml:space="preserve"> momento la </w:t>
      </w:r>
      <w:r w:rsidR="00EA4F40">
        <w:rPr>
          <w:sz w:val="24"/>
          <w:szCs w:val="24"/>
        </w:rPr>
        <w:t>DESPEN se</w:t>
      </w:r>
      <w:r>
        <w:rPr>
          <w:sz w:val="24"/>
          <w:szCs w:val="24"/>
        </w:rPr>
        <w:t xml:space="preserve"> </w:t>
      </w:r>
      <w:r w:rsidR="00EA4F40">
        <w:rPr>
          <w:sz w:val="24"/>
          <w:szCs w:val="24"/>
        </w:rPr>
        <w:t xml:space="preserve">encuentra en </w:t>
      </w:r>
      <w:r>
        <w:rPr>
          <w:sz w:val="24"/>
          <w:szCs w:val="24"/>
        </w:rPr>
        <w:t>espera los resultados de esta evaluación a fin de continuar con la fa</w:t>
      </w:r>
      <w:r w:rsidR="00AC14B4">
        <w:rPr>
          <w:sz w:val="24"/>
          <w:szCs w:val="24"/>
        </w:rPr>
        <w:t>s</w:t>
      </w:r>
      <w:r>
        <w:rPr>
          <w:sz w:val="24"/>
          <w:szCs w:val="24"/>
        </w:rPr>
        <w:t>e de entrevistas</w:t>
      </w:r>
      <w:r w:rsidR="00EA4F40">
        <w:rPr>
          <w:sz w:val="24"/>
          <w:szCs w:val="24"/>
        </w:rPr>
        <w:t>.</w:t>
      </w:r>
      <w:r w:rsidR="00AC14B4">
        <w:rPr>
          <w:sz w:val="24"/>
          <w:szCs w:val="24"/>
        </w:rPr>
        <w:t xml:space="preserve"> </w:t>
      </w:r>
    </w:p>
    <w:p w14:paraId="2CE68661" w14:textId="77777777" w:rsidR="007443B5" w:rsidRDefault="007443B5" w:rsidP="00EE0281">
      <w:pPr>
        <w:pStyle w:val="Sinespaciado"/>
        <w:jc w:val="both"/>
        <w:rPr>
          <w:sz w:val="24"/>
          <w:szCs w:val="24"/>
        </w:rPr>
      </w:pPr>
    </w:p>
    <w:p w14:paraId="45C59082" w14:textId="5B4D98C1" w:rsidR="00F55C02" w:rsidRDefault="006B7B5F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Con fecha 24</w:t>
      </w:r>
      <w:r w:rsidR="00F55C02">
        <w:rPr>
          <w:sz w:val="24"/>
          <w:szCs w:val="24"/>
        </w:rPr>
        <w:t xml:space="preserve"> de agosto del 2020 mediante </w:t>
      </w:r>
      <w:r>
        <w:rPr>
          <w:sz w:val="24"/>
          <w:szCs w:val="24"/>
        </w:rPr>
        <w:t>acuerdo</w:t>
      </w:r>
      <w:r w:rsidR="00F55C02">
        <w:rPr>
          <w:sz w:val="24"/>
          <w:szCs w:val="24"/>
        </w:rPr>
        <w:t xml:space="preserve"> INE/</w:t>
      </w:r>
      <w:r>
        <w:rPr>
          <w:sz w:val="24"/>
          <w:szCs w:val="24"/>
        </w:rPr>
        <w:t>JGE96</w:t>
      </w:r>
      <w:r w:rsidR="00F55C02">
        <w:rPr>
          <w:sz w:val="24"/>
          <w:szCs w:val="24"/>
        </w:rPr>
        <w:t xml:space="preserve">/2020, </w:t>
      </w:r>
      <w:r>
        <w:rPr>
          <w:sz w:val="24"/>
          <w:szCs w:val="24"/>
        </w:rPr>
        <w:t xml:space="preserve">aprobó </w:t>
      </w:r>
      <w:r w:rsidR="00F55C02">
        <w:rPr>
          <w:sz w:val="24"/>
          <w:szCs w:val="24"/>
        </w:rPr>
        <w:t>como medida excepcional que los miembros del SPEN no sean sujetos de evaluación por el periodo septiembre 2019 a agosto 2020, en virtud de las medidas preventivas y de actuación con motivo de la pandemia COVID-19.</w:t>
      </w:r>
    </w:p>
    <w:p w14:paraId="542B223F" w14:textId="77777777" w:rsidR="00F55C02" w:rsidRDefault="00F55C02" w:rsidP="00EE0281">
      <w:pPr>
        <w:pStyle w:val="Sinespaciado"/>
        <w:jc w:val="both"/>
        <w:rPr>
          <w:sz w:val="24"/>
          <w:szCs w:val="24"/>
        </w:rPr>
      </w:pPr>
    </w:p>
    <w:p w14:paraId="366831D1" w14:textId="60A09E85" w:rsidR="00BD7231" w:rsidRDefault="006B7B5F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El pasado</w:t>
      </w:r>
      <w:r w:rsidR="00F55C02">
        <w:rPr>
          <w:sz w:val="24"/>
          <w:szCs w:val="24"/>
        </w:rPr>
        <w:t xml:space="preserve"> 29 de agosto del 2020 mediante circular INE/DESPEN/044/2020, la DESPEN dio a </w:t>
      </w:r>
      <w:r w:rsidR="00BD7231">
        <w:rPr>
          <w:sz w:val="24"/>
          <w:szCs w:val="24"/>
        </w:rPr>
        <w:t>conocer</w:t>
      </w:r>
      <w:r w:rsidR="00F55C02">
        <w:rPr>
          <w:sz w:val="24"/>
          <w:szCs w:val="24"/>
        </w:rPr>
        <w:t xml:space="preserve"> </w:t>
      </w:r>
      <w:r w:rsidR="00BD7231">
        <w:rPr>
          <w:sz w:val="24"/>
          <w:szCs w:val="24"/>
        </w:rPr>
        <w:t xml:space="preserve">a los miembros del servicio, </w:t>
      </w:r>
      <w:r w:rsidR="00F55C02">
        <w:rPr>
          <w:sz w:val="24"/>
          <w:szCs w:val="24"/>
        </w:rPr>
        <w:t>los</w:t>
      </w:r>
      <w:r w:rsidR="00BD7231">
        <w:rPr>
          <w:sz w:val="24"/>
          <w:szCs w:val="24"/>
        </w:rPr>
        <w:t xml:space="preserve"> nuevos “Li</w:t>
      </w:r>
      <w:r w:rsidR="00F55C02">
        <w:rPr>
          <w:sz w:val="24"/>
          <w:szCs w:val="24"/>
        </w:rPr>
        <w:t>n</w:t>
      </w:r>
      <w:r w:rsidR="00BD7231">
        <w:rPr>
          <w:sz w:val="24"/>
          <w:szCs w:val="24"/>
        </w:rPr>
        <w:t>e</w:t>
      </w:r>
      <w:r w:rsidR="00F55C02">
        <w:rPr>
          <w:sz w:val="24"/>
          <w:szCs w:val="24"/>
        </w:rPr>
        <w:t>amientos</w:t>
      </w:r>
      <w:r w:rsidR="00BD7231">
        <w:rPr>
          <w:sz w:val="24"/>
          <w:szCs w:val="24"/>
        </w:rPr>
        <w:t xml:space="preserve"> para la Evaluación al Despeño de las y los miembros para el sistema OPLE”, destacando</w:t>
      </w:r>
      <w:r w:rsidR="00F55C02">
        <w:rPr>
          <w:sz w:val="24"/>
          <w:szCs w:val="24"/>
        </w:rPr>
        <w:t xml:space="preserve"> </w:t>
      </w:r>
      <w:r w:rsidR="00BD7231">
        <w:rPr>
          <w:sz w:val="24"/>
          <w:szCs w:val="24"/>
        </w:rPr>
        <w:t>el periodo trianual, y que de manera transitoria, el primer periodo trianual será el comprendido de periodo septiembre 2020 a agosto 2021 y setiembre 2021 a agosto 2022, para lo cual, mediante oficio No. INE</w:t>
      </w:r>
      <w:r>
        <w:rPr>
          <w:sz w:val="24"/>
          <w:szCs w:val="24"/>
        </w:rPr>
        <w:t>/DESPEN/1402/2020 solicitó</w:t>
      </w:r>
      <w:r w:rsidR="00BD7231">
        <w:rPr>
          <w:sz w:val="24"/>
          <w:szCs w:val="24"/>
        </w:rPr>
        <w:t xml:space="preserve"> a los titulares de las áreas del servici</w:t>
      </w:r>
      <w:r>
        <w:rPr>
          <w:sz w:val="24"/>
          <w:szCs w:val="24"/>
        </w:rPr>
        <w:t>o, ponderar el referido periodo</w:t>
      </w:r>
      <w:r w:rsidR="00BD7231">
        <w:rPr>
          <w:sz w:val="24"/>
          <w:szCs w:val="24"/>
        </w:rPr>
        <w:t>, quedando de la siguiente manera:</w:t>
      </w:r>
    </w:p>
    <w:p w14:paraId="5EF7B11F" w14:textId="77777777" w:rsidR="00007B01" w:rsidRDefault="00007B01" w:rsidP="00EE0281">
      <w:pPr>
        <w:pStyle w:val="Sinespaciado"/>
        <w:jc w:val="both"/>
        <w:rPr>
          <w:sz w:val="24"/>
          <w:szCs w:val="24"/>
        </w:rPr>
      </w:pPr>
    </w:p>
    <w:tbl>
      <w:tblPr>
        <w:tblW w:w="82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9"/>
        <w:gridCol w:w="1810"/>
        <w:gridCol w:w="1174"/>
        <w:gridCol w:w="1174"/>
        <w:gridCol w:w="1176"/>
      </w:tblGrid>
      <w:tr w:rsidR="00BD7231" w:rsidRPr="00BD7231" w14:paraId="72BB08FE" w14:textId="77777777" w:rsidTr="00BD7231">
        <w:trPr>
          <w:trHeight w:val="373"/>
          <w:jc w:val="center"/>
        </w:trPr>
        <w:tc>
          <w:tcPr>
            <w:tcW w:w="8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2EAF" w14:textId="77777777" w:rsidR="00BD7231" w:rsidRDefault="00BD7231" w:rsidP="00BD7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723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Ponderaciones para la evaluación trianual del desempeño de los miembros del Servicio Profesional Electoral Nacional </w:t>
            </w:r>
          </w:p>
          <w:p w14:paraId="7E969ABC" w14:textId="77777777" w:rsidR="006B7B5F" w:rsidRPr="00BD7231" w:rsidRDefault="006B7B5F" w:rsidP="00BD7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BD7231" w:rsidRPr="00BD7231" w14:paraId="4BBE6DC9" w14:textId="77777777" w:rsidTr="00BD7231">
        <w:trPr>
          <w:trHeight w:val="224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EB4B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48D4" w14:textId="77777777" w:rsidR="00BD7231" w:rsidRPr="00BD7231" w:rsidRDefault="00BD7231" w:rsidP="00BD72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C9C7" w14:textId="77777777" w:rsidR="00BD7231" w:rsidRPr="00BD7231" w:rsidRDefault="00BD7231" w:rsidP="00BD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AC30" w14:textId="77777777" w:rsidR="00BD7231" w:rsidRPr="00BD7231" w:rsidRDefault="00BD7231" w:rsidP="00BD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F90" w14:textId="77777777" w:rsidR="00BD7231" w:rsidRPr="00BD7231" w:rsidRDefault="00BD7231" w:rsidP="00BD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7231" w:rsidRPr="00BD7231" w14:paraId="02579E46" w14:textId="77777777" w:rsidTr="00BD7231">
        <w:trPr>
          <w:trHeight w:val="373"/>
          <w:jc w:val="center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38693E1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Cargo o puesto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3CE4131A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Área de adscripción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14BDA9A9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Ponderaciones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B226A5F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Total</w:t>
            </w:r>
          </w:p>
        </w:tc>
      </w:tr>
      <w:tr w:rsidR="00BD7231" w:rsidRPr="00BD7231" w14:paraId="6423D3C3" w14:textId="77777777" w:rsidTr="00BD7231">
        <w:trPr>
          <w:trHeight w:val="373"/>
          <w:jc w:val="center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9C26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4AE7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FA45C75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2020-2021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F7BB47D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2021-2022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442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</w:tr>
      <w:tr w:rsidR="00BD7231" w:rsidRPr="00BD7231" w14:paraId="1B7CD9AD" w14:textId="77777777" w:rsidTr="00BD7231">
        <w:trPr>
          <w:trHeight w:val="449"/>
          <w:jc w:val="center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CD3C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lang w:eastAsia="es-MX"/>
              </w:rPr>
              <w:t>Coordinador / Coordinadora de Prerrogativas y Partidos Políticos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5821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JALISCO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C1F4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90EC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7B0F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</w:tr>
      <w:tr w:rsidR="00BD7231" w:rsidRPr="00BD7231" w14:paraId="4EFEDB4E" w14:textId="77777777" w:rsidTr="00BD7231">
        <w:trPr>
          <w:trHeight w:val="449"/>
          <w:jc w:val="center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728E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lang w:eastAsia="es-MX"/>
              </w:rPr>
              <w:t>Coordinador / Coordinadora de Educación Cívica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679C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JALISCO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A416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C6B8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5BCE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</w:tr>
      <w:tr w:rsidR="00BD7231" w:rsidRPr="00BD7231" w14:paraId="3D7AC355" w14:textId="77777777" w:rsidTr="00BD7231">
        <w:trPr>
          <w:trHeight w:val="449"/>
          <w:jc w:val="center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27B7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lang w:eastAsia="es-MX"/>
              </w:rPr>
              <w:lastRenderedPageBreak/>
              <w:t>Coordinador / Coordinadora de Organización Electoral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4BEF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JALISCO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C8FE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A8D0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2D2B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</w:tr>
      <w:tr w:rsidR="00BD7231" w:rsidRPr="00BD7231" w14:paraId="61203767" w14:textId="77777777" w:rsidTr="00BD7231">
        <w:trPr>
          <w:trHeight w:val="449"/>
          <w:jc w:val="center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5F42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lang w:eastAsia="es-MX"/>
              </w:rPr>
              <w:t>Técnico / Técnica de Organización Electoral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367A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JALISCO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B572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A910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8BB4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</w:tr>
      <w:tr w:rsidR="00BD7231" w:rsidRPr="00BD7231" w14:paraId="086D48B7" w14:textId="77777777" w:rsidTr="00BD7231">
        <w:trPr>
          <w:trHeight w:val="449"/>
          <w:jc w:val="center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6168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lang w:eastAsia="es-MX"/>
              </w:rPr>
              <w:t>Técnico / Técnica de Participación Ciudadana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9757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JALISCO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C629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FFC5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D91F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</w:tr>
      <w:tr w:rsidR="00BD7231" w:rsidRPr="00BD7231" w14:paraId="2808272E" w14:textId="77777777" w:rsidTr="00BD7231">
        <w:trPr>
          <w:trHeight w:val="449"/>
          <w:jc w:val="center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4EC6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lang w:eastAsia="es-MX"/>
              </w:rPr>
              <w:t>Coordinador / Coordinadora de Participación Ciudadana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E7E8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JALISCO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9149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8DD7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2F5F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</w:tr>
      <w:tr w:rsidR="00BD7231" w:rsidRPr="00BD7231" w14:paraId="78A62D4B" w14:textId="77777777" w:rsidTr="00BD7231">
        <w:trPr>
          <w:trHeight w:val="449"/>
          <w:jc w:val="center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D71E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lang w:eastAsia="es-MX"/>
              </w:rPr>
              <w:t>Técnico / Técnica de Prerrogativas y Partidos Políticos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77B5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JALISCO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447A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17A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C131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</w:tr>
      <w:tr w:rsidR="00BD7231" w:rsidRPr="00BD7231" w14:paraId="32B8C90C" w14:textId="77777777" w:rsidTr="00BD7231">
        <w:trPr>
          <w:trHeight w:val="449"/>
          <w:jc w:val="center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94CD" w14:textId="77777777" w:rsidR="00BD7231" w:rsidRPr="00BD7231" w:rsidRDefault="00BD7231" w:rsidP="00BD72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lang w:eastAsia="es-MX"/>
              </w:rPr>
              <w:t>Técnico / Técnica de Educación Cívica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4E5F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JALISCO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5A71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8946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35AB" w14:textId="77777777" w:rsidR="00BD7231" w:rsidRPr="00BD7231" w:rsidRDefault="00BD7231" w:rsidP="00BD72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72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</w:tr>
    </w:tbl>
    <w:p w14:paraId="788CDF55" w14:textId="564BFA56" w:rsidR="00F55C02" w:rsidRDefault="00F55C02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0C1EEE" w14:textId="77777777" w:rsidR="00F55C02" w:rsidRDefault="00F55C02" w:rsidP="00EE0281">
      <w:pPr>
        <w:pStyle w:val="Sinespaciado"/>
        <w:jc w:val="both"/>
        <w:rPr>
          <w:sz w:val="24"/>
          <w:szCs w:val="24"/>
        </w:rPr>
      </w:pPr>
    </w:p>
    <w:p w14:paraId="5F62B3A6" w14:textId="10AF3785" w:rsidR="00E4336F" w:rsidRDefault="006B7B5F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El pasado</w:t>
      </w:r>
      <w:r w:rsidR="00007B01">
        <w:rPr>
          <w:sz w:val="24"/>
          <w:szCs w:val="24"/>
        </w:rPr>
        <w:t xml:space="preserve"> 29 de agosto de 2020, mediante circular INE/DESPEN/048/2020, la DESPEN dio a conocer a los miembros del servicio de este instituto, el primer bloque de metas para la evaluación del desempeño del periodo comprendido de septiembre 2020 a agosto 2021, destacando como sigue:</w:t>
      </w:r>
    </w:p>
    <w:p w14:paraId="4C3D8B1E" w14:textId="77777777" w:rsidR="00007B01" w:rsidRDefault="00007B01" w:rsidP="00EE0281">
      <w:pPr>
        <w:pStyle w:val="Sinespaciado"/>
        <w:jc w:val="both"/>
        <w:rPr>
          <w:sz w:val="24"/>
          <w:szCs w:val="24"/>
        </w:rPr>
      </w:pP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457"/>
        <w:gridCol w:w="1070"/>
        <w:gridCol w:w="1617"/>
        <w:gridCol w:w="1068"/>
        <w:gridCol w:w="1068"/>
        <w:gridCol w:w="2084"/>
      </w:tblGrid>
      <w:tr w:rsidR="005C2A0E" w:rsidRPr="00007B01" w14:paraId="4B1A7FC6" w14:textId="77777777" w:rsidTr="005C2A0E">
        <w:trPr>
          <w:trHeight w:val="303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B842A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B8:H13"/>
            <w:r w:rsidRPr="00007B0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META</w:t>
            </w:r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AA2AA1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AREA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2477D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TIPO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ED80EB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PARA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7909B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INICIO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39754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TERMINO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011F4C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OBJETIVO</w:t>
            </w:r>
          </w:p>
        </w:tc>
      </w:tr>
      <w:tr w:rsidR="00007B01" w:rsidRPr="00007B01" w14:paraId="2E13EA76" w14:textId="77777777" w:rsidTr="005C2A0E">
        <w:trPr>
          <w:trHeight w:val="1548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AE9D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9527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TODAS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C406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COLECTIVA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DF43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TODOS MSPEN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F950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01/10/2020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422A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15/04/2021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FF67" w14:textId="77777777" w:rsidR="00007B01" w:rsidRPr="00007B01" w:rsidRDefault="00007B01" w:rsidP="00007B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007B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Impartir talleres virtuales o presenciales por entidad con al menos 30 personas cada uno, dirigido a partidos políticos u organizaciones sociales con la finalidad de prevenir, erradicar y atender la "Violencia Política contra las mujeres en razón de género".</w:t>
            </w:r>
          </w:p>
        </w:tc>
      </w:tr>
      <w:tr w:rsidR="00007B01" w:rsidRPr="00007B01" w14:paraId="6CB35290" w14:textId="77777777" w:rsidTr="005C2A0E">
        <w:trPr>
          <w:trHeight w:val="516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74C0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D951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ORGANIZACIÓN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E406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INDIVIDUAL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8DB9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COORDINADOR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E05A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01/01/2021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B723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31/08/2021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7667" w14:textId="77777777" w:rsidR="00007B01" w:rsidRPr="00007B01" w:rsidRDefault="00007B01" w:rsidP="00007B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007B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Estadística Electoral Nacional / Tablas de Resultados Electorales Locales</w:t>
            </w:r>
          </w:p>
        </w:tc>
      </w:tr>
      <w:tr w:rsidR="00007B01" w:rsidRPr="00007B01" w14:paraId="542FAE68" w14:textId="77777777" w:rsidTr="005C2A0E">
        <w:trPr>
          <w:trHeight w:val="774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55F9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0E72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ORGANIZACIÓN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EEDA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COLECTIVA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E6F5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TODA LA DIRECCIÓN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39C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15/04/2021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E98B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31/05/2021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030DF" w14:textId="77777777" w:rsidR="00007B01" w:rsidRPr="00007B01" w:rsidRDefault="00007B01" w:rsidP="00007B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007B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Dar seguimiento al desarrollo de los 3 simulacros del Sistema de Información sobre el desarrollo de la Jornada Electoral (SIJE)</w:t>
            </w:r>
          </w:p>
        </w:tc>
      </w:tr>
      <w:tr w:rsidR="00007B01" w:rsidRPr="00007B01" w14:paraId="3A848F31" w14:textId="77777777" w:rsidTr="005C2A0E">
        <w:trPr>
          <w:trHeight w:val="1290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ABFD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EB71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ORGANIZACIÓN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226B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COLECTIVA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50F1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TODA LA DIRECCIÓN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00F2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01/09/2020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241E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31/12/2020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9BCC" w14:textId="77777777" w:rsidR="00007B01" w:rsidRPr="00007B01" w:rsidRDefault="00007B01" w:rsidP="00007B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007B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Lograr la validación de los diseños de la documentación y materiales electorales personalizados para la elección local de 2021 con el menor número posible de iteraciones para la atención de observaciones.</w:t>
            </w:r>
          </w:p>
        </w:tc>
      </w:tr>
      <w:tr w:rsidR="00007B01" w:rsidRPr="00007B01" w14:paraId="10D02552" w14:textId="77777777" w:rsidTr="005C2A0E">
        <w:trPr>
          <w:trHeight w:val="789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197B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C84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PRERROGATIVAS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C3EF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INDIVIDUAL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6497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COORDINADOR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DA9C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01/09/2020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5FC6" w14:textId="77777777" w:rsidR="00007B01" w:rsidRPr="00007B01" w:rsidRDefault="00007B01" w:rsidP="00007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7B01">
              <w:rPr>
                <w:rFonts w:ascii="Calibri" w:eastAsia="Times New Roman" w:hAnsi="Calibri" w:cs="Times New Roman"/>
                <w:color w:val="000000"/>
                <w:lang w:eastAsia="es-MX"/>
              </w:rPr>
              <w:t>31/08/2021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053F" w14:textId="77777777" w:rsidR="00007B01" w:rsidRPr="00007B01" w:rsidRDefault="00007B01" w:rsidP="00007B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007B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Garantizar a los partidos políticos locales y candidaturas independientes la prerrogativa en materia de radio y televisión.</w:t>
            </w:r>
          </w:p>
        </w:tc>
      </w:tr>
    </w:tbl>
    <w:p w14:paraId="477DBB05" w14:textId="77777777" w:rsidR="00007B01" w:rsidRDefault="00007B01" w:rsidP="00EE0281">
      <w:pPr>
        <w:pStyle w:val="Sinespaciado"/>
        <w:jc w:val="both"/>
        <w:rPr>
          <w:sz w:val="24"/>
          <w:szCs w:val="24"/>
        </w:rPr>
      </w:pPr>
    </w:p>
    <w:p w14:paraId="3D7C8D14" w14:textId="77777777" w:rsidR="00007B01" w:rsidRDefault="00007B01" w:rsidP="00EE0281">
      <w:pPr>
        <w:pStyle w:val="Sinespaciado"/>
        <w:jc w:val="both"/>
        <w:rPr>
          <w:sz w:val="24"/>
          <w:szCs w:val="24"/>
        </w:rPr>
      </w:pPr>
    </w:p>
    <w:p w14:paraId="18636406" w14:textId="2CF193CD" w:rsidR="005C2A0E" w:rsidRDefault="005C2A0E" w:rsidP="00EE028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Con fecha 18 de septiembre del 2020, la DESPEN informo que los resultados de la evolución del aprovechamiento del programa de formación del periodo académico 2020/1 serán notificados mediante el sistema integral de información del servicio profesional electoral nacional (SIISPEN) el próximo pasado 23 de septiembre del corriente.</w:t>
      </w:r>
    </w:p>
    <w:p w14:paraId="17F1C8F6" w14:textId="77777777" w:rsidR="005C2A0E" w:rsidRDefault="005C2A0E" w:rsidP="00EE0281">
      <w:pPr>
        <w:pStyle w:val="Sinespaciado"/>
        <w:jc w:val="both"/>
        <w:rPr>
          <w:sz w:val="24"/>
          <w:szCs w:val="24"/>
        </w:rPr>
      </w:pPr>
    </w:p>
    <w:p w14:paraId="057B2C54" w14:textId="43B44722" w:rsidR="00007B01" w:rsidRDefault="005C2A0E" w:rsidP="00007B0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Finalmente c</w:t>
      </w:r>
      <w:r w:rsidR="00007B01">
        <w:rPr>
          <w:sz w:val="24"/>
          <w:szCs w:val="24"/>
        </w:rPr>
        <w:t xml:space="preserve">on fecha 23 de septiembre del presente año, mediante correo electrónico la DESPEN, dio visto bueno a la ponderación trianual, para que la misma sea aprobada por el Órgano Superior de Dirección, previo conocimiento de la comisión del seguimiento al servicio, a más tardar en el mes de octubre 2020. </w:t>
      </w:r>
    </w:p>
    <w:p w14:paraId="77C34403" w14:textId="77777777" w:rsidR="00007B01" w:rsidRDefault="00007B01" w:rsidP="00007B01">
      <w:pPr>
        <w:pStyle w:val="Sinespaciado"/>
        <w:jc w:val="both"/>
        <w:rPr>
          <w:sz w:val="24"/>
          <w:szCs w:val="24"/>
        </w:rPr>
      </w:pPr>
    </w:p>
    <w:p w14:paraId="191529C4" w14:textId="77777777" w:rsidR="00007B01" w:rsidRDefault="00007B01" w:rsidP="00007B01">
      <w:pPr>
        <w:pStyle w:val="Sinespaciado"/>
        <w:jc w:val="both"/>
        <w:rPr>
          <w:sz w:val="24"/>
          <w:szCs w:val="24"/>
        </w:rPr>
      </w:pPr>
    </w:p>
    <w:p w14:paraId="5BF015A6" w14:textId="77777777" w:rsidR="00007B01" w:rsidRDefault="00007B01" w:rsidP="00007B01">
      <w:pPr>
        <w:pStyle w:val="Sinespaciado"/>
        <w:jc w:val="both"/>
        <w:rPr>
          <w:sz w:val="24"/>
          <w:szCs w:val="24"/>
        </w:rPr>
      </w:pPr>
      <w:bookmarkStart w:id="1" w:name="_GoBack"/>
      <w:bookmarkEnd w:id="1"/>
    </w:p>
    <w:p w14:paraId="1ADB37E3" w14:textId="77777777" w:rsidR="00E4336F" w:rsidRPr="008C100F" w:rsidRDefault="00E4336F" w:rsidP="00EE0281">
      <w:pPr>
        <w:pStyle w:val="Sinespaciado"/>
        <w:jc w:val="both"/>
        <w:rPr>
          <w:sz w:val="24"/>
          <w:szCs w:val="24"/>
        </w:rPr>
      </w:pPr>
    </w:p>
    <w:p w14:paraId="66FBB4F6" w14:textId="77777777" w:rsidR="00347F00" w:rsidRDefault="00347F00" w:rsidP="00347F00">
      <w:pPr>
        <w:pStyle w:val="Sinespaciado"/>
        <w:rPr>
          <w:sz w:val="24"/>
          <w:szCs w:val="24"/>
        </w:rPr>
      </w:pPr>
      <w:r w:rsidRPr="008C100F">
        <w:rPr>
          <w:sz w:val="24"/>
          <w:szCs w:val="24"/>
        </w:rPr>
        <w:t xml:space="preserve">Atentamente </w:t>
      </w:r>
    </w:p>
    <w:p w14:paraId="615A35BB" w14:textId="77777777" w:rsidR="001331BB" w:rsidRDefault="001331BB" w:rsidP="00347F00">
      <w:pPr>
        <w:pStyle w:val="Sinespaciado"/>
        <w:rPr>
          <w:sz w:val="24"/>
          <w:szCs w:val="24"/>
        </w:rPr>
      </w:pPr>
    </w:p>
    <w:p w14:paraId="5CCC2425" w14:textId="77777777" w:rsidR="00E4336F" w:rsidRDefault="00E4336F" w:rsidP="00347F00">
      <w:pPr>
        <w:pStyle w:val="Sinespaciado"/>
        <w:rPr>
          <w:sz w:val="24"/>
          <w:szCs w:val="24"/>
        </w:rPr>
      </w:pPr>
    </w:p>
    <w:p w14:paraId="1E9377C9" w14:textId="0436C1C5" w:rsidR="00347F00" w:rsidRPr="008C100F" w:rsidRDefault="00B52863" w:rsidP="005C2A0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347F00" w:rsidRPr="008C100F">
        <w:rPr>
          <w:sz w:val="24"/>
          <w:szCs w:val="24"/>
        </w:rPr>
        <w:t>ugo Pulido Maciel</w:t>
      </w:r>
      <w:r w:rsidR="00F55C02" w:rsidRPr="00F55C02">
        <w:rPr>
          <w:sz w:val="24"/>
          <w:szCs w:val="24"/>
        </w:rPr>
        <w:t xml:space="preserve"> </w:t>
      </w:r>
    </w:p>
    <w:p w14:paraId="1A67136B" w14:textId="77777777" w:rsidR="00FE740A" w:rsidRDefault="00FE740A" w:rsidP="00347F00">
      <w:pPr>
        <w:pStyle w:val="Sinespaciado"/>
        <w:rPr>
          <w:sz w:val="24"/>
          <w:szCs w:val="24"/>
        </w:rPr>
      </w:pPr>
      <w:r w:rsidRPr="008C100F">
        <w:rPr>
          <w:sz w:val="24"/>
          <w:szCs w:val="24"/>
        </w:rPr>
        <w:t>Titular del Órgano de Enlace</w:t>
      </w:r>
    </w:p>
    <w:sectPr w:rsidR="00FE7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266"/>
    <w:multiLevelType w:val="hybridMultilevel"/>
    <w:tmpl w:val="8FA2E55A"/>
    <w:lvl w:ilvl="0" w:tplc="379CB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D2770"/>
    <w:multiLevelType w:val="hybridMultilevel"/>
    <w:tmpl w:val="1BD4DA02"/>
    <w:lvl w:ilvl="0" w:tplc="25EAC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D04621"/>
    <w:multiLevelType w:val="hybridMultilevel"/>
    <w:tmpl w:val="B92C44EC"/>
    <w:lvl w:ilvl="0" w:tplc="0A1A0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B"/>
    <w:rsid w:val="00007B01"/>
    <w:rsid w:val="0002526A"/>
    <w:rsid w:val="00034650"/>
    <w:rsid w:val="0004209A"/>
    <w:rsid w:val="00070834"/>
    <w:rsid w:val="00072FA7"/>
    <w:rsid w:val="000C0721"/>
    <w:rsid w:val="000C2C80"/>
    <w:rsid w:val="000E00C7"/>
    <w:rsid w:val="001026CA"/>
    <w:rsid w:val="0010611B"/>
    <w:rsid w:val="00106E3A"/>
    <w:rsid w:val="001331BB"/>
    <w:rsid w:val="00135DFB"/>
    <w:rsid w:val="00153283"/>
    <w:rsid w:val="00161BFF"/>
    <w:rsid w:val="00166244"/>
    <w:rsid w:val="001733E8"/>
    <w:rsid w:val="0018157C"/>
    <w:rsid w:val="001B4F8A"/>
    <w:rsid w:val="001B7B19"/>
    <w:rsid w:val="001C015C"/>
    <w:rsid w:val="001E390C"/>
    <w:rsid w:val="001F262F"/>
    <w:rsid w:val="001F3626"/>
    <w:rsid w:val="001F5566"/>
    <w:rsid w:val="00213CBD"/>
    <w:rsid w:val="002239AC"/>
    <w:rsid w:val="00231B0D"/>
    <w:rsid w:val="00233678"/>
    <w:rsid w:val="002658CA"/>
    <w:rsid w:val="00291D05"/>
    <w:rsid w:val="002B43F4"/>
    <w:rsid w:val="00315152"/>
    <w:rsid w:val="00320098"/>
    <w:rsid w:val="003237BB"/>
    <w:rsid w:val="00330820"/>
    <w:rsid w:val="003423E8"/>
    <w:rsid w:val="00345173"/>
    <w:rsid w:val="00347F00"/>
    <w:rsid w:val="00353245"/>
    <w:rsid w:val="00365FC5"/>
    <w:rsid w:val="00372464"/>
    <w:rsid w:val="00372EBE"/>
    <w:rsid w:val="00373893"/>
    <w:rsid w:val="00386201"/>
    <w:rsid w:val="003915CA"/>
    <w:rsid w:val="003A72A4"/>
    <w:rsid w:val="003C2AF7"/>
    <w:rsid w:val="003C3173"/>
    <w:rsid w:val="003E3811"/>
    <w:rsid w:val="003E5C7A"/>
    <w:rsid w:val="003F71C4"/>
    <w:rsid w:val="00403BAF"/>
    <w:rsid w:val="00433C08"/>
    <w:rsid w:val="0045583B"/>
    <w:rsid w:val="00491C69"/>
    <w:rsid w:val="004B04CC"/>
    <w:rsid w:val="004B0F63"/>
    <w:rsid w:val="004F14F9"/>
    <w:rsid w:val="004F525E"/>
    <w:rsid w:val="00501008"/>
    <w:rsid w:val="00501515"/>
    <w:rsid w:val="00525872"/>
    <w:rsid w:val="00542E70"/>
    <w:rsid w:val="005539E2"/>
    <w:rsid w:val="005622B0"/>
    <w:rsid w:val="00580CA3"/>
    <w:rsid w:val="00592818"/>
    <w:rsid w:val="005C0C9D"/>
    <w:rsid w:val="005C2A0E"/>
    <w:rsid w:val="006011B0"/>
    <w:rsid w:val="006072CF"/>
    <w:rsid w:val="00627F2E"/>
    <w:rsid w:val="00637AF7"/>
    <w:rsid w:val="006525C8"/>
    <w:rsid w:val="006649F0"/>
    <w:rsid w:val="006A07EE"/>
    <w:rsid w:val="006B7B5F"/>
    <w:rsid w:val="006F7B01"/>
    <w:rsid w:val="007019A7"/>
    <w:rsid w:val="007443B5"/>
    <w:rsid w:val="00766FC6"/>
    <w:rsid w:val="00796C00"/>
    <w:rsid w:val="007B0C23"/>
    <w:rsid w:val="007B6999"/>
    <w:rsid w:val="007D6DA6"/>
    <w:rsid w:val="007E38BD"/>
    <w:rsid w:val="007F3E57"/>
    <w:rsid w:val="007F42BD"/>
    <w:rsid w:val="00820CFA"/>
    <w:rsid w:val="00825C95"/>
    <w:rsid w:val="0083564B"/>
    <w:rsid w:val="00837A0B"/>
    <w:rsid w:val="0084692B"/>
    <w:rsid w:val="00864C93"/>
    <w:rsid w:val="00876BC4"/>
    <w:rsid w:val="00884A0D"/>
    <w:rsid w:val="008852BC"/>
    <w:rsid w:val="00885644"/>
    <w:rsid w:val="008A6AE1"/>
    <w:rsid w:val="008C100F"/>
    <w:rsid w:val="008D3100"/>
    <w:rsid w:val="008E5E7D"/>
    <w:rsid w:val="00903109"/>
    <w:rsid w:val="00917B6B"/>
    <w:rsid w:val="009272BF"/>
    <w:rsid w:val="00942052"/>
    <w:rsid w:val="009978F3"/>
    <w:rsid w:val="009A183C"/>
    <w:rsid w:val="009A3752"/>
    <w:rsid w:val="009F6F01"/>
    <w:rsid w:val="00A2623F"/>
    <w:rsid w:val="00A27413"/>
    <w:rsid w:val="00A619C3"/>
    <w:rsid w:val="00A65497"/>
    <w:rsid w:val="00A659FE"/>
    <w:rsid w:val="00A9701C"/>
    <w:rsid w:val="00AB2BCE"/>
    <w:rsid w:val="00AC14B4"/>
    <w:rsid w:val="00AE0073"/>
    <w:rsid w:val="00AE0849"/>
    <w:rsid w:val="00AF55A7"/>
    <w:rsid w:val="00B36B5C"/>
    <w:rsid w:val="00B52863"/>
    <w:rsid w:val="00B6052B"/>
    <w:rsid w:val="00B85FAB"/>
    <w:rsid w:val="00B9584B"/>
    <w:rsid w:val="00BC573C"/>
    <w:rsid w:val="00BD3E33"/>
    <w:rsid w:val="00BD7231"/>
    <w:rsid w:val="00BF47CB"/>
    <w:rsid w:val="00BF5A96"/>
    <w:rsid w:val="00C11810"/>
    <w:rsid w:val="00C124B5"/>
    <w:rsid w:val="00C20906"/>
    <w:rsid w:val="00C33E73"/>
    <w:rsid w:val="00C53D2E"/>
    <w:rsid w:val="00C83926"/>
    <w:rsid w:val="00C85E8F"/>
    <w:rsid w:val="00CB40B0"/>
    <w:rsid w:val="00CD1BE0"/>
    <w:rsid w:val="00CE12F2"/>
    <w:rsid w:val="00D00303"/>
    <w:rsid w:val="00D00715"/>
    <w:rsid w:val="00D151B6"/>
    <w:rsid w:val="00D5188E"/>
    <w:rsid w:val="00D57564"/>
    <w:rsid w:val="00D678C5"/>
    <w:rsid w:val="00D96B93"/>
    <w:rsid w:val="00DD3EE1"/>
    <w:rsid w:val="00DD4CFB"/>
    <w:rsid w:val="00DE46AF"/>
    <w:rsid w:val="00DF45C1"/>
    <w:rsid w:val="00E4336F"/>
    <w:rsid w:val="00E5017A"/>
    <w:rsid w:val="00E70FD0"/>
    <w:rsid w:val="00E73435"/>
    <w:rsid w:val="00E80615"/>
    <w:rsid w:val="00E95BCB"/>
    <w:rsid w:val="00EA4F40"/>
    <w:rsid w:val="00EB05D7"/>
    <w:rsid w:val="00EB608B"/>
    <w:rsid w:val="00EB60C6"/>
    <w:rsid w:val="00EC5396"/>
    <w:rsid w:val="00EE0281"/>
    <w:rsid w:val="00EE3CE7"/>
    <w:rsid w:val="00EF165A"/>
    <w:rsid w:val="00EF3724"/>
    <w:rsid w:val="00F36B70"/>
    <w:rsid w:val="00F55C02"/>
    <w:rsid w:val="00F61D5E"/>
    <w:rsid w:val="00FE38CA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095F4"/>
  <w15:docId w15:val="{A2DEF94E-717E-47A8-AD86-A549183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EE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47F0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7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76AB-430C-4FC4-A0D4-F8C19409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Pulido Maciel</dc:creator>
  <cp:lastModifiedBy>Hugo Pulido Maciel</cp:lastModifiedBy>
  <cp:revision>9</cp:revision>
  <cp:lastPrinted>2020-01-16T18:51:00Z</cp:lastPrinted>
  <dcterms:created xsi:type="dcterms:W3CDTF">2020-09-24T21:36:00Z</dcterms:created>
  <dcterms:modified xsi:type="dcterms:W3CDTF">2020-09-25T01:26:00Z</dcterms:modified>
</cp:coreProperties>
</file>