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3135F" w14:textId="253CD9BE" w:rsidR="001A7BC8" w:rsidRPr="008003B0" w:rsidRDefault="001A7BC8" w:rsidP="001A7BC8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b/>
          <w:sz w:val="24"/>
          <w:szCs w:val="24"/>
          <w:lang w:val="es-ES" w:eastAsia="ar-SA"/>
        </w:rPr>
      </w:pPr>
      <w:r w:rsidRP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>ACUERDO DE LA COMISIÓN DE INVESTIGACIÓN Y ESTUDIOS ELECTORALES,</w:t>
      </w:r>
      <w:r w:rsidR="005D00FD" w:rsidRP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 xml:space="preserve"> MEDIANTE EL CUAL </w:t>
      </w:r>
      <w:r w:rsid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 xml:space="preserve">PROPONE AL CONSEJO GENERAL </w:t>
      </w:r>
      <w:r w:rsidR="00794A9E" w:rsidRP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 xml:space="preserve">LA NUEVA CONFORMACIÓN DE COLECCIONES Y SERIES </w:t>
      </w:r>
      <w:r w:rsidR="00384721" w:rsidRP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>PARA EL</w:t>
      </w:r>
      <w:bookmarkStart w:id="0" w:name="_GoBack"/>
      <w:bookmarkEnd w:id="0"/>
      <w:r w:rsidR="00794A9E" w:rsidRP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 xml:space="preserve"> CATÁLOGO DE PUBLICACIONES DEL</w:t>
      </w:r>
      <w:r w:rsidR="005D00FD" w:rsidRP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 xml:space="preserve"> INSTITUTO ELECTORAL Y DE PARTICIPACIÓN CIUDADANA DEL ESTADO DE JALISCO</w:t>
      </w:r>
      <w:r w:rsid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>, PARA SU APROBACIÓN</w:t>
      </w:r>
      <w:r w:rsidR="005D00FD" w:rsidRP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>.</w:t>
      </w:r>
    </w:p>
    <w:p w14:paraId="415AFF26" w14:textId="77777777" w:rsidR="001A7BC8" w:rsidRPr="008003B0" w:rsidRDefault="001A7BC8" w:rsidP="005D00FD">
      <w:pPr>
        <w:suppressAutoHyphens/>
        <w:spacing w:after="0" w:line="276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es-ES" w:eastAsia="ar-SA"/>
        </w:rPr>
      </w:pPr>
    </w:p>
    <w:p w14:paraId="152FD5AB" w14:textId="77777777" w:rsidR="00A74A7C" w:rsidRPr="008003B0" w:rsidRDefault="00A74A7C" w:rsidP="001A7BC8">
      <w:pPr>
        <w:suppressAutoHyphens/>
        <w:spacing w:after="0"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</w:pPr>
    </w:p>
    <w:p w14:paraId="5AFB3443" w14:textId="70129D77" w:rsidR="001A7BC8" w:rsidRPr="008003B0" w:rsidRDefault="001A7BC8" w:rsidP="001A7BC8">
      <w:pPr>
        <w:suppressAutoHyphens/>
        <w:spacing w:after="0"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</w:pPr>
      <w:r w:rsidRPr="008003B0"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  <w:t>A N T E C E D E N T E S</w:t>
      </w:r>
    </w:p>
    <w:p w14:paraId="7210D7E9" w14:textId="77777777" w:rsidR="001A7BC8" w:rsidRPr="008003B0" w:rsidRDefault="001A7BC8" w:rsidP="001A7BC8">
      <w:pPr>
        <w:suppressAutoHyphens/>
        <w:spacing w:after="0"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pt-BR" w:eastAsia="ar-SA"/>
        </w:rPr>
      </w:pPr>
    </w:p>
    <w:p w14:paraId="27EAE002" w14:textId="171F1654" w:rsidR="007B080C" w:rsidRPr="008003B0" w:rsidRDefault="007B080C" w:rsidP="001A7BC8">
      <w:pPr>
        <w:widowControl w:val="0"/>
        <w:suppressAutoHyphens/>
        <w:spacing w:after="0" w:line="276" w:lineRule="auto"/>
        <w:jc w:val="both"/>
        <w:rPr>
          <w:rFonts w:ascii="Trebuchet MS" w:eastAsia="Times New Roman" w:hAnsi="Trebuchet MS" w:cs="Times New Roman"/>
          <w:sz w:val="24"/>
          <w:szCs w:val="24"/>
          <w:lang w:eastAsia="ar-SA"/>
        </w:rPr>
      </w:pPr>
      <w:r w:rsidRP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>1. Lineamientos generales para la política editorial.</w:t>
      </w:r>
      <w:r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  El 19 de julio de 2011, el Consejo General, en sesión extraordinaria, emitió el acuerdo identificado con la clave IEPC-ACG-021/11</w:t>
      </w:r>
      <w:r w:rsidRPr="008003B0">
        <w:rPr>
          <w:rStyle w:val="Refdenotaalpie"/>
          <w:rFonts w:ascii="Trebuchet MS" w:eastAsia="Times New Roman" w:hAnsi="Trebuchet MS" w:cs="Times New Roman"/>
          <w:sz w:val="24"/>
          <w:szCs w:val="24"/>
          <w:lang w:eastAsia="ar-SA"/>
        </w:rPr>
        <w:footnoteReference w:id="1"/>
      </w:r>
      <w:r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>, mediante el cual se aprobaron los Lineamientos Generales para la Política Editorial del Instituto Electoral y de Participación Ciudadana del Estado de Jalisco.</w:t>
      </w:r>
    </w:p>
    <w:p w14:paraId="1899156E" w14:textId="77777777" w:rsidR="007B080C" w:rsidRPr="008003B0" w:rsidRDefault="007B080C" w:rsidP="001A7BC8">
      <w:pPr>
        <w:widowControl w:val="0"/>
        <w:suppressAutoHyphens/>
        <w:spacing w:after="0" w:line="276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ar-SA"/>
        </w:rPr>
      </w:pPr>
    </w:p>
    <w:p w14:paraId="0D6EFD6F" w14:textId="7BB92F56" w:rsidR="00FC77B9" w:rsidRPr="008003B0" w:rsidRDefault="007B080C" w:rsidP="00FC77B9">
      <w:pPr>
        <w:widowControl w:val="0"/>
        <w:suppressAutoHyphens/>
        <w:spacing w:after="0" w:line="276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</w:pPr>
      <w:r w:rsidRPr="008003B0"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  <w:t>2</w:t>
      </w:r>
      <w:r w:rsidR="001A7BC8" w:rsidRPr="008003B0"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  <w:t>.</w:t>
      </w:r>
      <w:r w:rsidR="001A7BC8" w:rsidRP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 xml:space="preserve"> Aprobación de los Lineamientos del Comité E</w:t>
      </w:r>
      <w:r w:rsidR="005D00FD" w:rsidRP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>ditorial</w:t>
      </w:r>
      <w:r w:rsidR="001A7BC8" w:rsidRPr="008003B0"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  <w:t>.</w:t>
      </w:r>
      <w:r w:rsidR="001A7BC8" w:rsidRPr="008003B0">
        <w:rPr>
          <w:rFonts w:ascii="Trebuchet MS" w:eastAsia="Times New Roman" w:hAnsi="Trebuchet MS" w:cs="Times New Roman"/>
          <w:sz w:val="24"/>
          <w:szCs w:val="24"/>
          <w:lang w:val="pt-BR" w:eastAsia="ar-SA"/>
        </w:rPr>
        <w:t xml:space="preserve"> El 24 de</w:t>
      </w:r>
      <w:r w:rsidR="001A7BC8"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 julio de </w:t>
      </w:r>
      <w:r w:rsidR="001A7BC8" w:rsidRPr="008003B0">
        <w:rPr>
          <w:rFonts w:ascii="Trebuchet MS" w:eastAsia="Times New Roman" w:hAnsi="Trebuchet MS" w:cs="Times New Roman"/>
          <w:sz w:val="24"/>
          <w:szCs w:val="24"/>
          <w:lang w:val="pt-BR" w:eastAsia="ar-SA"/>
        </w:rPr>
        <w:t>2015,</w:t>
      </w:r>
      <w:r w:rsidR="001A7BC8"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 en sesión ordinaria</w:t>
      </w:r>
      <w:r w:rsidR="001A7BC8" w:rsidRPr="008003B0">
        <w:rPr>
          <w:rFonts w:ascii="Trebuchet MS" w:eastAsia="Times New Roman" w:hAnsi="Trebuchet MS" w:cs="Times New Roman"/>
          <w:sz w:val="24"/>
          <w:szCs w:val="24"/>
          <w:lang w:val="pt-BR" w:eastAsia="ar-SA"/>
        </w:rPr>
        <w:t>,</w:t>
      </w:r>
      <w:r w:rsidR="001A7BC8"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 el Consejo</w:t>
      </w:r>
      <w:r w:rsidR="001A7BC8" w:rsidRPr="008003B0">
        <w:rPr>
          <w:rFonts w:ascii="Trebuchet MS" w:eastAsia="Times New Roman" w:hAnsi="Trebuchet MS" w:cs="Times New Roman"/>
          <w:sz w:val="24"/>
          <w:szCs w:val="24"/>
          <w:lang w:val="pt-BR" w:eastAsia="ar-SA"/>
        </w:rPr>
        <w:t xml:space="preserve"> General,</w:t>
      </w:r>
      <w:r w:rsidR="001A7BC8"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 mediante acuerdo IEPC-ACG-301/2015, resolvió aprobar en</w:t>
      </w:r>
      <w:r w:rsidR="001A7BC8" w:rsidRPr="008003B0">
        <w:rPr>
          <w:rFonts w:ascii="Trebuchet MS" w:eastAsia="Times New Roman" w:hAnsi="Trebuchet MS" w:cs="Times New Roman"/>
          <w:sz w:val="24"/>
          <w:szCs w:val="24"/>
          <w:lang w:val="pt-BR" w:eastAsia="ar-SA"/>
        </w:rPr>
        <w:t xml:space="preserve"> sus términos</w:t>
      </w:r>
      <w:r w:rsidR="001A7BC8"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 el dictamen</w:t>
      </w:r>
      <w:r w:rsidR="001A7BC8" w:rsidRPr="008003B0">
        <w:rPr>
          <w:rFonts w:ascii="Trebuchet MS" w:eastAsia="Times New Roman" w:hAnsi="Trebuchet MS" w:cs="Times New Roman"/>
          <w:sz w:val="24"/>
          <w:szCs w:val="24"/>
          <w:lang w:val="pt-BR" w:eastAsia="ar-SA"/>
        </w:rPr>
        <w:t xml:space="preserve"> de</w:t>
      </w:r>
      <w:r w:rsidR="001A7BC8"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 la Comisión</w:t>
      </w:r>
      <w:r w:rsidR="001A7BC8" w:rsidRPr="008003B0">
        <w:rPr>
          <w:rFonts w:ascii="Trebuchet MS" w:eastAsia="Times New Roman" w:hAnsi="Trebuchet MS" w:cs="Times New Roman"/>
          <w:sz w:val="24"/>
          <w:szCs w:val="24"/>
          <w:lang w:val="pt-BR" w:eastAsia="ar-SA"/>
        </w:rPr>
        <w:t xml:space="preserve"> de</w:t>
      </w:r>
      <w:r w:rsidR="001A7BC8"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 Investigación y Estudioso Electorales</w:t>
      </w:r>
      <w:r w:rsidR="001A7BC8" w:rsidRPr="008003B0">
        <w:rPr>
          <w:rFonts w:ascii="Trebuchet MS" w:eastAsia="Times New Roman" w:hAnsi="Trebuchet MS" w:cs="Times New Roman"/>
          <w:sz w:val="24"/>
          <w:szCs w:val="24"/>
          <w:lang w:val="pt-BR" w:eastAsia="ar-SA"/>
        </w:rPr>
        <w:t xml:space="preserve">, mediante </w:t>
      </w:r>
      <w:r w:rsidR="001A7BC8"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el cual propuso el proyecto de Lineamientos del Comité Editorial del Instituto Electoral y de Participación Ciudadana del Estado de Jalisco. </w:t>
      </w:r>
      <w:r w:rsidR="001A7BC8" w:rsidRPr="008003B0">
        <w:rPr>
          <w:rFonts w:ascii="Trebuchet MS" w:eastAsia="Times New Roman" w:hAnsi="Trebuchet MS" w:cs="Times New Roman"/>
          <w:sz w:val="24"/>
          <w:szCs w:val="24"/>
          <w:lang w:val="pt-BR" w:eastAsia="ar-SA"/>
        </w:rPr>
        <w:t xml:space="preserve"> </w:t>
      </w:r>
      <w:r w:rsidR="001A7BC8" w:rsidRPr="008003B0"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  <w:t xml:space="preserve"> </w:t>
      </w:r>
    </w:p>
    <w:p w14:paraId="0A5A01C3" w14:textId="3A0251B5" w:rsidR="00EA26D5" w:rsidRPr="008003B0" w:rsidRDefault="00EA26D5" w:rsidP="00FC77B9">
      <w:pPr>
        <w:widowControl w:val="0"/>
        <w:suppressAutoHyphens/>
        <w:spacing w:after="0" w:line="276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ar-SA"/>
        </w:rPr>
      </w:pPr>
    </w:p>
    <w:p w14:paraId="11C63479" w14:textId="70CD4913" w:rsidR="00FC77B9" w:rsidRPr="008003B0" w:rsidRDefault="00FC77B9" w:rsidP="00FC77B9">
      <w:pPr>
        <w:widowControl w:val="0"/>
        <w:suppressAutoHyphens/>
        <w:spacing w:after="0" w:line="276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eastAsia="ar-SA"/>
        </w:rPr>
      </w:pPr>
    </w:p>
    <w:p w14:paraId="5BACBBF7" w14:textId="77777777" w:rsidR="00936229" w:rsidRPr="008003B0" w:rsidRDefault="00936229" w:rsidP="001A7BC8">
      <w:pPr>
        <w:suppressAutoHyphens/>
        <w:spacing w:after="0" w:line="276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ar-SA"/>
        </w:rPr>
      </w:pPr>
    </w:p>
    <w:p w14:paraId="6E506BEE" w14:textId="0E795D35" w:rsidR="001A7BC8" w:rsidRPr="008003B0" w:rsidRDefault="008003B0" w:rsidP="001A7BC8">
      <w:pPr>
        <w:suppressAutoHyphens/>
        <w:spacing w:after="0"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8003B0">
        <w:rPr>
          <w:rFonts w:ascii="Trebuchet MS" w:eastAsia="Times New Roman" w:hAnsi="Trebuchet MS" w:cs="Times New Roman"/>
          <w:b/>
          <w:sz w:val="24"/>
          <w:szCs w:val="24"/>
          <w:lang w:val="es-ES" w:eastAsia="ar-SA"/>
        </w:rPr>
        <w:t>3</w:t>
      </w:r>
      <w:r w:rsidR="00FC77B9" w:rsidRPr="008003B0">
        <w:rPr>
          <w:rFonts w:ascii="Trebuchet MS" w:eastAsia="Times New Roman" w:hAnsi="Trebuchet MS" w:cs="Times New Roman"/>
          <w:b/>
          <w:sz w:val="24"/>
          <w:szCs w:val="24"/>
          <w:lang w:val="es-ES" w:eastAsia="ar-SA"/>
        </w:rPr>
        <w:t xml:space="preserve">. </w:t>
      </w:r>
      <w:r w:rsidR="001A7BC8" w:rsidRPr="008003B0">
        <w:rPr>
          <w:rFonts w:ascii="Trebuchet MS" w:eastAsia="Times New Roman" w:hAnsi="Trebuchet MS" w:cs="Times New Roman"/>
          <w:b/>
          <w:sz w:val="24"/>
          <w:szCs w:val="24"/>
          <w:lang w:val="es-ES" w:eastAsia="ar-SA"/>
        </w:rPr>
        <w:t>Integración de la Comisión de Investigación y Estudios Electorales.</w:t>
      </w:r>
      <w:r w:rsidR="001A7BC8" w:rsidRPr="008003B0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 xml:space="preserve"> El 8 de octubre de 2020, mediante el acuerdo identificado con la clave IEPC-ACG-032/2020</w:t>
      </w:r>
      <w:r w:rsidR="001A7BC8" w:rsidRPr="008003B0">
        <w:rPr>
          <w:rFonts w:ascii="Trebuchet MS" w:eastAsia="Times New Roman" w:hAnsi="Trebuchet MS" w:cs="Times New Roman"/>
          <w:sz w:val="24"/>
          <w:szCs w:val="24"/>
          <w:vertAlign w:val="superscript"/>
          <w:lang w:val="es-ES" w:eastAsia="ar-SA"/>
        </w:rPr>
        <w:footnoteReference w:id="2"/>
      </w:r>
      <w:r w:rsidR="001A7BC8" w:rsidRPr="008003B0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, el Consejo General de este Instituto aprobó la integración de la Comisión de Investigación y Estudios Electorales, habiéndose designado al consejero electoral Moisés Pérez Vega y a las consejeras electorales Brenda Judith Serafín Morfín y Claudia Alejandra Vargas Bautista</w:t>
      </w:r>
      <w:r w:rsidR="001A7BC8" w:rsidRPr="008003B0">
        <w:rPr>
          <w:rFonts w:ascii="Trebuchet MS" w:eastAsia="Times New Roman" w:hAnsi="Trebuchet MS" w:cs="Arial"/>
          <w:bCs/>
          <w:sz w:val="24"/>
          <w:szCs w:val="24"/>
          <w:lang w:val="es-ES" w:eastAsia="es-ES"/>
        </w:rPr>
        <w:t>,</w:t>
      </w:r>
      <w:r w:rsidR="001A7BC8" w:rsidRPr="008003B0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 xml:space="preserve"> fungiendo como presidenta de </w:t>
      </w:r>
      <w:r w:rsidR="00386BE1" w:rsidRPr="008003B0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la misma.</w:t>
      </w:r>
    </w:p>
    <w:p w14:paraId="5468877D" w14:textId="77777777" w:rsidR="000A70E7" w:rsidRPr="008003B0" w:rsidRDefault="000A70E7" w:rsidP="001A7BC8">
      <w:pPr>
        <w:suppressAutoHyphens/>
        <w:spacing w:after="0" w:line="276" w:lineRule="auto"/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</w:p>
    <w:p w14:paraId="6A933980" w14:textId="60F9851B" w:rsidR="00936229" w:rsidRPr="008003B0" w:rsidRDefault="008003B0" w:rsidP="000A70E7">
      <w:pPr>
        <w:pStyle w:val="Sinespaciado"/>
        <w:spacing w:line="276" w:lineRule="auto"/>
        <w:jc w:val="both"/>
        <w:rPr>
          <w:rFonts w:ascii="Trebuchet MS" w:eastAsia="Calibri" w:hAnsi="Trebuchet MS"/>
          <w:b/>
          <w:sz w:val="24"/>
          <w:szCs w:val="24"/>
        </w:rPr>
      </w:pPr>
      <w:r w:rsidRPr="008003B0">
        <w:rPr>
          <w:rFonts w:ascii="Trebuchet MS" w:eastAsia="Calibri" w:hAnsi="Trebuchet MS"/>
          <w:b/>
          <w:sz w:val="24"/>
          <w:szCs w:val="24"/>
        </w:rPr>
        <w:t>4</w:t>
      </w:r>
      <w:r w:rsidR="00F5564B" w:rsidRPr="008003B0">
        <w:rPr>
          <w:rFonts w:ascii="Trebuchet MS" w:eastAsia="Calibri" w:hAnsi="Trebuchet MS"/>
          <w:b/>
          <w:sz w:val="24"/>
          <w:szCs w:val="24"/>
        </w:rPr>
        <w:t xml:space="preserve">. </w:t>
      </w:r>
      <w:r w:rsidR="00936229" w:rsidRPr="008003B0">
        <w:rPr>
          <w:rFonts w:ascii="Trebuchet MS" w:eastAsia="Calibri" w:hAnsi="Trebuchet MS"/>
          <w:b/>
          <w:sz w:val="24"/>
          <w:szCs w:val="24"/>
        </w:rPr>
        <w:t>Integración del Comité Editorial.</w:t>
      </w:r>
      <w:r w:rsidR="00936229" w:rsidRPr="008003B0">
        <w:rPr>
          <w:rFonts w:ascii="Trebuchet MS" w:eastAsia="Calibri" w:hAnsi="Trebuchet MS"/>
          <w:sz w:val="24"/>
          <w:szCs w:val="24"/>
        </w:rPr>
        <w:t xml:space="preserve"> </w:t>
      </w:r>
      <w:r w:rsidR="00A56DF5" w:rsidRPr="008003B0">
        <w:rPr>
          <w:rFonts w:ascii="Trebuchet MS" w:eastAsia="Calibri" w:hAnsi="Trebuchet MS"/>
          <w:sz w:val="24"/>
          <w:szCs w:val="24"/>
        </w:rPr>
        <w:t>El 30 de mayo de 2021, m</w:t>
      </w:r>
      <w:r w:rsidR="00936229" w:rsidRPr="008003B0">
        <w:rPr>
          <w:rFonts w:ascii="Trebuchet MS" w:eastAsia="Calibri" w:hAnsi="Trebuchet MS"/>
          <w:sz w:val="24"/>
          <w:szCs w:val="24"/>
        </w:rPr>
        <w:t>ediante el acuerdo identificado con la clave IEPC-ACG-1</w:t>
      </w:r>
      <w:r w:rsidR="00A56DF5" w:rsidRPr="008003B0">
        <w:rPr>
          <w:rFonts w:ascii="Trebuchet MS" w:eastAsia="Calibri" w:hAnsi="Trebuchet MS"/>
          <w:sz w:val="24"/>
          <w:szCs w:val="24"/>
        </w:rPr>
        <w:t>5</w:t>
      </w:r>
      <w:r w:rsidR="00936229" w:rsidRPr="008003B0">
        <w:rPr>
          <w:rFonts w:ascii="Trebuchet MS" w:eastAsia="Calibri" w:hAnsi="Trebuchet MS"/>
          <w:sz w:val="24"/>
          <w:szCs w:val="24"/>
        </w:rPr>
        <w:t>5/2021</w:t>
      </w:r>
      <w:r w:rsidR="000B0E9A" w:rsidRPr="008003B0">
        <w:rPr>
          <w:rStyle w:val="Refdenotaalpie"/>
          <w:rFonts w:ascii="Trebuchet MS" w:eastAsia="Calibri" w:hAnsi="Trebuchet MS"/>
          <w:sz w:val="24"/>
          <w:szCs w:val="24"/>
        </w:rPr>
        <w:footnoteReference w:id="3"/>
      </w:r>
      <w:r w:rsidR="000B0E9A" w:rsidRPr="008003B0">
        <w:rPr>
          <w:rFonts w:ascii="Trebuchet MS" w:eastAsia="Calibri" w:hAnsi="Trebuchet MS"/>
          <w:sz w:val="24"/>
          <w:szCs w:val="24"/>
        </w:rPr>
        <w:t>,</w:t>
      </w:r>
      <w:r w:rsidR="00936229" w:rsidRPr="008003B0">
        <w:rPr>
          <w:rFonts w:ascii="Trebuchet MS" w:eastAsia="Calibri" w:hAnsi="Trebuchet MS"/>
          <w:sz w:val="24"/>
          <w:szCs w:val="24"/>
        </w:rPr>
        <w:t xml:space="preserve"> el Consejo General de este Instituto aprobó la designación de las personas propuestas para integrar el Comité Editorial de la Comisión de Investigación y Estudios Electorales.</w:t>
      </w:r>
    </w:p>
    <w:p w14:paraId="2D11CB94" w14:textId="77777777" w:rsidR="00936229" w:rsidRPr="008003B0" w:rsidRDefault="00936229" w:rsidP="000A70E7">
      <w:pPr>
        <w:pStyle w:val="Sinespaciado"/>
        <w:spacing w:line="276" w:lineRule="auto"/>
        <w:jc w:val="both"/>
        <w:rPr>
          <w:rFonts w:ascii="Trebuchet MS" w:eastAsia="Calibri" w:hAnsi="Trebuchet MS"/>
          <w:b/>
          <w:sz w:val="24"/>
          <w:szCs w:val="24"/>
        </w:rPr>
      </w:pPr>
    </w:p>
    <w:p w14:paraId="4E949575" w14:textId="5F744841" w:rsidR="00597355" w:rsidRDefault="008003B0" w:rsidP="000A70E7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8003B0">
        <w:rPr>
          <w:rFonts w:ascii="Trebuchet MS" w:eastAsia="Calibri" w:hAnsi="Trebuchet MS"/>
          <w:b/>
          <w:sz w:val="24"/>
          <w:szCs w:val="24"/>
        </w:rPr>
        <w:t>5</w:t>
      </w:r>
      <w:r w:rsidR="000A70E7" w:rsidRPr="008003B0">
        <w:rPr>
          <w:rFonts w:ascii="Trebuchet MS" w:eastAsia="Calibri" w:hAnsi="Trebuchet MS"/>
          <w:b/>
          <w:sz w:val="24"/>
          <w:szCs w:val="24"/>
        </w:rPr>
        <w:t xml:space="preserve">. </w:t>
      </w:r>
      <w:r w:rsidR="00597355">
        <w:rPr>
          <w:rFonts w:ascii="Trebuchet MS" w:eastAsia="Calibri" w:hAnsi="Trebuchet MS"/>
          <w:b/>
          <w:sz w:val="24"/>
          <w:szCs w:val="24"/>
        </w:rPr>
        <w:t>Presentación de informes sobre la revisión del Catálogo Editorial.</w:t>
      </w:r>
      <w:r w:rsidR="00597355">
        <w:rPr>
          <w:rFonts w:ascii="Trebuchet MS" w:eastAsia="Calibri" w:hAnsi="Trebuchet MS"/>
          <w:sz w:val="24"/>
          <w:szCs w:val="24"/>
        </w:rPr>
        <w:t xml:space="preserve"> El 27 de enero de 2022, las y los integrantes del Comité Editorial de la Comisión de Investigación y Estudios Electorales, en la primera sesión ordinaria, entre otros temas, abordaron el relacionado con los informes sobre la revisión del Catálogo Editorial de este organismo electoral.</w:t>
      </w:r>
    </w:p>
    <w:p w14:paraId="0AAC725D" w14:textId="77777777" w:rsidR="00597355" w:rsidRDefault="00597355" w:rsidP="000A70E7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14:paraId="61DD70D3" w14:textId="285C321F" w:rsidR="00597355" w:rsidRDefault="00597355" w:rsidP="000A70E7">
      <w:pPr>
        <w:pStyle w:val="Sinespaciado"/>
        <w:spacing w:line="276" w:lineRule="auto"/>
        <w:jc w:val="both"/>
        <w:rPr>
          <w:rFonts w:ascii="Trebuchet MS" w:eastAsia="Calibri" w:hAnsi="Trebuchet MS"/>
          <w:b/>
          <w:sz w:val="24"/>
          <w:szCs w:val="24"/>
        </w:rPr>
      </w:pPr>
      <w:r>
        <w:rPr>
          <w:rFonts w:ascii="Trebuchet MS" w:eastAsia="Calibri" w:hAnsi="Trebuchet MS"/>
          <w:sz w:val="24"/>
          <w:szCs w:val="24"/>
        </w:rPr>
        <w:t xml:space="preserve">En los informes presentados por cada uno de los miembros del Comité Editorial, coincidieron en la necesidad de reorganizar las colecciones existentes en un número menor.       </w:t>
      </w:r>
      <w:r>
        <w:rPr>
          <w:rFonts w:ascii="Trebuchet MS" w:eastAsia="Calibri" w:hAnsi="Trebuchet MS"/>
          <w:b/>
          <w:sz w:val="24"/>
          <w:szCs w:val="24"/>
        </w:rPr>
        <w:t xml:space="preserve">  </w:t>
      </w:r>
    </w:p>
    <w:p w14:paraId="7733F4FA" w14:textId="77777777" w:rsidR="00597355" w:rsidRDefault="00597355" w:rsidP="000A70E7">
      <w:pPr>
        <w:pStyle w:val="Sinespaciado"/>
        <w:spacing w:line="276" w:lineRule="auto"/>
        <w:jc w:val="both"/>
        <w:rPr>
          <w:rFonts w:ascii="Trebuchet MS" w:eastAsia="Calibri" w:hAnsi="Trebuchet MS"/>
          <w:b/>
          <w:sz w:val="24"/>
          <w:szCs w:val="24"/>
        </w:rPr>
      </w:pPr>
    </w:p>
    <w:p w14:paraId="26796976" w14:textId="76C82045" w:rsidR="000A70E7" w:rsidRPr="008003B0" w:rsidRDefault="00597355" w:rsidP="000A70E7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>
        <w:rPr>
          <w:rFonts w:ascii="Trebuchet MS" w:eastAsia="Calibri" w:hAnsi="Trebuchet MS"/>
          <w:b/>
          <w:sz w:val="24"/>
          <w:szCs w:val="24"/>
        </w:rPr>
        <w:t xml:space="preserve">6. </w:t>
      </w:r>
      <w:r w:rsidR="000A70E7" w:rsidRPr="008003B0">
        <w:rPr>
          <w:rFonts w:ascii="Trebuchet MS" w:eastAsia="Calibri" w:hAnsi="Trebuchet MS"/>
          <w:b/>
          <w:sz w:val="24"/>
          <w:szCs w:val="24"/>
        </w:rPr>
        <w:t xml:space="preserve">Acuerdo de </w:t>
      </w:r>
      <w:r w:rsidR="00386BE1" w:rsidRPr="008003B0">
        <w:rPr>
          <w:rFonts w:ascii="Trebuchet MS" w:eastAsia="Calibri" w:hAnsi="Trebuchet MS"/>
          <w:b/>
          <w:sz w:val="24"/>
          <w:szCs w:val="24"/>
        </w:rPr>
        <w:t>R</w:t>
      </w:r>
      <w:r w:rsidR="000A70E7" w:rsidRPr="008003B0">
        <w:rPr>
          <w:rFonts w:ascii="Trebuchet MS" w:eastAsia="Calibri" w:hAnsi="Trebuchet MS"/>
          <w:b/>
          <w:sz w:val="24"/>
          <w:szCs w:val="24"/>
        </w:rPr>
        <w:t xml:space="preserve">otación de la </w:t>
      </w:r>
      <w:r w:rsidR="007B080C" w:rsidRPr="008003B0">
        <w:rPr>
          <w:rFonts w:ascii="Trebuchet MS" w:eastAsia="Calibri" w:hAnsi="Trebuchet MS"/>
          <w:b/>
          <w:sz w:val="24"/>
          <w:szCs w:val="24"/>
        </w:rPr>
        <w:t>p</w:t>
      </w:r>
      <w:r w:rsidR="000A70E7" w:rsidRPr="008003B0">
        <w:rPr>
          <w:rFonts w:ascii="Trebuchet MS" w:eastAsia="Calibri" w:hAnsi="Trebuchet MS"/>
          <w:b/>
          <w:sz w:val="24"/>
          <w:szCs w:val="24"/>
        </w:rPr>
        <w:t xml:space="preserve">residencia de las </w:t>
      </w:r>
      <w:r w:rsidR="00A56DF5" w:rsidRPr="008003B0">
        <w:rPr>
          <w:rFonts w:ascii="Trebuchet MS" w:eastAsia="Calibri" w:hAnsi="Trebuchet MS"/>
          <w:b/>
          <w:sz w:val="24"/>
          <w:szCs w:val="24"/>
        </w:rPr>
        <w:t>c</w:t>
      </w:r>
      <w:r w:rsidR="000A70E7" w:rsidRPr="008003B0">
        <w:rPr>
          <w:rFonts w:ascii="Trebuchet MS" w:eastAsia="Calibri" w:hAnsi="Trebuchet MS"/>
          <w:b/>
          <w:sz w:val="24"/>
          <w:szCs w:val="24"/>
        </w:rPr>
        <w:t>omisiones.</w:t>
      </w:r>
      <w:r w:rsidR="000A70E7" w:rsidRPr="008003B0">
        <w:rPr>
          <w:rFonts w:ascii="Trebuchet MS" w:eastAsia="Calibri" w:hAnsi="Trebuchet MS"/>
          <w:sz w:val="24"/>
          <w:szCs w:val="24"/>
        </w:rPr>
        <w:t xml:space="preserve"> El 15 de febrero de 2022, mediante el acuerdo identificado con la clave IEPC-ACG-010/2022, el Consejo General de este Instituto aprobó la rotación en la presidencia de las comisiones de este organismo electoral,</w:t>
      </w:r>
      <w:r w:rsidR="000A70E7" w:rsidRPr="008003B0">
        <w:rPr>
          <w:rFonts w:ascii="Trebuchet MS" w:hAnsi="Trebuchet MS"/>
          <w:sz w:val="24"/>
          <w:szCs w:val="24"/>
        </w:rPr>
        <w:t xml:space="preserve"> </w:t>
      </w:r>
      <w:r w:rsidR="000A70E7" w:rsidRPr="008003B0">
        <w:rPr>
          <w:rFonts w:ascii="Trebuchet MS" w:eastAsia="Calibri" w:hAnsi="Trebuchet MS"/>
          <w:sz w:val="24"/>
          <w:szCs w:val="24"/>
        </w:rPr>
        <w:t>habiéndose determinado que el consejero electoral Moisés Pérez Vega, será quien presida la Comisión de Investigación y Estudios Electorales, hasta febrero de 2023.</w:t>
      </w:r>
    </w:p>
    <w:p w14:paraId="04DAA5E8" w14:textId="77777777" w:rsidR="009D607A" w:rsidRPr="008003B0" w:rsidRDefault="009D607A" w:rsidP="000A70E7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14:paraId="31F03E3B" w14:textId="0B04D197" w:rsidR="009D607A" w:rsidRPr="008003B0" w:rsidRDefault="00597355" w:rsidP="009D607A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</w:pPr>
      <w:r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  <w:t>7</w:t>
      </w:r>
      <w:r w:rsidR="009D607A" w:rsidRPr="008003B0"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  <w:t>.</w:t>
      </w:r>
      <w:r w:rsidR="002E4D77" w:rsidRPr="008003B0"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  <w:t xml:space="preserve"> </w:t>
      </w:r>
      <w:r w:rsidR="009D607A" w:rsidRPr="008003B0"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  <w:t>Proyecto de</w:t>
      </w:r>
      <w:r w:rsidR="008443DE" w:rsidRPr="008003B0"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  <w:t xml:space="preserve"> la </w:t>
      </w:r>
      <w:r w:rsidR="002E4D77" w:rsidRPr="008003B0"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  <w:t>Nueva Conformación</w:t>
      </w:r>
      <w:r w:rsidR="008443DE" w:rsidRPr="008003B0"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  <w:t xml:space="preserve"> </w:t>
      </w:r>
      <w:r w:rsidR="002E4D77" w:rsidRPr="008003B0"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  <w:t xml:space="preserve">de </w:t>
      </w:r>
      <w:r w:rsidR="008443DE" w:rsidRPr="008003B0"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  <w:t>Colecciones</w:t>
      </w:r>
      <w:r w:rsidR="002E4D77" w:rsidRPr="008003B0"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  <w:t xml:space="preserve"> y Series</w:t>
      </w:r>
      <w:r w:rsidR="008443DE" w:rsidRPr="008003B0"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  <w:t xml:space="preserve"> del Catálogo de Publicaciones. </w:t>
      </w:r>
      <w:r w:rsidR="008443DE" w:rsidRPr="008003B0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>E</w:t>
      </w:r>
      <w:r w:rsidR="002E4D77" w:rsidRPr="008003B0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 xml:space="preserve">l </w:t>
      </w:r>
      <w:r w:rsidR="009D607A" w:rsidRPr="008003B0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 xml:space="preserve">31 de marzo de 2022, se reunieron las y los integrantes del Comité Editorial de la Comisión de Investigación y Estudios Electorales para celebrar la segunda sesión ordinaria, en la que, entre otras determinaciones, aprobaron el proyecto de </w:t>
      </w:r>
      <w:r w:rsidR="008443DE" w:rsidRPr="008003B0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>la nueva Conformación de las Colecciones</w:t>
      </w:r>
      <w:r w:rsidR="002E4D77" w:rsidRPr="008003B0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 xml:space="preserve"> y Series</w:t>
      </w:r>
      <w:r w:rsidR="008443DE" w:rsidRPr="008003B0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 xml:space="preserve"> del Catálogo de Publicaciones del Instituto</w:t>
      </w:r>
      <w:r w:rsidR="009D607A" w:rsidRPr="008003B0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 xml:space="preserve"> Electoral. </w:t>
      </w:r>
    </w:p>
    <w:p w14:paraId="25686A03" w14:textId="77777777" w:rsidR="001A7BC8" w:rsidRPr="008003B0" w:rsidRDefault="001A7BC8" w:rsidP="00683C01">
      <w:pPr>
        <w:suppressAutoHyphens/>
        <w:snapToGrid w:val="0"/>
        <w:spacing w:after="0" w:line="276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es-ES" w:eastAsia="ar-SA"/>
        </w:rPr>
      </w:pPr>
    </w:p>
    <w:p w14:paraId="38D1CC22" w14:textId="77777777" w:rsidR="00683C01" w:rsidRPr="008003B0" w:rsidRDefault="00683C01" w:rsidP="001A7BC8">
      <w:pPr>
        <w:suppressAutoHyphens/>
        <w:snapToGrid w:val="0"/>
        <w:spacing w:after="0"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ar-SA"/>
        </w:rPr>
      </w:pPr>
    </w:p>
    <w:p w14:paraId="63910400" w14:textId="33DFD816" w:rsidR="001A7BC8" w:rsidRPr="008003B0" w:rsidRDefault="001A7BC8" w:rsidP="001A7BC8">
      <w:pPr>
        <w:suppressAutoHyphens/>
        <w:snapToGrid w:val="0"/>
        <w:spacing w:after="0"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</w:pPr>
      <w:r w:rsidRPr="008003B0"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  <w:t>C O N S I D E R A N D O</w:t>
      </w:r>
      <w:r w:rsidR="005F1290" w:rsidRPr="008003B0"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  <w:t xml:space="preserve"> S</w:t>
      </w:r>
    </w:p>
    <w:p w14:paraId="4D53510F" w14:textId="77777777" w:rsidR="001A7BC8" w:rsidRPr="008003B0" w:rsidRDefault="001A7BC8" w:rsidP="001A7BC8">
      <w:pPr>
        <w:suppressAutoHyphens/>
        <w:spacing w:after="0"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</w:pPr>
    </w:p>
    <w:p w14:paraId="10599D38" w14:textId="77777777" w:rsidR="001A7BC8" w:rsidRPr="008003B0" w:rsidRDefault="001A7BC8" w:rsidP="001A7BC8">
      <w:pPr>
        <w:spacing w:after="0"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8003B0">
        <w:rPr>
          <w:rFonts w:ascii="Trebuchet MS" w:eastAsia="Calibri" w:hAnsi="Trebuchet MS" w:cs="Times New Roman"/>
          <w:b/>
          <w:sz w:val="24"/>
          <w:szCs w:val="24"/>
        </w:rPr>
        <w:lastRenderedPageBreak/>
        <w:t>I. Del Instituto Electoral y de Participación Ciudadana del Estado de Jalisco.</w:t>
      </w:r>
      <w:r w:rsidRPr="008003B0">
        <w:rPr>
          <w:rFonts w:ascii="Trebuchet MS" w:eastAsia="Calibri" w:hAnsi="Trebuchet MS" w:cs="Times New Roman"/>
          <w:sz w:val="24"/>
          <w:szCs w:val="24"/>
        </w:rPr>
        <w:t xml:space="preserve"> Es un organismo público local electoral, de carácter permanente, autónomo en su funcionamiento, independiente en sus decisiones, profesional en su desempeño, autoridad en la materia y dotado de personalidad jurídica y patrimonio propios; tiene como objetivos, entre otros, participar en el ejercicio de la función electoral consistente en ejercer las actividades relativas para realizar los procesos electorales de renovación de los poderes Legislativo y Ejecutivo, así como los ayuntamientos de la entidad; vigilar en el ámbito electoral el cumplimiento de la Constitución General de la República, la Constitución local y las leyes que se derivan de ambas. </w:t>
      </w:r>
    </w:p>
    <w:p w14:paraId="58F12EFB" w14:textId="77777777" w:rsidR="001A7BC8" w:rsidRPr="008003B0" w:rsidRDefault="001A7BC8" w:rsidP="001A7BC8">
      <w:pPr>
        <w:spacing w:after="0"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</w:p>
    <w:p w14:paraId="37A43185" w14:textId="77777777" w:rsidR="001A7BC8" w:rsidRPr="008003B0" w:rsidRDefault="001A7BC8" w:rsidP="001A7BC8">
      <w:pPr>
        <w:spacing w:after="0"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8003B0">
        <w:rPr>
          <w:rFonts w:ascii="Trebuchet MS" w:eastAsia="Calibri" w:hAnsi="Trebuchet MS" w:cs="Times New Roman"/>
          <w:sz w:val="24"/>
          <w:szCs w:val="24"/>
        </w:rPr>
        <w:t>Lo anterior de conformidad con los artículos 41, base V, apartado C; y 116, base IV, inciso c), de la Constitución Política de los Estados Unidos Mexicanos; 12, bases 111 y IV, de la Constitución Política del Estado de Jalisco; 115 y 116, párrafo 1, del Código Electoral del Estado de Jalisco.</w:t>
      </w:r>
    </w:p>
    <w:p w14:paraId="310C8918" w14:textId="77777777" w:rsidR="001A7BC8" w:rsidRPr="008003B0" w:rsidRDefault="001A7BC8" w:rsidP="001A7BC8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Times New Roman" w:hAnsi="Trebuchet MS" w:cs="Arial"/>
          <w:color w:val="000000"/>
          <w:sz w:val="24"/>
          <w:szCs w:val="24"/>
          <w:lang w:val="es-ES" w:eastAsia="es-ES"/>
        </w:rPr>
      </w:pPr>
    </w:p>
    <w:p w14:paraId="53082631" w14:textId="77777777" w:rsidR="00100CF7" w:rsidRPr="008003B0" w:rsidRDefault="001A7BC8" w:rsidP="00100CF7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8003B0">
        <w:rPr>
          <w:rFonts w:ascii="Trebuchet MS" w:eastAsia="Times New Roman" w:hAnsi="Trebuchet MS" w:cs="Arial"/>
          <w:b/>
          <w:color w:val="000000"/>
          <w:sz w:val="24"/>
          <w:szCs w:val="24"/>
          <w:lang w:val="es-ES" w:eastAsia="es-ES"/>
        </w:rPr>
        <w:t>II. Del Consejo General.</w:t>
      </w:r>
      <w:r w:rsidRPr="008003B0">
        <w:rPr>
          <w:rFonts w:ascii="Trebuchet MS" w:eastAsia="Times New Roman" w:hAnsi="Trebuchet MS" w:cs="Arial"/>
          <w:color w:val="000000"/>
          <w:sz w:val="24"/>
          <w:szCs w:val="24"/>
          <w:lang w:val="es-ES" w:eastAsia="es-ES"/>
        </w:rPr>
        <w:t xml:space="preserve"> De conformidad con el artículo 134, numeral 1, fracción LVII, del Código Electoral del Estado de Jalisco, el Consejo General es el órgano responsable de aprobar y expedir los reglamentos interiores necesarios para el debido ejercicio de las facultades y atribuciones del Instituto.</w:t>
      </w:r>
    </w:p>
    <w:p w14:paraId="0137BC9D" w14:textId="77777777" w:rsidR="00100CF7" w:rsidRPr="008003B0" w:rsidRDefault="00100CF7" w:rsidP="00100CF7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</w:p>
    <w:p w14:paraId="6BD0A69E" w14:textId="60FC55D2" w:rsidR="00100CF7" w:rsidRPr="008003B0" w:rsidRDefault="001A7BC8" w:rsidP="00100CF7">
      <w:pPr>
        <w:autoSpaceDE w:val="0"/>
        <w:autoSpaceDN w:val="0"/>
        <w:adjustRightInd w:val="0"/>
        <w:spacing w:after="0"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8003B0">
        <w:rPr>
          <w:rFonts w:ascii="Trebuchet MS" w:eastAsia="Calibri" w:hAnsi="Trebuchet MS" w:cs="Times New Roman"/>
          <w:b/>
          <w:sz w:val="24"/>
          <w:szCs w:val="24"/>
        </w:rPr>
        <w:t>III. De las comisiones</w:t>
      </w:r>
      <w:r w:rsidR="005F1290" w:rsidRPr="008003B0">
        <w:rPr>
          <w:rFonts w:ascii="Trebuchet MS" w:eastAsia="Calibri" w:hAnsi="Trebuchet MS" w:cs="Times New Roman"/>
          <w:b/>
          <w:sz w:val="24"/>
          <w:szCs w:val="24"/>
        </w:rPr>
        <w:t xml:space="preserve"> internas</w:t>
      </w:r>
      <w:r w:rsidRPr="008003B0">
        <w:rPr>
          <w:rFonts w:ascii="Trebuchet MS" w:eastAsia="Calibri" w:hAnsi="Trebuchet MS" w:cs="Times New Roman"/>
          <w:b/>
          <w:sz w:val="24"/>
          <w:szCs w:val="24"/>
        </w:rPr>
        <w:t xml:space="preserve"> del </w:t>
      </w:r>
      <w:r w:rsidR="005F1290" w:rsidRPr="008003B0">
        <w:rPr>
          <w:rFonts w:ascii="Trebuchet MS" w:eastAsia="Calibri" w:hAnsi="Trebuchet MS" w:cs="Times New Roman"/>
          <w:b/>
          <w:sz w:val="24"/>
          <w:szCs w:val="24"/>
        </w:rPr>
        <w:t>i</w:t>
      </w:r>
      <w:r w:rsidRPr="008003B0">
        <w:rPr>
          <w:rFonts w:ascii="Trebuchet MS" w:eastAsia="Calibri" w:hAnsi="Trebuchet MS" w:cs="Times New Roman"/>
          <w:b/>
          <w:sz w:val="24"/>
          <w:szCs w:val="24"/>
        </w:rPr>
        <w:t xml:space="preserve">nstituto </w:t>
      </w:r>
      <w:r w:rsidR="005F1290" w:rsidRPr="008003B0">
        <w:rPr>
          <w:rFonts w:ascii="Trebuchet MS" w:eastAsia="Calibri" w:hAnsi="Trebuchet MS" w:cs="Times New Roman"/>
          <w:b/>
          <w:sz w:val="24"/>
          <w:szCs w:val="24"/>
        </w:rPr>
        <w:t>e</w:t>
      </w:r>
      <w:r w:rsidRPr="008003B0">
        <w:rPr>
          <w:rFonts w:ascii="Trebuchet MS" w:eastAsia="Calibri" w:hAnsi="Trebuchet MS" w:cs="Times New Roman"/>
          <w:b/>
          <w:sz w:val="24"/>
          <w:szCs w:val="24"/>
        </w:rPr>
        <w:t>lectoral.</w:t>
      </w:r>
      <w:r w:rsidRPr="008003B0">
        <w:rPr>
          <w:rFonts w:ascii="Trebuchet MS" w:eastAsia="Calibri" w:hAnsi="Trebuchet MS" w:cs="Times New Roman"/>
          <w:sz w:val="24"/>
          <w:szCs w:val="24"/>
        </w:rPr>
        <w:t xml:space="preserve"> De conformidad con lo dispuesto en los artículos 118, párrafo 1, fracción III y 136, párrafos 1 y 2 del Código Electoral del Estado de Jalisco; </w:t>
      </w:r>
      <w:r w:rsidR="00100CF7" w:rsidRPr="008003B0">
        <w:rPr>
          <w:rFonts w:ascii="Trebuchet MS" w:eastAsia="Calibri" w:hAnsi="Trebuchet MS" w:cs="Times New Roman"/>
          <w:sz w:val="24"/>
          <w:szCs w:val="24"/>
        </w:rPr>
        <w:t>27</w:t>
      </w:r>
      <w:r w:rsidRPr="008003B0">
        <w:rPr>
          <w:rFonts w:ascii="Trebuchet MS" w:eastAsia="Calibri" w:hAnsi="Trebuchet MS" w:cs="Times New Roman"/>
          <w:sz w:val="24"/>
          <w:szCs w:val="24"/>
        </w:rPr>
        <w:t xml:space="preserve"> párrafo 1, del Reglamento Interior de este organismo electoral, las comisiones </w:t>
      </w:r>
      <w:r w:rsidR="00100CF7" w:rsidRPr="008003B0">
        <w:rPr>
          <w:rFonts w:ascii="Trebuchet MS" w:eastAsia="Calibri" w:hAnsi="Trebuchet MS" w:cs="Times New Roman"/>
          <w:sz w:val="24"/>
          <w:szCs w:val="24"/>
        </w:rPr>
        <w:t xml:space="preserve">contribuyen al desempeño de las atribuciones del Consejo General y ejercen las facultades que les confiere </w:t>
      </w:r>
      <w:r w:rsidR="000B0E9A" w:rsidRPr="008003B0">
        <w:rPr>
          <w:rFonts w:ascii="Trebuchet MS" w:eastAsia="Calibri" w:hAnsi="Trebuchet MS" w:cs="Times New Roman"/>
          <w:sz w:val="24"/>
          <w:szCs w:val="24"/>
        </w:rPr>
        <w:t xml:space="preserve">dicho </w:t>
      </w:r>
      <w:r w:rsidR="00100CF7" w:rsidRPr="008003B0">
        <w:rPr>
          <w:rFonts w:ascii="Trebuchet MS" w:eastAsia="Calibri" w:hAnsi="Trebuchet MS" w:cs="Times New Roman"/>
          <w:sz w:val="24"/>
          <w:szCs w:val="24"/>
        </w:rPr>
        <w:t xml:space="preserve"> Reglamento, el Código, los acuerdos y resoluciones que emita el propio Consejo General.</w:t>
      </w:r>
    </w:p>
    <w:p w14:paraId="193B034C" w14:textId="77777777" w:rsidR="00871DA4" w:rsidRPr="008003B0" w:rsidRDefault="00871DA4" w:rsidP="001A7BC8">
      <w:pPr>
        <w:spacing w:after="0" w:line="276" w:lineRule="auto"/>
        <w:jc w:val="both"/>
        <w:rPr>
          <w:rFonts w:ascii="Trebuchet MS" w:eastAsia="Calibri" w:hAnsi="Trebuchet MS" w:cs="Arial"/>
          <w:sz w:val="24"/>
          <w:szCs w:val="24"/>
        </w:rPr>
      </w:pPr>
    </w:p>
    <w:p w14:paraId="0975B9F3" w14:textId="1D9769F0" w:rsidR="001A7BC8" w:rsidRPr="008003B0" w:rsidRDefault="00871DA4" w:rsidP="001A7BC8">
      <w:pPr>
        <w:spacing w:after="0" w:line="276" w:lineRule="auto"/>
        <w:jc w:val="both"/>
        <w:rPr>
          <w:rFonts w:ascii="Trebuchet MS" w:eastAsia="Calibri" w:hAnsi="Trebuchet MS" w:cs="Arial"/>
          <w:sz w:val="24"/>
          <w:szCs w:val="24"/>
        </w:rPr>
      </w:pPr>
      <w:r w:rsidRPr="008003B0">
        <w:rPr>
          <w:rFonts w:ascii="Trebuchet MS" w:eastAsia="Calibri" w:hAnsi="Trebuchet MS" w:cs="Arial"/>
          <w:b/>
          <w:sz w:val="24"/>
          <w:szCs w:val="24"/>
        </w:rPr>
        <w:t xml:space="preserve">IV. </w:t>
      </w:r>
      <w:r w:rsidR="001A7BC8" w:rsidRPr="008003B0">
        <w:rPr>
          <w:rFonts w:ascii="Trebuchet MS" w:eastAsia="Calibri" w:hAnsi="Trebuchet MS" w:cs="Arial"/>
          <w:b/>
          <w:sz w:val="24"/>
          <w:szCs w:val="24"/>
        </w:rPr>
        <w:t xml:space="preserve"> </w:t>
      </w:r>
      <w:r w:rsidRPr="008003B0">
        <w:rPr>
          <w:rFonts w:ascii="Trebuchet MS" w:eastAsia="Calibri" w:hAnsi="Trebuchet MS" w:cs="Arial"/>
          <w:b/>
          <w:sz w:val="24"/>
          <w:szCs w:val="24"/>
        </w:rPr>
        <w:t>De las atribuciones de la Comisión de Investigación y Estudios Electorales.</w:t>
      </w:r>
      <w:r w:rsidRPr="008003B0">
        <w:rPr>
          <w:rFonts w:ascii="Trebuchet MS" w:eastAsia="Calibri" w:hAnsi="Trebuchet MS" w:cs="Arial"/>
          <w:sz w:val="24"/>
          <w:szCs w:val="24"/>
        </w:rPr>
        <w:t xml:space="preserve"> Acorde a lo previsto en el artículo 34, numeral 1, fracción VI</w:t>
      </w:r>
      <w:r w:rsidR="00856266">
        <w:rPr>
          <w:rFonts w:ascii="Trebuchet MS" w:eastAsia="Calibri" w:hAnsi="Trebuchet MS" w:cs="Arial"/>
          <w:sz w:val="24"/>
          <w:szCs w:val="24"/>
        </w:rPr>
        <w:t>II</w:t>
      </w:r>
      <w:r w:rsidRPr="008003B0">
        <w:rPr>
          <w:rFonts w:ascii="Trebuchet MS" w:eastAsia="Calibri" w:hAnsi="Trebuchet MS" w:cs="Arial"/>
          <w:sz w:val="24"/>
          <w:szCs w:val="24"/>
        </w:rPr>
        <w:t xml:space="preserve">, del Reglamento Interior del Instituto Electoral </w:t>
      </w:r>
      <w:r w:rsidRPr="008003B0">
        <w:rPr>
          <w:rFonts w:ascii="Trebuchet MS" w:eastAsia="Times New Roman" w:hAnsi="Trebuchet MS" w:cs="Arial"/>
          <w:sz w:val="24"/>
          <w:szCs w:val="24"/>
          <w:lang w:val="es-ES" w:eastAsia="es-MX"/>
        </w:rPr>
        <w:t xml:space="preserve">y de Participación Ciudadana del Estado de Jalisco, la Comisión de Investigación y Estudios Electorales, tiene la atribución de </w:t>
      </w:r>
      <w:r w:rsidR="00856266">
        <w:rPr>
          <w:rFonts w:ascii="Trebuchet MS" w:eastAsia="Times New Roman" w:hAnsi="Trebuchet MS" w:cs="Arial"/>
          <w:sz w:val="24"/>
          <w:szCs w:val="24"/>
          <w:lang w:val="es-ES" w:eastAsia="es-MX"/>
        </w:rPr>
        <w:t>recibir y analizar las opiniones y propuestas del Comité Editorial y de las áreas del Instituto</w:t>
      </w:r>
      <w:r w:rsidR="00F5564B" w:rsidRPr="008003B0">
        <w:rPr>
          <w:rFonts w:ascii="Trebuchet MS" w:eastAsia="Times New Roman" w:hAnsi="Trebuchet MS" w:cs="Arial"/>
          <w:sz w:val="24"/>
          <w:szCs w:val="24"/>
          <w:lang w:val="es-ES" w:eastAsia="es-MX"/>
        </w:rPr>
        <w:t>.</w:t>
      </w:r>
      <w:r w:rsidRPr="008003B0">
        <w:rPr>
          <w:rFonts w:ascii="Trebuchet MS" w:eastAsia="Times New Roman" w:hAnsi="Trebuchet MS" w:cs="Arial"/>
          <w:sz w:val="24"/>
          <w:szCs w:val="24"/>
          <w:lang w:val="es-ES" w:eastAsia="es-MX"/>
        </w:rPr>
        <w:t xml:space="preserve"> </w:t>
      </w:r>
    </w:p>
    <w:p w14:paraId="7BCFC351" w14:textId="77777777" w:rsidR="00871DA4" w:rsidRPr="008003B0" w:rsidRDefault="00871DA4" w:rsidP="001A7BC8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b/>
          <w:sz w:val="24"/>
          <w:szCs w:val="24"/>
          <w:lang w:val="es-ES" w:eastAsia="es-MX"/>
        </w:rPr>
      </w:pPr>
    </w:p>
    <w:p w14:paraId="20C2DF0B" w14:textId="138322F5" w:rsidR="000125F7" w:rsidRPr="008003B0" w:rsidRDefault="001A7BC8" w:rsidP="001A7BC8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4"/>
          <w:szCs w:val="24"/>
          <w:lang w:val="es-ES" w:eastAsia="es-MX"/>
        </w:rPr>
      </w:pPr>
      <w:r w:rsidRPr="008003B0">
        <w:rPr>
          <w:rFonts w:ascii="Trebuchet MS" w:eastAsia="Times New Roman" w:hAnsi="Trebuchet MS" w:cs="Arial"/>
          <w:b/>
          <w:sz w:val="24"/>
          <w:szCs w:val="24"/>
          <w:lang w:val="es-ES" w:eastAsia="es-MX"/>
        </w:rPr>
        <w:lastRenderedPageBreak/>
        <w:t xml:space="preserve">V. </w:t>
      </w:r>
      <w:r w:rsidR="00C41A96" w:rsidRPr="008003B0">
        <w:rPr>
          <w:rFonts w:ascii="Trebuchet MS" w:eastAsia="Times New Roman" w:hAnsi="Trebuchet MS" w:cs="Arial"/>
          <w:b/>
          <w:sz w:val="24"/>
          <w:szCs w:val="24"/>
          <w:lang w:val="es-ES" w:eastAsia="es-MX"/>
        </w:rPr>
        <w:t>De las atribuciones del Comité Editorial.</w:t>
      </w:r>
      <w:r w:rsidR="00C41A96" w:rsidRPr="008003B0">
        <w:rPr>
          <w:rFonts w:ascii="Trebuchet MS" w:eastAsia="Times New Roman" w:hAnsi="Trebuchet MS" w:cs="Arial"/>
          <w:sz w:val="24"/>
          <w:szCs w:val="24"/>
          <w:lang w:val="es-ES" w:eastAsia="es-MX"/>
        </w:rPr>
        <w:t xml:space="preserve"> De conformidad con lo dispuesto en el </w:t>
      </w:r>
      <w:r w:rsidR="00DE2A70">
        <w:rPr>
          <w:rFonts w:ascii="Trebuchet MS" w:eastAsia="Times New Roman" w:hAnsi="Trebuchet MS" w:cs="Arial"/>
          <w:sz w:val="24"/>
          <w:szCs w:val="24"/>
          <w:lang w:val="es-ES" w:eastAsia="es-MX"/>
        </w:rPr>
        <w:t>punto 2.2 de los Lineamientos del Comité Editorial</w:t>
      </w:r>
      <w:r w:rsidR="00C41A96" w:rsidRPr="008003B0">
        <w:rPr>
          <w:rFonts w:ascii="Trebuchet MS" w:eastAsia="Times New Roman" w:hAnsi="Trebuchet MS" w:cs="Arial"/>
          <w:sz w:val="24"/>
          <w:szCs w:val="24"/>
          <w:lang w:val="es-ES" w:eastAsia="es-MX"/>
        </w:rPr>
        <w:t xml:space="preserve"> del Instituto Electoral, </w:t>
      </w:r>
      <w:r w:rsidR="00F5564B" w:rsidRPr="008003B0">
        <w:rPr>
          <w:rFonts w:ascii="Trebuchet MS" w:eastAsia="Times New Roman" w:hAnsi="Trebuchet MS" w:cs="Arial"/>
          <w:sz w:val="24"/>
          <w:szCs w:val="24"/>
          <w:lang w:val="es-ES" w:eastAsia="es-MX"/>
        </w:rPr>
        <w:t>e</w:t>
      </w:r>
      <w:r w:rsidR="00974E08" w:rsidRPr="008003B0">
        <w:rPr>
          <w:rFonts w:ascii="Trebuchet MS" w:eastAsia="Times New Roman" w:hAnsi="Trebuchet MS" w:cs="Arial"/>
          <w:sz w:val="24"/>
          <w:szCs w:val="24"/>
          <w:lang w:val="es-ES" w:eastAsia="es-MX"/>
        </w:rPr>
        <w:t>s atribuci</w:t>
      </w:r>
      <w:r w:rsidR="00F5564B" w:rsidRPr="008003B0">
        <w:rPr>
          <w:rFonts w:ascii="Trebuchet MS" w:eastAsia="Times New Roman" w:hAnsi="Trebuchet MS" w:cs="Arial"/>
          <w:sz w:val="24"/>
          <w:szCs w:val="24"/>
          <w:lang w:val="es-ES" w:eastAsia="es-MX"/>
        </w:rPr>
        <w:t>ó</w:t>
      </w:r>
      <w:r w:rsidR="00974E08" w:rsidRPr="008003B0">
        <w:rPr>
          <w:rFonts w:ascii="Trebuchet MS" w:eastAsia="Times New Roman" w:hAnsi="Trebuchet MS" w:cs="Arial"/>
          <w:sz w:val="24"/>
          <w:szCs w:val="24"/>
          <w:lang w:val="es-ES" w:eastAsia="es-MX"/>
        </w:rPr>
        <w:t>n</w:t>
      </w:r>
      <w:r w:rsidR="00C41A96" w:rsidRPr="008003B0">
        <w:rPr>
          <w:rFonts w:ascii="Trebuchet MS" w:eastAsia="Times New Roman" w:hAnsi="Trebuchet MS" w:cs="Arial"/>
          <w:sz w:val="24"/>
          <w:szCs w:val="24"/>
          <w:lang w:val="es-ES" w:eastAsia="es-MX"/>
        </w:rPr>
        <w:t xml:space="preserve"> del Comité Editorial</w:t>
      </w:r>
      <w:r w:rsidR="00DE2A70">
        <w:rPr>
          <w:rFonts w:ascii="Trebuchet MS" w:eastAsia="Times New Roman" w:hAnsi="Trebuchet MS" w:cs="Arial"/>
          <w:sz w:val="24"/>
          <w:szCs w:val="24"/>
          <w:lang w:val="es-ES" w:eastAsia="es-MX"/>
        </w:rPr>
        <w:t>,</w:t>
      </w:r>
      <w:r w:rsidR="00F5564B" w:rsidRPr="008003B0">
        <w:rPr>
          <w:rFonts w:ascii="Trebuchet MS" w:eastAsia="Times New Roman" w:hAnsi="Trebuchet MS" w:cs="Arial"/>
          <w:sz w:val="24"/>
          <w:szCs w:val="24"/>
          <w:lang w:val="es-ES" w:eastAsia="es-MX"/>
        </w:rPr>
        <w:t xml:space="preserve"> </w:t>
      </w:r>
      <w:r w:rsidR="00DE2A70">
        <w:rPr>
          <w:rFonts w:ascii="Trebuchet MS" w:eastAsia="Times New Roman" w:hAnsi="Trebuchet MS" w:cs="Arial"/>
          <w:sz w:val="24"/>
          <w:szCs w:val="24"/>
          <w:lang w:val="es-ES" w:eastAsia="es-MX"/>
        </w:rPr>
        <w:t xml:space="preserve">brindar asesoría técnica </w:t>
      </w:r>
      <w:r w:rsidR="00D41E5B" w:rsidRPr="008003B0">
        <w:rPr>
          <w:rFonts w:ascii="Trebuchet MS" w:eastAsia="Times New Roman" w:hAnsi="Trebuchet MS" w:cs="Arial"/>
          <w:sz w:val="24"/>
          <w:szCs w:val="24"/>
          <w:lang w:val="es-ES" w:eastAsia="es-MX"/>
        </w:rPr>
        <w:t>a la Comisión de Investigación y Estudios Electorales</w:t>
      </w:r>
      <w:r w:rsidR="00DE2A70">
        <w:rPr>
          <w:rFonts w:ascii="Trebuchet MS" w:eastAsia="Times New Roman" w:hAnsi="Trebuchet MS" w:cs="Arial"/>
          <w:sz w:val="24"/>
          <w:szCs w:val="24"/>
          <w:lang w:val="es-ES" w:eastAsia="es-MX"/>
        </w:rPr>
        <w:t>, a fin de robustecer las colecciones editoriales y materiales de divulgación de la cultura democrática y la participación ciudadana</w:t>
      </w:r>
      <w:r w:rsidR="00F5564B" w:rsidRPr="008003B0">
        <w:rPr>
          <w:rFonts w:ascii="Trebuchet MS" w:eastAsia="Times New Roman" w:hAnsi="Trebuchet MS" w:cs="Arial"/>
          <w:sz w:val="24"/>
          <w:szCs w:val="24"/>
          <w:lang w:val="es-ES" w:eastAsia="es-MX"/>
        </w:rPr>
        <w:t>.</w:t>
      </w:r>
      <w:r w:rsidR="00C41A96" w:rsidRPr="008003B0">
        <w:rPr>
          <w:rFonts w:ascii="Trebuchet MS" w:eastAsia="Times New Roman" w:hAnsi="Trebuchet MS" w:cs="Arial"/>
          <w:sz w:val="24"/>
          <w:szCs w:val="24"/>
          <w:lang w:val="es-ES" w:eastAsia="es-MX"/>
        </w:rPr>
        <w:t xml:space="preserve"> </w:t>
      </w:r>
    </w:p>
    <w:p w14:paraId="50AAC28A" w14:textId="77777777" w:rsidR="0068011F" w:rsidRPr="008003B0" w:rsidRDefault="0068011F" w:rsidP="001A7BC8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</w:pPr>
    </w:p>
    <w:p w14:paraId="17808F2A" w14:textId="77777777" w:rsidR="008003B0" w:rsidRDefault="009D607A" w:rsidP="008003B0">
      <w:pPr>
        <w:widowControl w:val="0"/>
        <w:suppressAutoHyphens/>
        <w:spacing w:after="0" w:line="276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eastAsia="ar-SA"/>
        </w:rPr>
      </w:pPr>
      <w:r w:rsidRPr="008003B0"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  <w:t>V</w:t>
      </w:r>
      <w:r w:rsidR="00F5564B" w:rsidRPr="008003B0"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  <w:t>I</w:t>
      </w:r>
      <w:r w:rsidRPr="008003B0"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  <w:t xml:space="preserve">. Propuesta </w:t>
      </w:r>
      <w:r w:rsidR="002E4D77" w:rsidRPr="008003B0"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  <w:t xml:space="preserve">de nueva conformación de colecciones y series del catálogo de publicaciones </w:t>
      </w:r>
      <w:r w:rsidR="00E105A9" w:rsidRPr="008003B0"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  <w:t>(</w:t>
      </w:r>
      <w:r w:rsidR="002E4D77" w:rsidRPr="008003B0"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  <w:t>Nuevas colecciones y series</w:t>
      </w:r>
      <w:r w:rsidR="00E105A9" w:rsidRPr="008003B0"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  <w:t>)</w:t>
      </w:r>
      <w:r w:rsidRPr="008003B0"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  <w:t>.</w:t>
      </w:r>
      <w:r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</w:t>
      </w:r>
      <w:r w:rsidR="008003B0" w:rsidRPr="008003B0">
        <w:rPr>
          <w:rFonts w:ascii="Trebuchet MS" w:eastAsia="Times New Roman" w:hAnsi="Trebuchet MS" w:cs="Times New Roman"/>
          <w:bCs/>
          <w:sz w:val="24"/>
          <w:szCs w:val="24"/>
          <w:lang w:eastAsia="ar-SA"/>
        </w:rPr>
        <w:t xml:space="preserve">El Instituto Electoral rige sus publicaciones a través de los lineamientos de la política editorial que determina la conformación de un catálogo de colecciones y series editoriales cuyas obras estarán orientadas a la reflexión y divulgación de los temas propios de la democracia y la participación cívica. </w:t>
      </w:r>
    </w:p>
    <w:p w14:paraId="51D64480" w14:textId="77777777" w:rsidR="008003B0" w:rsidRDefault="008003B0" w:rsidP="008003B0">
      <w:pPr>
        <w:widowControl w:val="0"/>
        <w:suppressAutoHyphens/>
        <w:spacing w:after="0" w:line="276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eastAsia="ar-SA"/>
        </w:rPr>
      </w:pPr>
    </w:p>
    <w:p w14:paraId="1BCCF189" w14:textId="3A00F57B" w:rsidR="008003B0" w:rsidRPr="008003B0" w:rsidRDefault="008003B0" w:rsidP="008003B0">
      <w:pPr>
        <w:widowControl w:val="0"/>
        <w:suppressAutoHyphens/>
        <w:spacing w:after="0" w:line="276" w:lineRule="auto"/>
        <w:jc w:val="both"/>
        <w:rPr>
          <w:rFonts w:ascii="Trebuchet MS" w:eastAsia="Times New Roman" w:hAnsi="Trebuchet MS" w:cs="Times New Roman"/>
          <w:bCs/>
          <w:sz w:val="24"/>
          <w:szCs w:val="24"/>
          <w:lang w:eastAsia="ar-SA"/>
        </w:rPr>
      </w:pPr>
      <w:r w:rsidRPr="008003B0">
        <w:rPr>
          <w:rFonts w:ascii="Trebuchet MS" w:eastAsia="Times New Roman" w:hAnsi="Trebuchet MS" w:cs="Times New Roman"/>
          <w:bCs/>
          <w:sz w:val="24"/>
          <w:szCs w:val="24"/>
          <w:lang w:eastAsia="ar-SA"/>
        </w:rPr>
        <w:t xml:space="preserve">El Catálogo de Publicaciones vigente está conformado por nueve colecciones: Caleidoscopio, Clásicos de la democracia, Futuros (E)lectores, Estudios Electorales, Institucional, Lex, Reflexiones sobre la democracia y Folios Sueltos; y las series: Pensamiento democrático en México, Utopía y Entendiendo los valores democráticos; así como la revista Folios. </w:t>
      </w:r>
    </w:p>
    <w:p w14:paraId="3D3D7CF9" w14:textId="77777777" w:rsidR="008003B0" w:rsidRPr="008003B0" w:rsidRDefault="008003B0" w:rsidP="00AF2998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4"/>
          <w:szCs w:val="24"/>
          <w:lang w:val="es-ES_tradnl" w:eastAsia="es-MX"/>
        </w:rPr>
      </w:pPr>
    </w:p>
    <w:p w14:paraId="46C70586" w14:textId="28E0BF04" w:rsidR="00AF2998" w:rsidRPr="008003B0" w:rsidRDefault="008003B0" w:rsidP="00AF2998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4"/>
          <w:szCs w:val="24"/>
          <w:lang w:val="es-ES_tradnl" w:eastAsia="es-MX"/>
        </w:rPr>
      </w:pPr>
      <w:r>
        <w:rPr>
          <w:rFonts w:ascii="Trebuchet MS" w:eastAsia="Times New Roman" w:hAnsi="Trebuchet MS" w:cs="Arial"/>
          <w:sz w:val="24"/>
          <w:szCs w:val="24"/>
          <w:lang w:val="es-ES_tradnl" w:eastAsia="es-MX"/>
        </w:rPr>
        <w:t>Ahora bien, d</w:t>
      </w:r>
      <w:r w:rsidR="000D30D8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erivado de </w:t>
      </w:r>
      <w:r w:rsidR="007B75B9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los trabajos de</w:t>
      </w:r>
      <w:r w:rsidR="000D30D8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valoración y diagnóstico por parte de las y los integrantes del Comité Editorial al Catálogo de Publicaciones vigente</w:t>
      </w:r>
      <w:r w:rsidR="00AF2998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,</w:t>
      </w:r>
      <w:r w:rsidR="00D41E5B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</w:t>
      </w:r>
      <w:r w:rsidR="007B75B9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en la sesión citada en los antecedentes, </w:t>
      </w:r>
      <w:r w:rsidR="00D41E5B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estimaron</w:t>
      </w:r>
      <w:r w:rsidR="00AF2998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necesari</w:t>
      </w:r>
      <w:r w:rsidR="00D41E5B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a</w:t>
      </w:r>
      <w:r w:rsidR="00AF2998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</w:t>
      </w:r>
      <w:r w:rsidR="007B75B9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su </w:t>
      </w:r>
      <w:r w:rsidR="00D41E5B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adecuación y actualización</w:t>
      </w:r>
      <w:r w:rsidR="007B75B9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.</w:t>
      </w:r>
    </w:p>
    <w:p w14:paraId="162859F0" w14:textId="77777777" w:rsidR="00AF2998" w:rsidRPr="008003B0" w:rsidRDefault="00AF2998" w:rsidP="00AF2998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4"/>
          <w:szCs w:val="24"/>
          <w:lang w:val="es-ES_tradnl" w:eastAsia="es-MX"/>
        </w:rPr>
      </w:pPr>
    </w:p>
    <w:p w14:paraId="482EA84C" w14:textId="2CBA3CCA" w:rsidR="00AF2998" w:rsidRPr="008003B0" w:rsidRDefault="00D41E5B" w:rsidP="00AF2998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4"/>
          <w:szCs w:val="24"/>
          <w:lang w:val="es-ES_tradnl" w:eastAsia="es-MX"/>
        </w:rPr>
      </w:pPr>
      <w:r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Como</w:t>
      </w:r>
      <w:r w:rsidR="00C2486B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producto de dicho trabajo,</w:t>
      </w:r>
      <w:r w:rsidR="00E105A9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</w:t>
      </w:r>
      <w:r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el Comité Editorial propone</w:t>
      </w:r>
      <w:r w:rsidR="00E105A9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</w:t>
      </w:r>
      <w:r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a</w:t>
      </w:r>
      <w:r w:rsidR="00C2486B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este organismo electoral</w:t>
      </w:r>
      <w:r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</w:t>
      </w:r>
      <w:r w:rsidR="007B75B9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la conformación de tres colecciones y </w:t>
      </w:r>
      <w:r w:rsidR="00C35F77">
        <w:rPr>
          <w:rFonts w:ascii="Trebuchet MS" w:eastAsia="Times New Roman" w:hAnsi="Trebuchet MS" w:cs="Arial"/>
          <w:sz w:val="24"/>
          <w:szCs w:val="24"/>
          <w:lang w:val="es-ES_tradnl" w:eastAsia="es-MX"/>
        </w:rPr>
        <w:t>siete</w:t>
      </w:r>
      <w:r w:rsidR="007B75B9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series</w:t>
      </w:r>
      <w:r w:rsidR="00E105A9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, </w:t>
      </w:r>
      <w:r w:rsidR="007B75B9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cuyo detalle se encuentra</w:t>
      </w:r>
      <w:r w:rsidR="00E105A9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en el documento </w:t>
      </w:r>
      <w:r w:rsidR="00E105A9" w:rsidRPr="008003B0"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  <w:t>ANEXO</w:t>
      </w:r>
      <w:r w:rsidR="00E105A9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, el cual forma parte integral del presente acuerdo</w:t>
      </w:r>
      <w:r w:rsidR="00856266">
        <w:rPr>
          <w:rFonts w:ascii="Trebuchet MS" w:eastAsia="Times New Roman" w:hAnsi="Trebuchet MS" w:cs="Arial"/>
          <w:sz w:val="24"/>
          <w:szCs w:val="24"/>
          <w:lang w:val="es-ES_tradnl" w:eastAsia="es-MX"/>
        </w:rPr>
        <w:t>, y cuyo contenido ha sido analizado previamente por quienes integramos esta comisión, coincidiendo con la propuesta que realizan las y los integrantes del Comité Editorial</w:t>
      </w:r>
      <w:r w:rsidR="00C2486B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.   </w:t>
      </w:r>
      <w:r w:rsidR="00AF2998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 </w:t>
      </w:r>
    </w:p>
    <w:p w14:paraId="103CD48E" w14:textId="77777777" w:rsidR="009442A8" w:rsidRPr="008003B0" w:rsidRDefault="009442A8" w:rsidP="0054360A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</w:pPr>
    </w:p>
    <w:p w14:paraId="3993B977" w14:textId="1B81A4AC" w:rsidR="00F5564B" w:rsidRPr="008003B0" w:rsidRDefault="00F5564B" w:rsidP="0054360A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4"/>
          <w:szCs w:val="24"/>
          <w:lang w:val="es-ES_tradnl" w:eastAsia="es-MX"/>
        </w:rPr>
      </w:pPr>
      <w:r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Para el supuesto de que se apruebe </w:t>
      </w:r>
      <w:r w:rsidR="00A81F11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la conformación de </w:t>
      </w:r>
      <w:r w:rsidR="007B75B9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las nuevas</w:t>
      </w:r>
      <w:r w:rsidR="00FC73BA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colecciones</w:t>
      </w:r>
      <w:r w:rsidR="007B75B9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y </w:t>
      </w:r>
      <w:r w:rsidR="00FC73BA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s</w:t>
      </w:r>
      <w:r w:rsidR="007B75B9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eries</w:t>
      </w:r>
      <w:r w:rsidR="00FC73BA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del catálogo de publicaciones</w:t>
      </w:r>
      <w:r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, </w:t>
      </w:r>
      <w:r w:rsidR="00457593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en el acuerdo que para tal efecto emita el Consejo General, </w:t>
      </w:r>
      <w:r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deberá </w:t>
      </w:r>
      <w:r w:rsidR="00A81F11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instruirse al área correspondiente del instituto, para que realice los cambios necesarios en la página web del instituto</w:t>
      </w:r>
      <w:r w:rsidR="00457593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.</w:t>
      </w:r>
      <w:r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   </w:t>
      </w:r>
    </w:p>
    <w:p w14:paraId="62E34A62" w14:textId="77777777" w:rsidR="00F5564B" w:rsidRPr="008003B0" w:rsidRDefault="00F5564B" w:rsidP="0054360A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</w:pPr>
    </w:p>
    <w:p w14:paraId="265268E6" w14:textId="4412682B" w:rsidR="00DE2B63" w:rsidRPr="008003B0" w:rsidRDefault="00DE2B63" w:rsidP="00DE2B63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</w:pPr>
      <w:r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lastRenderedPageBreak/>
        <w:t xml:space="preserve">Finalmente, deberá instruirse a la Dirección del Secretariado, para que comunique el presente acuerdo a la Presidencia y a la Secretaría Ejecutiva de este organismo electoral, lo anterior de conformidad con lo dispuesto en el artículo </w:t>
      </w:r>
      <w:r w:rsidR="00F5564B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1</w:t>
      </w:r>
      <w:r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2, numeral 1, fracción </w:t>
      </w:r>
      <w:r w:rsidR="00F5564B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I</w:t>
      </w:r>
      <w:r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X, del Reglamento Interio</w:t>
      </w:r>
      <w:r w:rsidR="00F5564B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r del Instituto Electoral y de P</w:t>
      </w:r>
      <w:r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articipación Ciudadana del Estado de Jalisco.</w:t>
      </w:r>
    </w:p>
    <w:p w14:paraId="428F0E01" w14:textId="77777777" w:rsidR="00DE2B63" w:rsidRPr="008003B0" w:rsidRDefault="00DE2B63" w:rsidP="00DE2B63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b/>
          <w:sz w:val="24"/>
          <w:szCs w:val="24"/>
          <w:lang w:val="es-ES_tradnl" w:eastAsia="es-MX"/>
        </w:rPr>
      </w:pPr>
    </w:p>
    <w:p w14:paraId="6B8688A7" w14:textId="05191D06" w:rsidR="009D607A" w:rsidRPr="008003B0" w:rsidRDefault="00DE2B63" w:rsidP="00DE2B63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sz w:val="24"/>
          <w:szCs w:val="24"/>
          <w:lang w:val="es-ES_tradnl" w:eastAsia="es-MX"/>
        </w:rPr>
      </w:pPr>
      <w:r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>En virtud de lo anterior, se proponen los siguientes puntos de</w:t>
      </w:r>
    </w:p>
    <w:p w14:paraId="0BD5335C" w14:textId="11A30AEA" w:rsidR="0054360A" w:rsidRPr="008003B0" w:rsidRDefault="0054360A" w:rsidP="001A7BC8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</w:pPr>
    </w:p>
    <w:p w14:paraId="1EDBCC90" w14:textId="30FD4AE1" w:rsidR="001A7BC8" w:rsidRPr="008003B0" w:rsidRDefault="0068011F" w:rsidP="001A7BC8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</w:pPr>
      <w:r w:rsidRPr="008003B0">
        <w:rPr>
          <w:rFonts w:ascii="Trebuchet MS" w:eastAsia="Times New Roman" w:hAnsi="Trebuchet MS" w:cs="Arial"/>
          <w:bCs/>
          <w:sz w:val="24"/>
          <w:szCs w:val="24"/>
          <w:lang w:val="es-ES_tradnl" w:eastAsia="es-MX"/>
        </w:rPr>
        <w:t xml:space="preserve"> </w:t>
      </w:r>
    </w:p>
    <w:p w14:paraId="71438368" w14:textId="314D950C" w:rsidR="001A7BC8" w:rsidRPr="008003B0" w:rsidRDefault="001A7BC8" w:rsidP="001A7BC8">
      <w:pPr>
        <w:suppressAutoHyphens/>
        <w:spacing w:after="0"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ar-SA"/>
        </w:rPr>
      </w:pPr>
      <w:r w:rsidRP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>A C U E R D O</w:t>
      </w:r>
      <w:r w:rsidR="00683DC0" w:rsidRP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 xml:space="preserve"> </w:t>
      </w:r>
    </w:p>
    <w:p w14:paraId="4615177B" w14:textId="77777777" w:rsidR="001A7BC8" w:rsidRPr="008003B0" w:rsidRDefault="001A7BC8" w:rsidP="001A7BC8">
      <w:pPr>
        <w:suppressAutoHyphens/>
        <w:spacing w:after="0" w:line="276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pt-BR" w:eastAsia="ar-SA"/>
        </w:rPr>
      </w:pPr>
    </w:p>
    <w:p w14:paraId="32329656" w14:textId="5A77F719" w:rsidR="001A7BC8" w:rsidRPr="008003B0" w:rsidRDefault="001A7BC8" w:rsidP="001A7BC8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color w:val="222222"/>
          <w:sz w:val="24"/>
          <w:szCs w:val="24"/>
          <w:lang w:val="es-ES" w:eastAsia="es-MX"/>
        </w:rPr>
      </w:pPr>
      <w:r w:rsidRP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>P</w:t>
      </w:r>
      <w:r w:rsidR="00DE2B63" w:rsidRP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>rimero</w:t>
      </w:r>
      <w:r w:rsidRP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>.</w:t>
      </w:r>
      <w:r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 Se </w:t>
      </w:r>
      <w:r w:rsidR="00DE2B63"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>propone al Consejo General</w:t>
      </w:r>
      <w:r w:rsidR="002D5116"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, la Nueva Conformación de las Colecciones y Series para el Catálogo de Publicaciones </w:t>
      </w:r>
      <w:r w:rsidR="00683DC0"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>del Instituto Electoral y de Participación Ciudadana del Estado de Jalisco</w:t>
      </w:r>
      <w:r w:rsidR="00DE2B63"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>, contenid</w:t>
      </w:r>
      <w:r w:rsidR="002D5116"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a </w:t>
      </w:r>
      <w:r w:rsidR="00DE2B63"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en el documento </w:t>
      </w:r>
      <w:r w:rsidR="00DE2B63" w:rsidRP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>ANEXO</w:t>
      </w:r>
      <w:r w:rsidR="00DE2B63"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, </w:t>
      </w:r>
      <w:r w:rsidR="002D5116"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>la</w:t>
      </w:r>
      <w:r w:rsidR="00DE2B63"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 cual forma parte integral del presente acuerdo, </w:t>
      </w:r>
      <w:r w:rsidR="002D5116"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>a</w:t>
      </w:r>
      <w:r w:rsidR="00DE2B63"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 efecto de</w:t>
      </w:r>
      <w:r w:rsidR="00DE2B63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que sea sometid</w:t>
      </w:r>
      <w:r w:rsidR="00856266">
        <w:rPr>
          <w:rFonts w:ascii="Trebuchet MS" w:eastAsia="Times New Roman" w:hAnsi="Trebuchet MS" w:cs="Arial"/>
          <w:sz w:val="24"/>
          <w:szCs w:val="24"/>
          <w:lang w:val="es-ES_tradnl" w:eastAsia="es-MX"/>
        </w:rPr>
        <w:t>a</w:t>
      </w:r>
      <w:r w:rsidR="00DE2B63" w:rsidRPr="008003B0">
        <w:rPr>
          <w:rFonts w:ascii="Trebuchet MS" w:eastAsia="Times New Roman" w:hAnsi="Trebuchet MS" w:cs="Arial"/>
          <w:sz w:val="24"/>
          <w:szCs w:val="24"/>
          <w:lang w:val="es-ES_tradnl" w:eastAsia="es-MX"/>
        </w:rPr>
        <w:t xml:space="preserve"> a consideración de sus integrantes, para su estudio, análisis y, en su caso, aprobación</w:t>
      </w:r>
      <w:r w:rsidR="00683DC0"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. </w:t>
      </w:r>
    </w:p>
    <w:p w14:paraId="59BE341D" w14:textId="77777777" w:rsidR="001A7BC8" w:rsidRPr="008003B0" w:rsidRDefault="001A7BC8" w:rsidP="001A7BC8">
      <w:pPr>
        <w:suppressAutoHyphens/>
        <w:spacing w:after="0" w:line="276" w:lineRule="auto"/>
        <w:jc w:val="both"/>
        <w:rPr>
          <w:rFonts w:ascii="Trebuchet MS" w:eastAsia="Times New Roman" w:hAnsi="Trebuchet MS" w:cs="Arial"/>
          <w:color w:val="222222"/>
          <w:sz w:val="24"/>
          <w:szCs w:val="24"/>
          <w:lang w:val="es-ES" w:eastAsia="es-MX"/>
        </w:rPr>
      </w:pPr>
    </w:p>
    <w:p w14:paraId="2BE5F988" w14:textId="0F4FEC22" w:rsidR="001A7BC8" w:rsidRPr="008003B0" w:rsidRDefault="001A7BC8" w:rsidP="00683DC0">
      <w:pPr>
        <w:suppressAutoHyphens/>
        <w:spacing w:after="0" w:line="276" w:lineRule="auto"/>
        <w:jc w:val="both"/>
        <w:rPr>
          <w:rFonts w:ascii="Trebuchet MS" w:eastAsia="Times New Roman" w:hAnsi="Trebuchet MS" w:cs="Tahoma"/>
          <w:b/>
          <w:sz w:val="24"/>
          <w:szCs w:val="24"/>
          <w:lang w:val="es-ES" w:eastAsia="ar-SA"/>
        </w:rPr>
      </w:pPr>
      <w:r w:rsidRP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>S</w:t>
      </w:r>
      <w:r w:rsidR="00DE2B63" w:rsidRP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>egundo</w:t>
      </w:r>
      <w:r w:rsidRPr="008003B0">
        <w:rPr>
          <w:rFonts w:ascii="Trebuchet MS" w:eastAsia="Times New Roman" w:hAnsi="Trebuchet MS" w:cs="Times New Roman"/>
          <w:b/>
          <w:sz w:val="24"/>
          <w:szCs w:val="24"/>
          <w:lang w:eastAsia="ar-SA"/>
        </w:rPr>
        <w:t>.</w:t>
      </w:r>
      <w:r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 </w:t>
      </w:r>
      <w:r w:rsidRPr="008003B0">
        <w:rPr>
          <w:rFonts w:ascii="Trebuchet MS" w:eastAsia="Times New Roman" w:hAnsi="Trebuchet MS" w:cs="Traditional Arabic"/>
          <w:sz w:val="24"/>
          <w:szCs w:val="24"/>
          <w:lang w:val="es-ES" w:eastAsia="ar-SA"/>
        </w:rPr>
        <w:t>Se instruye a la</w:t>
      </w:r>
      <w:r w:rsidR="00DE2B63" w:rsidRPr="008003B0">
        <w:rPr>
          <w:rFonts w:ascii="Trebuchet MS" w:eastAsia="Times New Roman" w:hAnsi="Trebuchet MS" w:cs="Traditional Arabic"/>
          <w:sz w:val="24"/>
          <w:szCs w:val="24"/>
          <w:lang w:val="es-ES" w:eastAsia="ar-SA"/>
        </w:rPr>
        <w:t xml:space="preserve"> Dirección del </w:t>
      </w:r>
      <w:r w:rsidR="002D5116" w:rsidRPr="008003B0">
        <w:rPr>
          <w:rFonts w:ascii="Trebuchet MS" w:eastAsia="Times New Roman" w:hAnsi="Trebuchet MS" w:cs="Traditional Arabic"/>
          <w:sz w:val="24"/>
          <w:szCs w:val="24"/>
          <w:lang w:val="es-ES" w:eastAsia="ar-SA"/>
        </w:rPr>
        <w:t>Secretariado para</w:t>
      </w:r>
      <w:r w:rsidRPr="008003B0">
        <w:rPr>
          <w:rFonts w:ascii="Trebuchet MS" w:eastAsia="Times New Roman" w:hAnsi="Trebuchet MS" w:cs="Traditional Arabic"/>
          <w:sz w:val="24"/>
          <w:szCs w:val="24"/>
          <w:lang w:val="es-ES" w:eastAsia="ar-SA"/>
        </w:rPr>
        <w:t xml:space="preserve"> que </w:t>
      </w:r>
      <w:r w:rsidR="00DE2B63" w:rsidRPr="008003B0">
        <w:rPr>
          <w:rFonts w:ascii="Trebuchet MS" w:eastAsia="Times New Roman" w:hAnsi="Trebuchet MS" w:cs="Traditional Arabic"/>
          <w:sz w:val="24"/>
          <w:szCs w:val="24"/>
          <w:lang w:val="es-ES" w:eastAsia="ar-SA"/>
        </w:rPr>
        <w:t>comunique el presente acuerdo a la Presidencia y a la Secretaría Ejecutiva de este organismo electoral</w:t>
      </w:r>
      <w:r w:rsidRPr="008003B0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 xml:space="preserve">, a efecto de </w:t>
      </w:r>
      <w:r w:rsidR="00FD4228" w:rsidRPr="008003B0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que,</w:t>
      </w:r>
      <w:r w:rsidRPr="008003B0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 xml:space="preserve"> en su oportunidad</w:t>
      </w:r>
      <w:r w:rsidR="009A08E9" w:rsidRPr="008003B0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,</w:t>
      </w:r>
      <w:r w:rsidRPr="008003B0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 xml:space="preserve"> se someta a consideración del Consejo General</w:t>
      </w:r>
      <w:r w:rsidR="009A08E9" w:rsidRPr="008003B0">
        <w:rPr>
          <w:rFonts w:ascii="Trebuchet MS" w:eastAsia="Times New Roman" w:hAnsi="Trebuchet MS" w:cs="Times New Roman"/>
          <w:sz w:val="24"/>
          <w:szCs w:val="24"/>
          <w:lang w:eastAsia="ar-SA"/>
        </w:rPr>
        <w:t xml:space="preserve">. </w:t>
      </w:r>
    </w:p>
    <w:p w14:paraId="30A2A827" w14:textId="79902CD5" w:rsidR="00385F21" w:rsidRPr="008003B0" w:rsidRDefault="00385F21" w:rsidP="001A7BC8">
      <w:pPr>
        <w:suppressAutoHyphens/>
        <w:spacing w:after="0"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val="es-ES" w:eastAsia="ar-SA"/>
        </w:rPr>
      </w:pPr>
    </w:p>
    <w:p w14:paraId="2B14ECAE" w14:textId="77777777" w:rsidR="009A08E9" w:rsidRPr="008003B0" w:rsidRDefault="009A08E9" w:rsidP="001A7BC8">
      <w:pPr>
        <w:suppressAutoHyphens/>
        <w:spacing w:after="0"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val="es-ES" w:eastAsia="ar-S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838"/>
      </w:tblGrid>
      <w:tr w:rsidR="001A7BC8" w:rsidRPr="008003B0" w14:paraId="36C70F02" w14:textId="77777777" w:rsidTr="00554794">
        <w:trPr>
          <w:jc w:val="center"/>
        </w:trPr>
        <w:tc>
          <w:tcPr>
            <w:tcW w:w="5000" w:type="pct"/>
            <w:shd w:val="clear" w:color="auto" w:fill="auto"/>
          </w:tcPr>
          <w:p w14:paraId="6B19C086" w14:textId="77777777" w:rsidR="001A7BC8" w:rsidRPr="008003B0" w:rsidRDefault="001A7BC8" w:rsidP="001A7BC8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</w:pPr>
            <w:r w:rsidRPr="008003B0"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  <w:t xml:space="preserve">Por la Comisión de Investigación y Estudios Electorales </w:t>
            </w:r>
          </w:p>
          <w:p w14:paraId="55FBC525" w14:textId="1878EA81" w:rsidR="001A7BC8" w:rsidRPr="008003B0" w:rsidRDefault="001A7BC8" w:rsidP="001A7BC8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</w:pPr>
            <w:r w:rsidRPr="008003B0"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  <w:t xml:space="preserve">Guadalajara, Jalisco, a </w:t>
            </w:r>
            <w:r w:rsidR="00683DC0" w:rsidRPr="008003B0"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  <w:t xml:space="preserve">20 </w:t>
            </w:r>
            <w:r w:rsidRPr="008003B0"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  <w:t xml:space="preserve">de </w:t>
            </w:r>
            <w:r w:rsidR="00683DC0" w:rsidRPr="008003B0"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  <w:t>mayo</w:t>
            </w:r>
            <w:r w:rsidRPr="008003B0"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  <w:t xml:space="preserve"> de 202</w:t>
            </w:r>
            <w:r w:rsidR="00683DC0" w:rsidRPr="008003B0"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  <w:t>2</w:t>
            </w:r>
          </w:p>
        </w:tc>
      </w:tr>
      <w:tr w:rsidR="001A7BC8" w:rsidRPr="008003B0" w14:paraId="1ABDEBD4" w14:textId="77777777" w:rsidTr="00554794">
        <w:trPr>
          <w:jc w:val="center"/>
        </w:trPr>
        <w:tc>
          <w:tcPr>
            <w:tcW w:w="5000" w:type="pct"/>
            <w:shd w:val="clear" w:color="auto" w:fill="auto"/>
          </w:tcPr>
          <w:p w14:paraId="696FC0AC" w14:textId="7F3F80FD" w:rsidR="00683DC0" w:rsidRPr="008003B0" w:rsidRDefault="00683DC0" w:rsidP="000125F7">
            <w:pPr>
              <w:suppressAutoHyphens/>
              <w:spacing w:after="0" w:line="276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</w:pPr>
          </w:p>
          <w:p w14:paraId="42446970" w14:textId="0C1D9DE1" w:rsidR="00683DC0" w:rsidRPr="008003B0" w:rsidRDefault="00683DC0" w:rsidP="001A7BC8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</w:pPr>
          </w:p>
          <w:p w14:paraId="673E726A" w14:textId="77777777" w:rsidR="000125F7" w:rsidRPr="008003B0" w:rsidRDefault="000125F7" w:rsidP="001A7BC8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</w:pPr>
          </w:p>
          <w:p w14:paraId="1E2FF740" w14:textId="4BE00475" w:rsidR="001A7BC8" w:rsidRPr="008003B0" w:rsidRDefault="00683DC0" w:rsidP="00683DC0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</w:pPr>
            <w:r w:rsidRPr="008003B0"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  <w:t>Moisés Pérez Vega</w:t>
            </w:r>
          </w:p>
          <w:p w14:paraId="2986281F" w14:textId="62310914" w:rsidR="001A7BC8" w:rsidRPr="008003B0" w:rsidRDefault="001A7BC8" w:rsidP="001A7BC8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</w:pPr>
            <w:r w:rsidRPr="008003B0"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" w:eastAsia="ar-SA"/>
              </w:rPr>
              <w:t>Consejer</w:t>
            </w:r>
            <w:r w:rsidR="00683DC0" w:rsidRPr="008003B0"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" w:eastAsia="ar-SA"/>
              </w:rPr>
              <w:t>o</w:t>
            </w:r>
            <w:r w:rsidRPr="008003B0"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" w:eastAsia="ar-SA"/>
              </w:rPr>
              <w:t xml:space="preserve"> electoral president</w:t>
            </w:r>
            <w:r w:rsidR="00683DC0" w:rsidRPr="008003B0"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" w:eastAsia="ar-SA"/>
              </w:rPr>
              <w:t>e</w:t>
            </w:r>
          </w:p>
        </w:tc>
      </w:tr>
    </w:tbl>
    <w:p w14:paraId="2AAA08F7" w14:textId="77777777" w:rsidR="002D5116" w:rsidRPr="008003B0" w:rsidRDefault="002D5116">
      <w:pPr>
        <w:rPr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19"/>
        <w:gridCol w:w="4419"/>
      </w:tblGrid>
      <w:tr w:rsidR="001A7BC8" w:rsidRPr="008003B0" w14:paraId="7C129C08" w14:textId="77777777" w:rsidTr="00554794">
        <w:trPr>
          <w:jc w:val="center"/>
        </w:trPr>
        <w:tc>
          <w:tcPr>
            <w:tcW w:w="2500" w:type="pct"/>
            <w:shd w:val="clear" w:color="auto" w:fill="auto"/>
          </w:tcPr>
          <w:p w14:paraId="030CF132" w14:textId="77777777" w:rsidR="001A7BC8" w:rsidRPr="008003B0" w:rsidRDefault="001A7BC8" w:rsidP="001A7BC8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</w:pPr>
          </w:p>
          <w:p w14:paraId="15F1A976" w14:textId="61B836C1" w:rsidR="00683DC0" w:rsidRPr="008003B0" w:rsidRDefault="00683DC0" w:rsidP="000125F7">
            <w:pPr>
              <w:suppressAutoHyphens/>
              <w:spacing w:after="0" w:line="276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</w:pPr>
          </w:p>
          <w:p w14:paraId="731979AE" w14:textId="77777777" w:rsidR="000125F7" w:rsidRPr="008003B0" w:rsidRDefault="000125F7" w:rsidP="000125F7">
            <w:pPr>
              <w:suppressAutoHyphens/>
              <w:spacing w:after="0" w:line="276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</w:pPr>
          </w:p>
          <w:p w14:paraId="5DE16D9D" w14:textId="77777777" w:rsidR="001A7BC8" w:rsidRPr="008003B0" w:rsidRDefault="001A7BC8" w:rsidP="00683DC0">
            <w:pPr>
              <w:suppressAutoHyphens/>
              <w:spacing w:after="0" w:line="276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</w:pPr>
          </w:p>
          <w:p w14:paraId="620908A0" w14:textId="77777777" w:rsidR="002D5116" w:rsidRPr="008003B0" w:rsidRDefault="002D5116" w:rsidP="001A7BC8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0B4B3FC0" w14:textId="77777777" w:rsidR="002D5116" w:rsidRPr="008003B0" w:rsidRDefault="002D5116" w:rsidP="001A7BC8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0E6626BA" w14:textId="77777777" w:rsidR="002D5116" w:rsidRPr="008003B0" w:rsidRDefault="002D5116" w:rsidP="001A7BC8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val="es-ES" w:eastAsia="es-ES"/>
              </w:rPr>
            </w:pPr>
          </w:p>
          <w:p w14:paraId="2C36F66E" w14:textId="60D960DF" w:rsidR="001A7BC8" w:rsidRPr="008003B0" w:rsidRDefault="001A7BC8" w:rsidP="001A7BC8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</w:pPr>
            <w:r w:rsidRPr="008003B0">
              <w:rPr>
                <w:rFonts w:ascii="Trebuchet MS" w:eastAsia="Times New Roman" w:hAnsi="Trebuchet MS" w:cs="Arial"/>
                <w:b/>
                <w:bCs/>
                <w:sz w:val="24"/>
                <w:szCs w:val="24"/>
                <w:lang w:val="es-ES" w:eastAsia="es-ES"/>
              </w:rPr>
              <w:t>Brenda Judith Serafín Morfín</w:t>
            </w:r>
            <w:r w:rsidRPr="008003B0"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  <w:t xml:space="preserve"> </w:t>
            </w:r>
          </w:p>
          <w:p w14:paraId="53989DFF" w14:textId="77777777" w:rsidR="001A7BC8" w:rsidRPr="008003B0" w:rsidRDefault="001A7BC8" w:rsidP="001A7BC8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</w:pPr>
            <w:r w:rsidRPr="008003B0"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  <w:t>Consejera electoral integrante</w:t>
            </w:r>
          </w:p>
        </w:tc>
        <w:tc>
          <w:tcPr>
            <w:tcW w:w="2500" w:type="pct"/>
            <w:shd w:val="clear" w:color="auto" w:fill="auto"/>
          </w:tcPr>
          <w:p w14:paraId="20F216C8" w14:textId="77777777" w:rsidR="001A7BC8" w:rsidRPr="008003B0" w:rsidRDefault="001A7BC8" w:rsidP="001A7BC8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</w:pPr>
          </w:p>
          <w:p w14:paraId="768FFE11" w14:textId="335DF3CF" w:rsidR="00683DC0" w:rsidRPr="008003B0" w:rsidRDefault="00683DC0" w:rsidP="00683DC0">
            <w:pPr>
              <w:suppressAutoHyphens/>
              <w:spacing w:after="0" w:line="276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</w:pPr>
          </w:p>
          <w:p w14:paraId="365F1FBF" w14:textId="77777777" w:rsidR="000125F7" w:rsidRPr="008003B0" w:rsidRDefault="000125F7" w:rsidP="00683DC0">
            <w:pPr>
              <w:suppressAutoHyphens/>
              <w:spacing w:after="0" w:line="276" w:lineRule="auto"/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</w:pPr>
          </w:p>
          <w:p w14:paraId="52D8BB99" w14:textId="77777777" w:rsidR="00385F21" w:rsidRPr="008003B0" w:rsidRDefault="00385F21" w:rsidP="001A7BC8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</w:pPr>
          </w:p>
          <w:p w14:paraId="12C2C54F" w14:textId="77777777" w:rsidR="002D5116" w:rsidRPr="008003B0" w:rsidRDefault="002D5116" w:rsidP="00683DC0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</w:pPr>
          </w:p>
          <w:p w14:paraId="1886E2A5" w14:textId="77777777" w:rsidR="002D5116" w:rsidRPr="008003B0" w:rsidRDefault="002D5116" w:rsidP="00683DC0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</w:pPr>
          </w:p>
          <w:p w14:paraId="7A9F25CC" w14:textId="77777777" w:rsidR="002D5116" w:rsidRPr="008003B0" w:rsidRDefault="002D5116" w:rsidP="00683DC0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</w:pPr>
          </w:p>
          <w:p w14:paraId="5FA1C3AF" w14:textId="09B18745" w:rsidR="001A7BC8" w:rsidRPr="008003B0" w:rsidRDefault="00683DC0" w:rsidP="00683DC0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</w:pPr>
            <w:r w:rsidRPr="008003B0"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  <w:t>Claudia Alejandra Vargas Bautista</w:t>
            </w:r>
          </w:p>
          <w:p w14:paraId="4830329D" w14:textId="64AF5054" w:rsidR="001A7BC8" w:rsidRPr="008003B0" w:rsidRDefault="001A7BC8" w:rsidP="001A7BC8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</w:pPr>
            <w:r w:rsidRPr="008003B0"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  <w:t>Consejer</w:t>
            </w:r>
            <w:r w:rsidR="00683DC0" w:rsidRPr="008003B0"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  <w:t>a</w:t>
            </w:r>
            <w:r w:rsidRPr="008003B0"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  <w:t xml:space="preserve"> electoral integrante</w:t>
            </w:r>
          </w:p>
        </w:tc>
      </w:tr>
      <w:tr w:rsidR="00526564" w:rsidRPr="008003B0" w14:paraId="045D7B73" w14:textId="77777777" w:rsidTr="00554794">
        <w:trPr>
          <w:trHeight w:val="1323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0F8C76E" w14:textId="77777777" w:rsidR="001A7BC8" w:rsidRPr="008003B0" w:rsidRDefault="001A7BC8" w:rsidP="001A7BC8">
            <w:pPr>
              <w:suppressAutoHyphens/>
              <w:spacing w:after="0" w:line="276" w:lineRule="auto"/>
              <w:rPr>
                <w:rFonts w:ascii="Trebuchet MS" w:eastAsia="Times New Roman" w:hAnsi="Trebuchet MS" w:cs="Times New Roman"/>
                <w:sz w:val="24"/>
                <w:szCs w:val="24"/>
                <w:lang w:val="es-ES" w:eastAsia="ar-SA"/>
              </w:rPr>
            </w:pPr>
          </w:p>
          <w:p w14:paraId="1716385B" w14:textId="77777777" w:rsidR="00683DC0" w:rsidRPr="008003B0" w:rsidRDefault="00683DC0" w:rsidP="000125F7">
            <w:pPr>
              <w:suppressAutoHyphens/>
              <w:spacing w:after="0" w:line="276" w:lineRule="auto"/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" w:eastAsia="ar-SA"/>
              </w:rPr>
            </w:pPr>
          </w:p>
          <w:p w14:paraId="0981C0D6" w14:textId="467A0B1B" w:rsidR="00385F21" w:rsidRPr="008003B0" w:rsidRDefault="00385F21" w:rsidP="001A7BC8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" w:eastAsia="ar-SA"/>
              </w:rPr>
            </w:pPr>
          </w:p>
          <w:p w14:paraId="5308D85C" w14:textId="15611B30" w:rsidR="002D5116" w:rsidRPr="008003B0" w:rsidRDefault="002D5116" w:rsidP="001A7BC8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" w:eastAsia="ar-SA"/>
              </w:rPr>
            </w:pPr>
          </w:p>
          <w:p w14:paraId="495CCB24" w14:textId="07EA0198" w:rsidR="002D5116" w:rsidRPr="008003B0" w:rsidRDefault="002D5116" w:rsidP="001A7BC8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" w:eastAsia="ar-SA"/>
              </w:rPr>
            </w:pPr>
          </w:p>
          <w:p w14:paraId="374BCBB5" w14:textId="71D2AE06" w:rsidR="002D5116" w:rsidRPr="008003B0" w:rsidRDefault="002D5116" w:rsidP="001A7BC8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" w:eastAsia="ar-SA"/>
              </w:rPr>
            </w:pPr>
          </w:p>
          <w:p w14:paraId="3A6B2320" w14:textId="77777777" w:rsidR="002D5116" w:rsidRPr="008003B0" w:rsidRDefault="002D5116" w:rsidP="001A7BC8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" w:eastAsia="ar-SA"/>
              </w:rPr>
            </w:pPr>
          </w:p>
          <w:p w14:paraId="51CF9A0C" w14:textId="71224C8F" w:rsidR="001A7BC8" w:rsidRPr="008003B0" w:rsidRDefault="00683DC0" w:rsidP="001A7BC8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" w:eastAsia="ar-SA"/>
              </w:rPr>
            </w:pPr>
            <w:proofErr w:type="spellStart"/>
            <w:r w:rsidRPr="008003B0"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" w:eastAsia="ar-SA"/>
              </w:rPr>
              <w:t>Sayani</w:t>
            </w:r>
            <w:proofErr w:type="spellEnd"/>
            <w:r w:rsidRPr="008003B0"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" w:eastAsia="ar-SA"/>
              </w:rPr>
              <w:t xml:space="preserve"> </w:t>
            </w:r>
            <w:proofErr w:type="spellStart"/>
            <w:r w:rsidRPr="008003B0"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" w:eastAsia="ar-SA"/>
              </w:rPr>
              <w:t>Mozka</w:t>
            </w:r>
            <w:proofErr w:type="spellEnd"/>
            <w:r w:rsidRPr="008003B0"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" w:eastAsia="ar-SA"/>
              </w:rPr>
              <w:t xml:space="preserve"> Estrada</w:t>
            </w:r>
          </w:p>
          <w:p w14:paraId="2455A311" w14:textId="4AED104C" w:rsidR="001A7BC8" w:rsidRPr="008003B0" w:rsidRDefault="001A7BC8" w:rsidP="001A7BC8">
            <w:pPr>
              <w:suppressAutoHyphens/>
              <w:spacing w:after="0" w:line="276" w:lineRule="auto"/>
              <w:jc w:val="center"/>
              <w:rPr>
                <w:rFonts w:ascii="Trebuchet MS" w:eastAsia="Times New Roman" w:hAnsi="Trebuchet MS" w:cs="Tahoma"/>
                <w:b/>
                <w:sz w:val="24"/>
                <w:szCs w:val="24"/>
                <w:lang w:val="es-ES" w:eastAsia="ar-SA"/>
              </w:rPr>
            </w:pPr>
            <w:r w:rsidRPr="008003B0"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" w:eastAsia="ar-SA"/>
              </w:rPr>
              <w:t>Secretari</w:t>
            </w:r>
            <w:r w:rsidR="00683DC0" w:rsidRPr="008003B0"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" w:eastAsia="ar-SA"/>
              </w:rPr>
              <w:t>a</w:t>
            </w:r>
            <w:r w:rsidRPr="008003B0"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" w:eastAsia="ar-SA"/>
              </w:rPr>
              <w:t xml:space="preserve"> Técnic</w:t>
            </w:r>
            <w:r w:rsidR="00683DC0" w:rsidRPr="008003B0">
              <w:rPr>
                <w:rFonts w:ascii="Trebuchet MS" w:eastAsia="Times New Roman" w:hAnsi="Trebuchet MS" w:cs="Times New Roman"/>
                <w:b/>
                <w:sz w:val="24"/>
                <w:szCs w:val="24"/>
                <w:lang w:val="es-ES" w:eastAsia="ar-SA"/>
              </w:rPr>
              <w:t>a</w:t>
            </w:r>
          </w:p>
        </w:tc>
      </w:tr>
      <w:tr w:rsidR="00526564" w:rsidRPr="000A70E7" w14:paraId="636C11D6" w14:textId="77777777" w:rsidTr="00554794">
        <w:trPr>
          <w:trHeight w:val="691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1155AE11" w14:textId="3B2F61B6" w:rsidR="001A7BC8" w:rsidRDefault="001A7BC8" w:rsidP="001A7BC8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Tahoma"/>
                <w:lang w:val="es-ES" w:eastAsia="ar-SA"/>
              </w:rPr>
            </w:pPr>
          </w:p>
          <w:p w14:paraId="23C449DA" w14:textId="3C51F5A8" w:rsidR="002D5116" w:rsidRDefault="002D5116" w:rsidP="001A7BC8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Tahoma"/>
                <w:lang w:val="es-ES" w:eastAsia="ar-SA"/>
              </w:rPr>
            </w:pPr>
          </w:p>
          <w:p w14:paraId="2F49F01F" w14:textId="77777777" w:rsidR="002D5116" w:rsidRPr="000A70E7" w:rsidRDefault="002D5116" w:rsidP="001A7BC8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Tahoma"/>
                <w:lang w:val="es-ES" w:eastAsia="ar-SA"/>
              </w:rPr>
            </w:pPr>
          </w:p>
          <w:p w14:paraId="1F037A00" w14:textId="4F1C534A" w:rsidR="001A7BC8" w:rsidRPr="000A70E7" w:rsidRDefault="001A7BC8" w:rsidP="00526564">
            <w:pPr>
              <w:suppressAutoHyphens/>
              <w:spacing w:after="0" w:line="276" w:lineRule="auto"/>
              <w:jc w:val="both"/>
              <w:rPr>
                <w:rFonts w:ascii="Trebuchet MS" w:eastAsia="Times New Roman" w:hAnsi="Trebuchet MS" w:cs="Times New Roman"/>
                <w:lang w:val="es-ES" w:eastAsia="ar-SA"/>
              </w:rPr>
            </w:pPr>
            <w:r w:rsidRPr="000A70E7">
              <w:rPr>
                <w:rFonts w:ascii="Trebuchet MS" w:eastAsia="Times New Roman" w:hAnsi="Trebuchet MS" w:cs="Tahoma"/>
                <w:lang w:val="es-ES" w:eastAsia="ar-SA"/>
              </w:rPr>
              <w:t xml:space="preserve">El presente acuerdo que consta de </w:t>
            </w:r>
            <w:r w:rsidR="00116325">
              <w:rPr>
                <w:rFonts w:ascii="Trebuchet MS" w:eastAsia="Times New Roman" w:hAnsi="Trebuchet MS" w:cs="Tahoma"/>
                <w:lang w:val="es-ES" w:eastAsia="ar-SA"/>
              </w:rPr>
              <w:t>6</w:t>
            </w:r>
            <w:r w:rsidRPr="000A70E7">
              <w:rPr>
                <w:rFonts w:ascii="Trebuchet MS" w:eastAsia="Times New Roman" w:hAnsi="Trebuchet MS" w:cs="Tahoma"/>
                <w:lang w:val="es-ES" w:eastAsia="ar-SA"/>
              </w:rPr>
              <w:t xml:space="preserve"> fojas, fue aprobado en</w:t>
            </w:r>
            <w:r w:rsidR="00526564" w:rsidRPr="000A70E7">
              <w:rPr>
                <w:rFonts w:ascii="Trebuchet MS" w:eastAsia="Times New Roman" w:hAnsi="Trebuchet MS" w:cs="Tahoma"/>
                <w:lang w:val="es-ES" w:eastAsia="ar-SA"/>
              </w:rPr>
              <w:t xml:space="preserve"> la </w:t>
            </w:r>
            <w:r w:rsidR="00683DC0">
              <w:rPr>
                <w:rFonts w:ascii="Trebuchet MS" w:eastAsia="Times New Roman" w:hAnsi="Trebuchet MS" w:cs="Tahoma"/>
                <w:lang w:val="es-ES" w:eastAsia="ar-SA"/>
              </w:rPr>
              <w:t>primera</w:t>
            </w:r>
            <w:r w:rsidR="00526564" w:rsidRPr="000A70E7">
              <w:rPr>
                <w:rFonts w:ascii="Trebuchet MS" w:eastAsia="Times New Roman" w:hAnsi="Trebuchet MS" w:cs="Tahoma"/>
                <w:lang w:val="es-ES" w:eastAsia="ar-SA"/>
              </w:rPr>
              <w:t xml:space="preserve"> </w:t>
            </w:r>
            <w:r w:rsidRPr="000A70E7">
              <w:rPr>
                <w:rFonts w:ascii="Trebuchet MS" w:eastAsia="Times New Roman" w:hAnsi="Trebuchet MS" w:cs="Tahoma"/>
                <w:lang w:val="es-ES" w:eastAsia="ar-SA"/>
              </w:rPr>
              <w:t xml:space="preserve">sesión ordinaria de la Comisión de Investigación y Estudios Electorales del Instituto Electoral y de Participación Ciudadana del Estado de Jalisco, celebrada el </w:t>
            </w:r>
            <w:r w:rsidR="00683DC0">
              <w:rPr>
                <w:rFonts w:ascii="Trebuchet MS" w:eastAsia="Times New Roman" w:hAnsi="Trebuchet MS" w:cs="Tahoma"/>
                <w:lang w:val="es-ES" w:eastAsia="ar-SA"/>
              </w:rPr>
              <w:t>20</w:t>
            </w:r>
            <w:r w:rsidRPr="000A70E7">
              <w:rPr>
                <w:rFonts w:ascii="Trebuchet MS" w:eastAsia="Times New Roman" w:hAnsi="Trebuchet MS" w:cs="Tahoma"/>
                <w:lang w:val="es-ES" w:eastAsia="ar-SA"/>
              </w:rPr>
              <w:t xml:space="preserve"> de </w:t>
            </w:r>
            <w:r w:rsidR="00683DC0">
              <w:rPr>
                <w:rFonts w:ascii="Trebuchet MS" w:eastAsia="Times New Roman" w:hAnsi="Trebuchet MS" w:cs="Tahoma"/>
                <w:lang w:val="es-ES" w:eastAsia="ar-SA"/>
              </w:rPr>
              <w:t>mayo</w:t>
            </w:r>
            <w:r w:rsidRPr="000A70E7">
              <w:rPr>
                <w:rFonts w:ascii="Trebuchet MS" w:eastAsia="Times New Roman" w:hAnsi="Trebuchet MS" w:cs="Tahoma"/>
                <w:lang w:val="es-ES" w:eastAsia="ar-SA"/>
              </w:rPr>
              <w:t xml:space="preserve"> de 202</w:t>
            </w:r>
            <w:r w:rsidR="00683DC0">
              <w:rPr>
                <w:rFonts w:ascii="Trebuchet MS" w:eastAsia="Times New Roman" w:hAnsi="Trebuchet MS" w:cs="Tahoma"/>
                <w:lang w:val="es-ES" w:eastAsia="ar-SA"/>
              </w:rPr>
              <w:t>2</w:t>
            </w:r>
            <w:r w:rsidRPr="000A70E7">
              <w:rPr>
                <w:rFonts w:ascii="Trebuchet MS" w:eastAsia="Times New Roman" w:hAnsi="Trebuchet MS" w:cs="Tahoma"/>
                <w:lang w:val="es-ES" w:eastAsia="ar-SA"/>
              </w:rPr>
              <w:t xml:space="preserve">, por </w:t>
            </w:r>
            <w:r w:rsidR="007C01D7" w:rsidRPr="007C01D7">
              <w:rPr>
                <w:rFonts w:ascii="Trebuchet MS" w:eastAsia="Times New Roman" w:hAnsi="Trebuchet MS" w:cs="Tahoma"/>
                <w:b/>
                <w:bCs/>
                <w:lang w:val="es-ES" w:eastAsia="ar-SA"/>
              </w:rPr>
              <w:t>unanimidad</w:t>
            </w:r>
            <w:r w:rsidRPr="000A70E7">
              <w:rPr>
                <w:rFonts w:ascii="Trebuchet MS" w:eastAsia="Times New Roman" w:hAnsi="Trebuchet MS" w:cs="Tahoma"/>
                <w:lang w:val="es-ES" w:eastAsia="ar-SA"/>
              </w:rPr>
              <w:t xml:space="preserve"> de votos de </w:t>
            </w:r>
            <w:r w:rsidR="00683DC0">
              <w:rPr>
                <w:rFonts w:ascii="Trebuchet MS" w:eastAsia="Times New Roman" w:hAnsi="Trebuchet MS" w:cs="Tahoma"/>
                <w:lang w:val="es-ES" w:eastAsia="ar-SA"/>
              </w:rPr>
              <w:t>los</w:t>
            </w:r>
            <w:r w:rsidRPr="000A70E7">
              <w:rPr>
                <w:rFonts w:ascii="Trebuchet MS" w:eastAsia="Times New Roman" w:hAnsi="Trebuchet MS" w:cs="Tahoma"/>
                <w:lang w:val="es-ES" w:eastAsia="ar-SA"/>
              </w:rPr>
              <w:t xml:space="preserve"> integrantes de la Comisi</w:t>
            </w:r>
            <w:r w:rsidR="00526564" w:rsidRPr="000A70E7">
              <w:rPr>
                <w:rFonts w:ascii="Trebuchet MS" w:eastAsia="Times New Roman" w:hAnsi="Trebuchet MS" w:cs="Tahoma"/>
                <w:lang w:val="es-ES" w:eastAsia="ar-SA"/>
              </w:rPr>
              <w:t>ón.-------</w:t>
            </w:r>
            <w:r w:rsidR="00720851">
              <w:rPr>
                <w:rFonts w:ascii="Trebuchet MS" w:eastAsia="Times New Roman" w:hAnsi="Trebuchet MS" w:cs="Tahoma"/>
                <w:lang w:val="es-ES" w:eastAsia="ar-SA"/>
              </w:rPr>
              <w:t>-------------------------------</w:t>
            </w:r>
          </w:p>
        </w:tc>
      </w:tr>
    </w:tbl>
    <w:p w14:paraId="1E973056" w14:textId="77777777" w:rsidR="004C48A8" w:rsidRDefault="004C48A8" w:rsidP="00526564">
      <w:pPr>
        <w:pStyle w:val="Sinespaciado"/>
        <w:spacing w:line="276" w:lineRule="auto"/>
        <w:jc w:val="both"/>
        <w:rPr>
          <w:rFonts w:ascii="Trebuchet MS" w:hAnsi="Trebuchet MS"/>
        </w:rPr>
        <w:sectPr w:rsidR="004C48A8" w:rsidSect="00586DF1">
          <w:headerReference w:type="default" r:id="rId8"/>
          <w:footerReference w:type="default" r:id="rId9"/>
          <w:pgSz w:w="12240" w:h="15840" w:code="1"/>
          <w:pgMar w:top="2552" w:right="1701" w:bottom="1701" w:left="1701" w:header="709" w:footer="709" w:gutter="0"/>
          <w:cols w:space="708"/>
          <w:docGrid w:linePitch="360"/>
        </w:sectPr>
      </w:pPr>
    </w:p>
    <w:p w14:paraId="08EDC6F1" w14:textId="77777777" w:rsidR="004C48A8" w:rsidRPr="00D63159" w:rsidRDefault="004C48A8" w:rsidP="004C48A8">
      <w:pPr>
        <w:tabs>
          <w:tab w:val="left" w:pos="5404"/>
        </w:tabs>
        <w:spacing w:after="0" w:line="276" w:lineRule="auto"/>
        <w:jc w:val="center"/>
        <w:rPr>
          <w:rFonts w:ascii="Didot" w:eastAsia="Calibri" w:hAnsi="Didot" w:cs="Didot"/>
          <w:b/>
          <w:bCs/>
          <w:sz w:val="44"/>
          <w:szCs w:val="44"/>
          <w:lang w:val="es-ES_tradnl"/>
        </w:rPr>
      </w:pPr>
      <w:r w:rsidRPr="00D63159">
        <w:rPr>
          <w:rFonts w:ascii="Didot" w:eastAsia="Calibri" w:hAnsi="Didot" w:cs="Didot"/>
          <w:b/>
          <w:bCs/>
          <w:sz w:val="44"/>
          <w:szCs w:val="44"/>
          <w:lang w:val="es-ES_tradnl"/>
        </w:rPr>
        <w:lastRenderedPageBreak/>
        <w:t>ANEXO</w:t>
      </w:r>
    </w:p>
    <w:p w14:paraId="24F5D3A2" w14:textId="77777777" w:rsidR="004C48A8" w:rsidRPr="00D63159" w:rsidRDefault="004C48A8" w:rsidP="004C48A8">
      <w:pPr>
        <w:tabs>
          <w:tab w:val="left" w:pos="5404"/>
        </w:tabs>
        <w:spacing w:after="0" w:line="276" w:lineRule="auto"/>
        <w:jc w:val="both"/>
        <w:rPr>
          <w:rFonts w:ascii="Didot" w:eastAsia="Calibri" w:hAnsi="Didot" w:cs="Didot"/>
          <w:sz w:val="24"/>
          <w:szCs w:val="24"/>
          <w:lang w:val="es-ES_tradnl"/>
        </w:rPr>
      </w:pPr>
    </w:p>
    <w:p w14:paraId="05C4BDA7" w14:textId="77777777" w:rsidR="004C48A8" w:rsidRPr="00D63159" w:rsidRDefault="004C48A8" w:rsidP="004C48A8">
      <w:pPr>
        <w:tabs>
          <w:tab w:val="left" w:pos="5404"/>
        </w:tabs>
        <w:spacing w:after="0" w:line="276" w:lineRule="auto"/>
        <w:jc w:val="both"/>
        <w:rPr>
          <w:rFonts w:ascii="Didot" w:eastAsia="Calibri" w:hAnsi="Didot" w:cs="Didot"/>
          <w:sz w:val="24"/>
          <w:szCs w:val="24"/>
          <w:lang w:val="es-ES_tradnl"/>
        </w:rPr>
      </w:pPr>
    </w:p>
    <w:p w14:paraId="67AC744D" w14:textId="77777777" w:rsidR="004C48A8" w:rsidRPr="00D63159" w:rsidRDefault="004C48A8" w:rsidP="004C48A8">
      <w:pPr>
        <w:tabs>
          <w:tab w:val="left" w:pos="5404"/>
        </w:tabs>
        <w:spacing w:after="0" w:line="276" w:lineRule="auto"/>
        <w:jc w:val="both"/>
        <w:rPr>
          <w:rFonts w:ascii="Didot" w:eastAsia="Calibri" w:hAnsi="Didot" w:cs="Didot"/>
          <w:sz w:val="24"/>
          <w:szCs w:val="24"/>
          <w:lang w:val="es-ES_tradnl"/>
        </w:rPr>
      </w:pPr>
      <w:r w:rsidRPr="00D63159">
        <w:rPr>
          <w:rFonts w:ascii="Didot" w:eastAsia="Calibri" w:hAnsi="Didot" w:cs="Didot" w:hint="cs"/>
          <w:sz w:val="24"/>
          <w:szCs w:val="24"/>
          <w:lang w:val="es-ES_tradnl"/>
        </w:rPr>
        <w:t>En consideración a los lineamientos de política editorial del Instituto Electoral y de Participación Ciudadana del Estado de Jalisco, el Comité Editorial</w:t>
      </w:r>
      <w:r w:rsidRPr="00D63159">
        <w:rPr>
          <w:rFonts w:ascii="Didot" w:eastAsia="Calibri" w:hAnsi="Didot" w:cs="Didot"/>
          <w:sz w:val="24"/>
          <w:szCs w:val="24"/>
          <w:lang w:val="es-ES_tradnl"/>
        </w:rPr>
        <w:t>,</w:t>
      </w:r>
      <w:r w:rsidRPr="00D63159">
        <w:rPr>
          <w:rFonts w:ascii="Didot" w:eastAsia="Calibri" w:hAnsi="Didot" w:cs="Didot" w:hint="cs"/>
          <w:sz w:val="24"/>
          <w:szCs w:val="24"/>
          <w:lang w:val="es-ES_tradnl"/>
        </w:rPr>
        <w:t xml:space="preserve"> </w:t>
      </w:r>
      <w:r w:rsidRPr="00D63159">
        <w:rPr>
          <w:rFonts w:ascii="Didot" w:eastAsia="Calibri" w:hAnsi="Didot" w:cs="Didot"/>
          <w:sz w:val="24"/>
          <w:szCs w:val="24"/>
          <w:lang w:val="es-ES_tradnl"/>
        </w:rPr>
        <w:t xml:space="preserve">en tanto que órgano técnico del organismo electoral, </w:t>
      </w:r>
      <w:r w:rsidRPr="00D63159">
        <w:rPr>
          <w:rFonts w:ascii="Didot" w:eastAsia="Calibri" w:hAnsi="Didot" w:cs="Didot" w:hint="cs"/>
          <w:sz w:val="24"/>
          <w:szCs w:val="24"/>
          <w:lang w:val="es-ES_tradnl"/>
        </w:rPr>
        <w:t xml:space="preserve">sugiere a la Comisión de Investigación y Estudios Electorales una </w:t>
      </w:r>
      <w:r w:rsidRPr="00D63159">
        <w:rPr>
          <w:rFonts w:ascii="Didot" w:eastAsia="Calibri" w:hAnsi="Didot" w:cs="Didot"/>
          <w:b/>
          <w:bCs/>
          <w:sz w:val="24"/>
          <w:szCs w:val="24"/>
          <w:lang w:val="es-ES_tradnl"/>
        </w:rPr>
        <w:t>N</w:t>
      </w:r>
      <w:r w:rsidRPr="00D63159">
        <w:rPr>
          <w:rFonts w:ascii="Didot" w:eastAsia="Calibri" w:hAnsi="Didot" w:cs="Didot" w:hint="cs"/>
          <w:b/>
          <w:bCs/>
          <w:sz w:val="24"/>
          <w:szCs w:val="24"/>
          <w:lang w:val="es-ES_tradnl"/>
        </w:rPr>
        <w:t>ueva conformación del Catálogo de Publicaciones del Instituto</w:t>
      </w:r>
      <w:r w:rsidRPr="00D63159">
        <w:rPr>
          <w:rFonts w:ascii="Didot" w:eastAsia="Calibri" w:hAnsi="Didot" w:cs="Didot" w:hint="cs"/>
          <w:sz w:val="24"/>
          <w:szCs w:val="24"/>
          <w:lang w:val="es-ES_tradnl"/>
        </w:rPr>
        <w:t xml:space="preserve"> en los términos siguientes:</w:t>
      </w:r>
    </w:p>
    <w:p w14:paraId="5DF6967F" w14:textId="77777777" w:rsidR="004C48A8" w:rsidRPr="00D63159" w:rsidRDefault="004C48A8" w:rsidP="004C48A8">
      <w:pPr>
        <w:tabs>
          <w:tab w:val="left" w:pos="5404"/>
        </w:tabs>
        <w:spacing w:after="0" w:line="276" w:lineRule="auto"/>
        <w:rPr>
          <w:rFonts w:ascii="Didot" w:eastAsia="Calibri" w:hAnsi="Didot" w:cs="Didot"/>
          <w:sz w:val="24"/>
          <w:szCs w:val="24"/>
          <w:lang w:val="es-ES_tradnl"/>
        </w:rPr>
      </w:pPr>
    </w:p>
    <w:p w14:paraId="57F86EE3" w14:textId="77777777" w:rsidR="004C48A8" w:rsidRPr="00D63159" w:rsidRDefault="004C48A8" w:rsidP="004C48A8">
      <w:pPr>
        <w:tabs>
          <w:tab w:val="left" w:pos="5404"/>
        </w:tabs>
        <w:spacing w:after="0" w:line="276" w:lineRule="auto"/>
        <w:rPr>
          <w:rFonts w:ascii="Didot" w:eastAsia="Calibri" w:hAnsi="Didot" w:cs="Didot"/>
          <w:sz w:val="24"/>
          <w:szCs w:val="24"/>
          <w:lang w:val="es-ES_tradnl"/>
        </w:rPr>
      </w:pPr>
    </w:p>
    <w:p w14:paraId="70C2D1C1" w14:textId="77777777" w:rsidR="004C48A8" w:rsidRPr="00D63159" w:rsidRDefault="004C48A8" w:rsidP="004C48A8">
      <w:pPr>
        <w:numPr>
          <w:ilvl w:val="0"/>
          <w:numId w:val="10"/>
        </w:numPr>
        <w:tabs>
          <w:tab w:val="left" w:pos="5404"/>
        </w:tabs>
        <w:spacing w:after="0" w:line="276" w:lineRule="auto"/>
        <w:contextualSpacing/>
        <w:rPr>
          <w:rFonts w:ascii="Didot" w:eastAsia="Calibri" w:hAnsi="Didot" w:cs="Didot"/>
          <w:i/>
          <w:iCs/>
          <w:sz w:val="24"/>
          <w:szCs w:val="24"/>
          <w:lang w:val="es-ES_tradnl"/>
        </w:rPr>
      </w:pPr>
      <w:r w:rsidRPr="00D63159">
        <w:rPr>
          <w:rFonts w:ascii="Didot" w:eastAsia="Calibri" w:hAnsi="Didot" w:cs="Didot" w:hint="cs"/>
          <w:b/>
          <w:bCs/>
          <w:sz w:val="28"/>
          <w:szCs w:val="28"/>
          <w:lang w:val="es-ES_tradnl"/>
        </w:rPr>
        <w:t>Colección Futuros (E)lectores</w:t>
      </w:r>
      <w:r w:rsidRPr="00D63159">
        <w:rPr>
          <w:rFonts w:ascii="Didot" w:eastAsia="Calibri" w:hAnsi="Didot" w:cs="Didot" w:hint="cs"/>
          <w:b/>
          <w:bCs/>
          <w:sz w:val="28"/>
          <w:szCs w:val="28"/>
          <w:lang w:val="es-ES_tradnl"/>
        </w:rPr>
        <w:br/>
      </w:r>
      <w:r w:rsidRPr="00D63159">
        <w:rPr>
          <w:rFonts w:ascii="Didot" w:eastAsia="Calibri" w:hAnsi="Didot" w:cs="Didot" w:hint="cs"/>
          <w:i/>
          <w:iCs/>
          <w:sz w:val="24"/>
          <w:szCs w:val="24"/>
          <w:lang w:val="es-ES_tradnl"/>
        </w:rPr>
        <w:t xml:space="preserve">Su propósito es el fomento de los valores cívicos en </w:t>
      </w:r>
      <w:r w:rsidRPr="00D63159">
        <w:rPr>
          <w:rFonts w:ascii="Didot" w:eastAsia="Calibri" w:hAnsi="Didot" w:cs="Didot"/>
          <w:i/>
          <w:iCs/>
          <w:sz w:val="24"/>
          <w:szCs w:val="24"/>
          <w:lang w:val="es-ES_tradnl"/>
        </w:rPr>
        <w:t>niñas,</w:t>
      </w:r>
      <w:r w:rsidRPr="00D63159">
        <w:rPr>
          <w:rFonts w:ascii="Didot" w:eastAsia="Calibri" w:hAnsi="Didot" w:cs="Didot" w:hint="cs"/>
          <w:i/>
          <w:iCs/>
          <w:sz w:val="24"/>
          <w:szCs w:val="24"/>
          <w:lang w:val="es-ES_tradnl"/>
        </w:rPr>
        <w:t xml:space="preserve"> niños y jóvenes, así como la difusión de la cultura democrática</w:t>
      </w:r>
      <w:r w:rsidRPr="00D63159">
        <w:rPr>
          <w:rFonts w:ascii="Didot" w:eastAsia="Calibri" w:hAnsi="Didot" w:cs="Didot"/>
          <w:i/>
          <w:iCs/>
          <w:sz w:val="24"/>
          <w:szCs w:val="24"/>
          <w:lang w:val="es-ES_tradnl"/>
        </w:rPr>
        <w:t xml:space="preserve"> y</w:t>
      </w:r>
      <w:r w:rsidRPr="00D63159">
        <w:rPr>
          <w:rFonts w:ascii="Didot" w:eastAsia="Calibri" w:hAnsi="Didot" w:cs="Didot" w:hint="cs"/>
          <w:i/>
          <w:iCs/>
          <w:sz w:val="24"/>
          <w:szCs w:val="24"/>
          <w:lang w:val="es-ES_tradnl"/>
        </w:rPr>
        <w:t xml:space="preserve"> la participación ciudadan</w:t>
      </w:r>
      <w:r w:rsidRPr="00D63159">
        <w:rPr>
          <w:rFonts w:ascii="Didot" w:eastAsia="Calibri" w:hAnsi="Didot" w:cs="Didot"/>
          <w:i/>
          <w:iCs/>
          <w:sz w:val="24"/>
          <w:szCs w:val="24"/>
          <w:lang w:val="es-ES_tradnl"/>
        </w:rPr>
        <w:t>a desde una perspectiva incluyente</w:t>
      </w:r>
      <w:r w:rsidRPr="00D63159">
        <w:rPr>
          <w:rFonts w:ascii="Didot" w:eastAsia="Calibri" w:hAnsi="Didot" w:cs="Didot" w:hint="cs"/>
          <w:i/>
          <w:iCs/>
          <w:sz w:val="24"/>
          <w:szCs w:val="24"/>
          <w:lang w:val="es-ES_tradnl"/>
        </w:rPr>
        <w:t xml:space="preserve">. La colección </w:t>
      </w:r>
      <w:r w:rsidRPr="00D63159">
        <w:rPr>
          <w:rFonts w:ascii="Didot" w:eastAsia="Calibri" w:hAnsi="Didot" w:cs="Didot"/>
          <w:i/>
          <w:iCs/>
          <w:sz w:val="24"/>
          <w:szCs w:val="24"/>
          <w:lang w:val="es-ES_tradnl"/>
        </w:rPr>
        <w:t>se</w:t>
      </w:r>
      <w:r w:rsidRPr="00D63159">
        <w:rPr>
          <w:rFonts w:ascii="Didot" w:eastAsia="Calibri" w:hAnsi="Didot" w:cs="Didot" w:hint="cs"/>
          <w:i/>
          <w:iCs/>
          <w:sz w:val="24"/>
          <w:szCs w:val="24"/>
          <w:lang w:val="es-ES_tradnl"/>
        </w:rPr>
        <w:t xml:space="preserve"> </w:t>
      </w:r>
      <w:r w:rsidRPr="00D63159">
        <w:rPr>
          <w:rFonts w:ascii="Didot" w:eastAsia="Calibri" w:hAnsi="Didot" w:cs="Didot"/>
          <w:i/>
          <w:iCs/>
          <w:sz w:val="24"/>
          <w:szCs w:val="24"/>
          <w:lang w:val="es-ES_tradnl"/>
        </w:rPr>
        <w:t>organiza</w:t>
      </w:r>
      <w:r w:rsidRPr="00D63159">
        <w:rPr>
          <w:rFonts w:ascii="Didot" w:eastAsia="Calibri" w:hAnsi="Didot" w:cs="Didot" w:hint="cs"/>
          <w:i/>
          <w:iCs/>
          <w:sz w:val="24"/>
          <w:szCs w:val="24"/>
          <w:lang w:val="es-ES_tradnl"/>
        </w:rPr>
        <w:t xml:space="preserve"> en </w:t>
      </w:r>
      <w:r w:rsidRPr="00D63159">
        <w:rPr>
          <w:rFonts w:ascii="Didot" w:eastAsia="Calibri" w:hAnsi="Didot" w:cs="Didot"/>
          <w:i/>
          <w:iCs/>
          <w:sz w:val="24"/>
          <w:szCs w:val="24"/>
          <w:lang w:val="es-ES_tradnl"/>
        </w:rPr>
        <w:t xml:space="preserve">torno a dos </w:t>
      </w:r>
      <w:r w:rsidRPr="00D63159">
        <w:rPr>
          <w:rFonts w:ascii="Didot" w:eastAsia="Calibri" w:hAnsi="Didot" w:cs="Didot" w:hint="cs"/>
          <w:i/>
          <w:iCs/>
          <w:sz w:val="24"/>
          <w:szCs w:val="24"/>
          <w:lang w:val="es-ES_tradnl"/>
        </w:rPr>
        <w:t xml:space="preserve">series según </w:t>
      </w:r>
      <w:r w:rsidRPr="00D63159">
        <w:rPr>
          <w:rFonts w:ascii="Didot" w:eastAsia="Calibri" w:hAnsi="Didot" w:cs="Didot"/>
          <w:i/>
          <w:iCs/>
          <w:sz w:val="24"/>
          <w:szCs w:val="24"/>
          <w:lang w:val="es-ES_tradnl"/>
        </w:rPr>
        <w:t xml:space="preserve">la </w:t>
      </w:r>
      <w:r w:rsidRPr="00D63159">
        <w:rPr>
          <w:rFonts w:ascii="Didot" w:eastAsia="Calibri" w:hAnsi="Didot" w:cs="Didot" w:hint="cs"/>
          <w:i/>
          <w:iCs/>
          <w:sz w:val="24"/>
          <w:szCs w:val="24"/>
          <w:lang w:val="es-ES_tradnl"/>
        </w:rPr>
        <w:t>edad</w:t>
      </w:r>
      <w:r w:rsidRPr="00D63159">
        <w:rPr>
          <w:rFonts w:ascii="Didot" w:eastAsia="Calibri" w:hAnsi="Didot" w:cs="Didot"/>
          <w:i/>
          <w:iCs/>
          <w:sz w:val="24"/>
          <w:szCs w:val="24"/>
          <w:lang w:val="es-ES_tradnl"/>
        </w:rPr>
        <w:t xml:space="preserve"> y los perfiles del público </w:t>
      </w:r>
      <w:r w:rsidRPr="00D63159">
        <w:rPr>
          <w:rFonts w:ascii="Didot" w:eastAsia="Calibri" w:hAnsi="Didot" w:cs="Didot" w:hint="cs"/>
          <w:i/>
          <w:iCs/>
          <w:sz w:val="24"/>
          <w:szCs w:val="24"/>
          <w:lang w:val="es-ES_tradnl"/>
        </w:rPr>
        <w:t>lector.</w:t>
      </w:r>
      <w:r w:rsidRPr="00D63159">
        <w:rPr>
          <w:rFonts w:ascii="Didot" w:eastAsia="Calibri" w:hAnsi="Didot" w:cs="Didot" w:hint="cs"/>
          <w:i/>
          <w:iCs/>
          <w:sz w:val="24"/>
          <w:szCs w:val="24"/>
          <w:lang w:val="es-ES_tradnl"/>
        </w:rPr>
        <w:br/>
      </w:r>
    </w:p>
    <w:p w14:paraId="7CF5CA67" w14:textId="77777777" w:rsidR="004C48A8" w:rsidRPr="00D63159" w:rsidRDefault="004C48A8" w:rsidP="004C48A8">
      <w:pPr>
        <w:tabs>
          <w:tab w:val="left" w:pos="5404"/>
        </w:tabs>
        <w:spacing w:after="0" w:line="276" w:lineRule="auto"/>
        <w:ind w:left="1416"/>
        <w:contextualSpacing/>
        <w:rPr>
          <w:rFonts w:ascii="Didot" w:eastAsia="Calibri" w:hAnsi="Didot" w:cs="Didot"/>
          <w:sz w:val="24"/>
          <w:szCs w:val="24"/>
          <w:lang w:val="es-ES_tradnl"/>
        </w:rPr>
      </w:pPr>
      <w:r w:rsidRPr="00D63159">
        <w:rPr>
          <w:rFonts w:ascii="Didot" w:eastAsia="Calibri" w:hAnsi="Didot" w:cs="Didot" w:hint="cs"/>
          <w:sz w:val="24"/>
          <w:szCs w:val="24"/>
          <w:lang w:val="es-ES_tradnl"/>
        </w:rPr>
        <w:t>Serie “Utopía”</w:t>
      </w:r>
    </w:p>
    <w:p w14:paraId="7C62C3D5" w14:textId="77777777" w:rsidR="004C48A8" w:rsidRPr="00D63159" w:rsidRDefault="004C48A8" w:rsidP="004C48A8">
      <w:pPr>
        <w:tabs>
          <w:tab w:val="left" w:pos="5404"/>
        </w:tabs>
        <w:spacing w:after="0" w:line="276" w:lineRule="auto"/>
        <w:ind w:left="1416"/>
        <w:contextualSpacing/>
        <w:rPr>
          <w:rFonts w:ascii="Didot" w:eastAsia="Calibri" w:hAnsi="Didot" w:cs="Didot"/>
          <w:sz w:val="24"/>
          <w:szCs w:val="24"/>
          <w:lang w:val="es-ES_tradnl"/>
        </w:rPr>
      </w:pPr>
      <w:r w:rsidRPr="00D63159">
        <w:rPr>
          <w:rFonts w:ascii="Didot" w:eastAsia="Calibri" w:hAnsi="Didot" w:cs="Didot" w:hint="cs"/>
          <w:sz w:val="24"/>
          <w:szCs w:val="24"/>
          <w:lang w:val="es-ES_tradnl"/>
        </w:rPr>
        <w:t>Serie “Entendiendo los valores de la democracia”</w:t>
      </w:r>
    </w:p>
    <w:p w14:paraId="73FFAA4D" w14:textId="77777777" w:rsidR="004C48A8" w:rsidRPr="00D63159" w:rsidRDefault="004C48A8" w:rsidP="004C48A8">
      <w:pPr>
        <w:tabs>
          <w:tab w:val="left" w:pos="5404"/>
        </w:tabs>
        <w:spacing w:after="0" w:line="276" w:lineRule="auto"/>
        <w:ind w:left="1080"/>
        <w:contextualSpacing/>
        <w:rPr>
          <w:rFonts w:ascii="Didot" w:eastAsia="Calibri" w:hAnsi="Didot" w:cs="Didot"/>
          <w:sz w:val="24"/>
          <w:szCs w:val="24"/>
          <w:lang w:val="es-ES_tradnl"/>
        </w:rPr>
      </w:pPr>
    </w:p>
    <w:p w14:paraId="323549C7" w14:textId="77777777" w:rsidR="004C48A8" w:rsidRPr="00D63159" w:rsidRDefault="004C48A8" w:rsidP="004C48A8">
      <w:pPr>
        <w:numPr>
          <w:ilvl w:val="0"/>
          <w:numId w:val="10"/>
        </w:numPr>
        <w:tabs>
          <w:tab w:val="left" w:pos="5404"/>
        </w:tabs>
        <w:spacing w:after="0" w:line="276" w:lineRule="auto"/>
        <w:contextualSpacing/>
        <w:rPr>
          <w:rFonts w:ascii="Didot" w:eastAsia="Calibri" w:hAnsi="Didot" w:cs="Didot"/>
          <w:b/>
          <w:bCs/>
          <w:sz w:val="28"/>
          <w:szCs w:val="28"/>
          <w:lang w:val="es-ES_tradnl"/>
        </w:rPr>
      </w:pPr>
      <w:r w:rsidRPr="00D63159">
        <w:rPr>
          <w:rFonts w:ascii="Didot" w:eastAsia="Calibri" w:hAnsi="Didot" w:cs="Didot" w:hint="cs"/>
          <w:b/>
          <w:bCs/>
          <w:sz w:val="28"/>
          <w:szCs w:val="28"/>
          <w:lang w:val="es-ES_tradnl"/>
        </w:rPr>
        <w:t>Colección Caleidoscopio</w:t>
      </w:r>
    </w:p>
    <w:p w14:paraId="415C303C" w14:textId="77777777" w:rsidR="004C48A8" w:rsidRPr="00D63159" w:rsidRDefault="004C48A8" w:rsidP="004C48A8">
      <w:pPr>
        <w:tabs>
          <w:tab w:val="left" w:pos="5404"/>
        </w:tabs>
        <w:spacing w:after="0" w:line="276" w:lineRule="auto"/>
        <w:ind w:left="1080"/>
        <w:contextualSpacing/>
        <w:rPr>
          <w:rFonts w:ascii="Didot" w:eastAsia="Calibri" w:hAnsi="Didot" w:cs="Didot"/>
          <w:i/>
          <w:iCs/>
          <w:sz w:val="24"/>
          <w:szCs w:val="24"/>
          <w:lang w:val="es-ES_tradnl"/>
        </w:rPr>
      </w:pPr>
      <w:r w:rsidRPr="00D63159">
        <w:rPr>
          <w:rFonts w:ascii="Didot" w:eastAsia="Calibri" w:hAnsi="Didot" w:cs="Didot"/>
          <w:i/>
          <w:iCs/>
          <w:sz w:val="24"/>
          <w:szCs w:val="24"/>
          <w:lang w:val="es-ES_tradnl"/>
        </w:rPr>
        <w:t>La Colección Caleidoscopio reúne tres series cuyas obras son de distinto orden y temáticas relevantes en la discusión sobre el acontecer público, desde tres vertientes: una especializada, otra de divulgación y, una más, literaria. Sus contenidos reflejan un mosaico de conocimientos, reflexiones, debates y figuraciones relativos a todo aquello que da sentido y hace posible la vida democrática.</w:t>
      </w:r>
    </w:p>
    <w:p w14:paraId="08B33894" w14:textId="77777777" w:rsidR="004C48A8" w:rsidRPr="00D63159" w:rsidRDefault="004C48A8" w:rsidP="004C48A8">
      <w:pPr>
        <w:tabs>
          <w:tab w:val="left" w:pos="5404"/>
        </w:tabs>
        <w:spacing w:after="0" w:line="276" w:lineRule="auto"/>
        <w:ind w:left="1080"/>
        <w:contextualSpacing/>
        <w:rPr>
          <w:rFonts w:ascii="Didot" w:eastAsia="Calibri" w:hAnsi="Didot" w:cs="Didot"/>
          <w:i/>
          <w:iCs/>
          <w:sz w:val="24"/>
          <w:szCs w:val="24"/>
          <w:lang w:val="es-ES_tradnl"/>
        </w:rPr>
      </w:pPr>
    </w:p>
    <w:p w14:paraId="5E8E43E1" w14:textId="77777777" w:rsidR="004C48A8" w:rsidRPr="00D63159" w:rsidRDefault="004C48A8" w:rsidP="004C48A8">
      <w:pPr>
        <w:tabs>
          <w:tab w:val="left" w:pos="5404"/>
        </w:tabs>
        <w:spacing w:after="0" w:line="276" w:lineRule="auto"/>
        <w:ind w:left="1416"/>
        <w:contextualSpacing/>
        <w:rPr>
          <w:rFonts w:ascii="Didot" w:eastAsia="Calibri" w:hAnsi="Didot" w:cs="Didot"/>
          <w:sz w:val="24"/>
          <w:szCs w:val="24"/>
          <w:lang w:val="es-ES_tradnl"/>
        </w:rPr>
      </w:pPr>
      <w:r w:rsidRPr="00D63159">
        <w:rPr>
          <w:rFonts w:ascii="Didot" w:eastAsia="Calibri" w:hAnsi="Didot" w:cs="Didot" w:hint="cs"/>
          <w:sz w:val="24"/>
          <w:szCs w:val="24"/>
          <w:lang w:val="es-ES_tradnl"/>
        </w:rPr>
        <w:t>Serie “Debate democrático”</w:t>
      </w:r>
    </w:p>
    <w:p w14:paraId="12CEFED6" w14:textId="77777777" w:rsidR="004C48A8" w:rsidRPr="00D63159" w:rsidRDefault="004C48A8" w:rsidP="004C48A8">
      <w:pPr>
        <w:tabs>
          <w:tab w:val="left" w:pos="5404"/>
        </w:tabs>
        <w:spacing w:after="0" w:line="276" w:lineRule="auto"/>
        <w:ind w:left="1416"/>
        <w:contextualSpacing/>
        <w:rPr>
          <w:rFonts w:ascii="Didot" w:eastAsia="Calibri" w:hAnsi="Didot" w:cs="Didot"/>
          <w:sz w:val="24"/>
          <w:szCs w:val="24"/>
          <w:lang w:val="es-ES_tradnl"/>
        </w:rPr>
      </w:pPr>
      <w:r w:rsidRPr="00D63159">
        <w:rPr>
          <w:rFonts w:ascii="Didot" w:eastAsia="Calibri" w:hAnsi="Didot" w:cs="Didot" w:hint="cs"/>
          <w:sz w:val="24"/>
          <w:szCs w:val="24"/>
          <w:lang w:val="es-ES_tradnl"/>
        </w:rPr>
        <w:t>Serie “Para entender</w:t>
      </w:r>
      <w:r w:rsidRPr="00D63159">
        <w:rPr>
          <w:rFonts w:ascii="Didot" w:eastAsia="Calibri" w:hAnsi="Didot" w:cs="Didot"/>
          <w:sz w:val="24"/>
          <w:szCs w:val="24"/>
          <w:lang w:val="es-ES_tradnl"/>
        </w:rPr>
        <w:t>–</w:t>
      </w:r>
      <w:r w:rsidRPr="00D63159">
        <w:rPr>
          <w:rFonts w:ascii="Didot" w:eastAsia="Calibri" w:hAnsi="Didot" w:cs="Didot" w:hint="cs"/>
          <w:sz w:val="24"/>
          <w:szCs w:val="24"/>
          <w:lang w:val="es-ES_tradnl"/>
        </w:rPr>
        <w:t>nos”</w:t>
      </w:r>
    </w:p>
    <w:p w14:paraId="2A130108" w14:textId="77777777" w:rsidR="004C48A8" w:rsidRPr="00D63159" w:rsidRDefault="004C48A8" w:rsidP="004C48A8">
      <w:pPr>
        <w:tabs>
          <w:tab w:val="left" w:pos="5404"/>
        </w:tabs>
        <w:spacing w:after="0" w:line="276" w:lineRule="auto"/>
        <w:ind w:left="1416"/>
        <w:contextualSpacing/>
        <w:rPr>
          <w:rFonts w:ascii="Didot" w:eastAsia="Calibri" w:hAnsi="Didot" w:cs="Didot"/>
          <w:sz w:val="24"/>
          <w:szCs w:val="24"/>
          <w:lang w:val="es-ES_tradnl"/>
        </w:rPr>
      </w:pPr>
      <w:r w:rsidRPr="00D63159">
        <w:rPr>
          <w:rFonts w:ascii="Didot" w:eastAsia="Calibri" w:hAnsi="Didot" w:cs="Didot" w:hint="cs"/>
          <w:sz w:val="24"/>
          <w:szCs w:val="24"/>
          <w:lang w:val="es-ES_tradnl"/>
        </w:rPr>
        <w:t>Serie “(E</w:t>
      </w:r>
      <w:proofErr w:type="gramStart"/>
      <w:r w:rsidRPr="00D63159">
        <w:rPr>
          <w:rFonts w:ascii="Didot" w:eastAsia="Calibri" w:hAnsi="Didot" w:cs="Didot" w:hint="cs"/>
          <w:sz w:val="24"/>
          <w:szCs w:val="24"/>
          <w:lang w:val="es-ES_tradnl"/>
        </w:rPr>
        <w:t>)lectores</w:t>
      </w:r>
      <w:proofErr w:type="gramEnd"/>
      <w:r w:rsidRPr="00D63159">
        <w:rPr>
          <w:rFonts w:ascii="Didot" w:eastAsia="Calibri" w:hAnsi="Didot" w:cs="Didot"/>
          <w:sz w:val="24"/>
          <w:szCs w:val="24"/>
          <w:lang w:val="es-ES_tradnl"/>
        </w:rPr>
        <w:t>”</w:t>
      </w:r>
    </w:p>
    <w:p w14:paraId="361B469B" w14:textId="77777777" w:rsidR="004C48A8" w:rsidRPr="00D63159" w:rsidRDefault="004C48A8" w:rsidP="004C48A8">
      <w:pPr>
        <w:tabs>
          <w:tab w:val="left" w:pos="5404"/>
        </w:tabs>
        <w:spacing w:after="0" w:line="276" w:lineRule="auto"/>
        <w:ind w:left="1416"/>
        <w:contextualSpacing/>
        <w:rPr>
          <w:rFonts w:ascii="Didot" w:eastAsia="Calibri" w:hAnsi="Didot" w:cs="Didot"/>
          <w:sz w:val="24"/>
          <w:szCs w:val="24"/>
          <w:lang w:val="es-ES_tradnl"/>
        </w:rPr>
      </w:pPr>
    </w:p>
    <w:p w14:paraId="4F7072B6" w14:textId="77777777" w:rsidR="004C48A8" w:rsidRPr="00D63159" w:rsidRDefault="004C48A8" w:rsidP="004C48A8">
      <w:pPr>
        <w:numPr>
          <w:ilvl w:val="0"/>
          <w:numId w:val="10"/>
        </w:numPr>
        <w:tabs>
          <w:tab w:val="left" w:pos="5404"/>
        </w:tabs>
        <w:spacing w:after="0" w:line="276" w:lineRule="auto"/>
        <w:contextualSpacing/>
        <w:rPr>
          <w:rFonts w:ascii="Didot" w:eastAsia="Calibri" w:hAnsi="Didot" w:cs="Didot"/>
          <w:b/>
          <w:bCs/>
          <w:sz w:val="28"/>
          <w:szCs w:val="28"/>
          <w:lang w:val="es-ES_tradnl"/>
        </w:rPr>
      </w:pPr>
      <w:r w:rsidRPr="00D63159">
        <w:rPr>
          <w:rFonts w:ascii="Didot" w:eastAsia="Calibri" w:hAnsi="Didot" w:cs="Didot" w:hint="cs"/>
          <w:b/>
          <w:bCs/>
          <w:sz w:val="28"/>
          <w:szCs w:val="28"/>
          <w:lang w:val="es-ES_tradnl"/>
        </w:rPr>
        <w:t>Colección Institucional</w:t>
      </w:r>
    </w:p>
    <w:p w14:paraId="27ED981F" w14:textId="77777777" w:rsidR="004C48A8" w:rsidRPr="00D63159" w:rsidRDefault="004C48A8" w:rsidP="004C48A8">
      <w:pPr>
        <w:tabs>
          <w:tab w:val="left" w:pos="5404"/>
        </w:tabs>
        <w:spacing w:after="0" w:line="276" w:lineRule="auto"/>
        <w:ind w:left="1080"/>
        <w:contextualSpacing/>
        <w:rPr>
          <w:rFonts w:ascii="Didot" w:eastAsia="Calibri" w:hAnsi="Didot" w:cs="Didot"/>
          <w:i/>
          <w:iCs/>
          <w:sz w:val="24"/>
          <w:szCs w:val="24"/>
          <w:lang w:val="es-ES_tradnl"/>
        </w:rPr>
      </w:pPr>
      <w:r w:rsidRPr="00D63159">
        <w:rPr>
          <w:rFonts w:ascii="Didot" w:eastAsia="Calibri" w:hAnsi="Didot" w:cs="Didot"/>
          <w:i/>
          <w:iCs/>
          <w:sz w:val="24"/>
          <w:szCs w:val="24"/>
          <w:lang w:val="es-ES_tradnl"/>
        </w:rPr>
        <w:t>Esta colección reúne los documentos y registros de los procesos electorales organizados por el Instituto Electoral, así como las publicaciones que fungen como un ejercicio de rendición de cuentas para la ciudadanía.</w:t>
      </w:r>
    </w:p>
    <w:p w14:paraId="60F1953B" w14:textId="77777777" w:rsidR="004C48A8" w:rsidRPr="00D63159" w:rsidRDefault="004C48A8" w:rsidP="004C48A8">
      <w:pPr>
        <w:tabs>
          <w:tab w:val="left" w:pos="5404"/>
        </w:tabs>
        <w:spacing w:after="0" w:line="276" w:lineRule="auto"/>
        <w:ind w:left="1080"/>
        <w:contextualSpacing/>
        <w:rPr>
          <w:rFonts w:ascii="Didot" w:eastAsia="Calibri" w:hAnsi="Didot" w:cs="Didot"/>
          <w:i/>
          <w:iCs/>
          <w:sz w:val="24"/>
          <w:szCs w:val="24"/>
          <w:lang w:val="es-ES_tradnl"/>
        </w:rPr>
      </w:pPr>
    </w:p>
    <w:p w14:paraId="2EF6EC93" w14:textId="77777777" w:rsidR="004C48A8" w:rsidRPr="00D63159" w:rsidRDefault="004C48A8" w:rsidP="004C48A8">
      <w:pPr>
        <w:tabs>
          <w:tab w:val="left" w:pos="1560"/>
        </w:tabs>
        <w:spacing w:after="0" w:line="276" w:lineRule="auto"/>
        <w:ind w:left="1080"/>
        <w:contextualSpacing/>
        <w:rPr>
          <w:rFonts w:ascii="Didot" w:eastAsia="Calibri" w:hAnsi="Didot" w:cs="Didot"/>
          <w:sz w:val="24"/>
          <w:szCs w:val="24"/>
          <w:lang w:val="es-ES_tradnl"/>
        </w:rPr>
      </w:pPr>
      <w:r w:rsidRPr="00D63159">
        <w:rPr>
          <w:rFonts w:ascii="Didot" w:eastAsia="Calibri" w:hAnsi="Didot" w:cs="Didot"/>
          <w:i/>
          <w:iCs/>
          <w:sz w:val="24"/>
          <w:szCs w:val="24"/>
          <w:lang w:val="es-ES_tradnl"/>
        </w:rPr>
        <w:tab/>
      </w:r>
      <w:r w:rsidRPr="00D63159">
        <w:rPr>
          <w:rFonts w:ascii="Didot" w:eastAsia="Calibri" w:hAnsi="Didot" w:cs="Didot"/>
          <w:sz w:val="24"/>
          <w:szCs w:val="24"/>
          <w:lang w:val="es-ES_tradnl"/>
        </w:rPr>
        <w:t>Serie “</w:t>
      </w:r>
      <w:proofErr w:type="spellStart"/>
      <w:r w:rsidRPr="00D63159">
        <w:rPr>
          <w:rFonts w:ascii="Didot" w:eastAsia="Calibri" w:hAnsi="Didot" w:cs="Didot"/>
          <w:sz w:val="24"/>
          <w:szCs w:val="24"/>
          <w:lang w:val="es-ES_tradnl"/>
        </w:rPr>
        <w:t>Lex</w:t>
      </w:r>
      <w:proofErr w:type="spellEnd"/>
      <w:r w:rsidRPr="00D63159">
        <w:rPr>
          <w:rFonts w:ascii="Didot" w:eastAsia="Calibri" w:hAnsi="Didot" w:cs="Didot"/>
          <w:sz w:val="24"/>
          <w:szCs w:val="24"/>
          <w:lang w:val="es-ES_tradnl"/>
        </w:rPr>
        <w:t>”</w:t>
      </w:r>
    </w:p>
    <w:p w14:paraId="51DE8BB5" w14:textId="77777777" w:rsidR="004C48A8" w:rsidRPr="00D63159" w:rsidRDefault="004C48A8" w:rsidP="004C48A8">
      <w:pPr>
        <w:tabs>
          <w:tab w:val="left" w:pos="1560"/>
        </w:tabs>
        <w:spacing w:after="0" w:line="276" w:lineRule="auto"/>
        <w:ind w:left="1080"/>
        <w:contextualSpacing/>
        <w:rPr>
          <w:rFonts w:ascii="Didot" w:eastAsia="Calibri" w:hAnsi="Didot" w:cs="Didot"/>
          <w:sz w:val="24"/>
          <w:szCs w:val="24"/>
          <w:lang w:val="es-ES_tradnl"/>
        </w:rPr>
      </w:pPr>
      <w:r w:rsidRPr="00D63159">
        <w:rPr>
          <w:rFonts w:ascii="Didot" w:eastAsia="Calibri" w:hAnsi="Didot" w:cs="Didot"/>
          <w:sz w:val="24"/>
          <w:szCs w:val="24"/>
          <w:lang w:val="es-ES_tradnl"/>
        </w:rPr>
        <w:tab/>
        <w:t>Serie “Memoria”</w:t>
      </w:r>
    </w:p>
    <w:p w14:paraId="61A28375" w14:textId="77777777" w:rsidR="004C48A8" w:rsidRPr="00D63159" w:rsidRDefault="004C48A8" w:rsidP="004C48A8">
      <w:pPr>
        <w:tabs>
          <w:tab w:val="left" w:pos="5404"/>
        </w:tabs>
        <w:spacing w:after="0" w:line="276" w:lineRule="auto"/>
        <w:ind w:left="1080"/>
        <w:contextualSpacing/>
        <w:rPr>
          <w:rFonts w:ascii="Didot" w:eastAsia="Calibri" w:hAnsi="Didot" w:cs="Didot"/>
          <w:sz w:val="24"/>
          <w:szCs w:val="24"/>
          <w:lang w:val="es-ES_tradnl"/>
        </w:rPr>
      </w:pPr>
    </w:p>
    <w:p w14:paraId="3299FE24" w14:textId="77777777" w:rsidR="004C48A8" w:rsidRPr="00D63159" w:rsidRDefault="004C48A8" w:rsidP="004C48A8">
      <w:pPr>
        <w:numPr>
          <w:ilvl w:val="0"/>
          <w:numId w:val="10"/>
        </w:numPr>
        <w:tabs>
          <w:tab w:val="left" w:pos="5404"/>
        </w:tabs>
        <w:spacing w:after="0" w:line="276" w:lineRule="auto"/>
        <w:contextualSpacing/>
        <w:rPr>
          <w:rFonts w:ascii="Didot" w:eastAsia="Calibri" w:hAnsi="Didot" w:cs="Didot"/>
          <w:b/>
          <w:bCs/>
          <w:sz w:val="28"/>
          <w:szCs w:val="28"/>
          <w:lang w:val="es-ES_tradnl"/>
        </w:rPr>
      </w:pPr>
      <w:r w:rsidRPr="00D63159">
        <w:rPr>
          <w:rFonts w:ascii="Didot" w:eastAsia="Calibri" w:hAnsi="Didot" w:cs="Didot" w:hint="cs"/>
          <w:b/>
          <w:bCs/>
          <w:sz w:val="28"/>
          <w:szCs w:val="28"/>
          <w:lang w:val="es-ES_tradnl"/>
        </w:rPr>
        <w:lastRenderedPageBreak/>
        <w:t>Revista Folios</w:t>
      </w:r>
    </w:p>
    <w:p w14:paraId="58B76E5D" w14:textId="77777777" w:rsidR="004C48A8" w:rsidRPr="00D63159" w:rsidRDefault="004C48A8" w:rsidP="004C48A8">
      <w:pPr>
        <w:tabs>
          <w:tab w:val="left" w:pos="5404"/>
        </w:tabs>
        <w:spacing w:after="0" w:line="276" w:lineRule="auto"/>
        <w:ind w:left="1080"/>
        <w:contextualSpacing/>
        <w:rPr>
          <w:rFonts w:ascii="Didot" w:eastAsia="Calibri" w:hAnsi="Didot" w:cs="Didot"/>
          <w:i/>
          <w:iCs/>
          <w:sz w:val="24"/>
          <w:szCs w:val="24"/>
          <w:lang w:val="es-ES_tradnl"/>
        </w:rPr>
      </w:pPr>
      <w:r w:rsidRPr="00D63159">
        <w:rPr>
          <w:rFonts w:ascii="Didot" w:eastAsia="Calibri" w:hAnsi="Didot" w:cs="Didot"/>
          <w:sz w:val="24"/>
          <w:szCs w:val="24"/>
          <w:lang w:val="es-ES_tradnl"/>
        </w:rPr>
        <w:t>Folios</w:t>
      </w:r>
      <w:r w:rsidRPr="00D63159">
        <w:rPr>
          <w:rFonts w:ascii="Didot" w:eastAsia="Calibri" w:hAnsi="Didot" w:cs="Didot"/>
          <w:i/>
          <w:iCs/>
          <w:sz w:val="24"/>
          <w:szCs w:val="24"/>
          <w:lang w:val="es-ES_tradnl"/>
        </w:rPr>
        <w:t xml:space="preserve"> es una revista de discusión y análisis editada desde el año 2006. A lo largo de sus treinta y siete números se han publicado textos de más 250 colaboradores y la obra de más de una centena de artistas plásticos y gráficos. Cada edición reúne temas de interés público desde una perspectiva abierta, multidisciplinaria, plural y crítica, abordados de manera prioritaria (</w:t>
      </w:r>
      <w:proofErr w:type="gramStart"/>
      <w:r w:rsidRPr="00D63159">
        <w:rPr>
          <w:rFonts w:ascii="Didot" w:eastAsia="Calibri" w:hAnsi="Didot" w:cs="Didot"/>
          <w:i/>
          <w:iCs/>
          <w:sz w:val="24"/>
          <w:szCs w:val="24"/>
          <w:lang w:val="es-ES_tradnl"/>
        </w:rPr>
        <w:t>mas</w:t>
      </w:r>
      <w:proofErr w:type="gramEnd"/>
      <w:r w:rsidRPr="00D63159">
        <w:rPr>
          <w:rFonts w:ascii="Didot" w:eastAsia="Calibri" w:hAnsi="Didot" w:cs="Didot"/>
          <w:i/>
          <w:iCs/>
          <w:sz w:val="24"/>
          <w:szCs w:val="24"/>
          <w:lang w:val="es-ES_tradnl"/>
        </w:rPr>
        <w:t xml:space="preserve"> no indispensable) desde la tesitura de la cultura democrática y de la participación ciudadana en todas sus vertientes con fines de divulgación. Su perfil de público lector está conformado por la ciudadanía interesada en acercarse a reflexionar sobre los grandes temas de la cultura democrática, la participación ciudadana, la literatura y las artes.</w:t>
      </w:r>
    </w:p>
    <w:p w14:paraId="1011C3F9" w14:textId="77777777" w:rsidR="004C48A8" w:rsidRPr="00D63159" w:rsidRDefault="004C48A8" w:rsidP="004C48A8">
      <w:pPr>
        <w:widowControl w:val="0"/>
        <w:tabs>
          <w:tab w:val="left" w:pos="5404"/>
        </w:tabs>
        <w:spacing w:after="0" w:line="240" w:lineRule="auto"/>
        <w:ind w:right="-93"/>
        <w:jc w:val="center"/>
        <w:rPr>
          <w:rFonts w:ascii="Didot" w:eastAsia="Calibri" w:hAnsi="Didot" w:cs="Didot"/>
          <w:b/>
          <w:sz w:val="24"/>
          <w:szCs w:val="24"/>
        </w:rPr>
      </w:pPr>
    </w:p>
    <w:p w14:paraId="1497E74D" w14:textId="77777777" w:rsidR="004C48A8" w:rsidRPr="00D63159" w:rsidRDefault="004C48A8" w:rsidP="004C48A8">
      <w:pPr>
        <w:widowControl w:val="0"/>
        <w:tabs>
          <w:tab w:val="left" w:pos="5404"/>
        </w:tabs>
        <w:spacing w:after="0" w:line="240" w:lineRule="auto"/>
        <w:ind w:right="-93"/>
        <w:jc w:val="center"/>
        <w:rPr>
          <w:rFonts w:ascii="Didot" w:eastAsia="Calibri" w:hAnsi="Didot" w:cs="Didot"/>
          <w:b/>
          <w:sz w:val="24"/>
          <w:szCs w:val="24"/>
        </w:rPr>
      </w:pPr>
    </w:p>
    <w:p w14:paraId="22911F29" w14:textId="77777777" w:rsidR="004C48A8" w:rsidRPr="00D63159" w:rsidRDefault="004C48A8" w:rsidP="004C48A8">
      <w:pPr>
        <w:widowControl w:val="0"/>
        <w:tabs>
          <w:tab w:val="left" w:pos="5404"/>
        </w:tabs>
        <w:spacing w:after="0" w:line="240" w:lineRule="auto"/>
        <w:ind w:right="-93"/>
        <w:jc w:val="center"/>
        <w:rPr>
          <w:rFonts w:ascii="Didot" w:eastAsia="Calibri" w:hAnsi="Didot" w:cs="Didot"/>
          <w:b/>
          <w:sz w:val="24"/>
          <w:szCs w:val="24"/>
        </w:rPr>
      </w:pPr>
    </w:p>
    <w:p w14:paraId="3465257D" w14:textId="77777777" w:rsidR="004C48A8" w:rsidRPr="00D63159" w:rsidRDefault="004C48A8" w:rsidP="004C48A8">
      <w:pPr>
        <w:widowControl w:val="0"/>
        <w:tabs>
          <w:tab w:val="left" w:pos="5404"/>
        </w:tabs>
        <w:spacing w:after="0" w:line="240" w:lineRule="auto"/>
        <w:ind w:right="-93"/>
        <w:jc w:val="center"/>
        <w:rPr>
          <w:rFonts w:ascii="Didot" w:eastAsia="Calibri" w:hAnsi="Didot" w:cs="Didot"/>
          <w:b/>
          <w:sz w:val="23"/>
        </w:rPr>
      </w:pPr>
      <w:r w:rsidRPr="00D63159">
        <w:rPr>
          <w:rFonts w:ascii="Didot" w:eastAsia="Calibri" w:hAnsi="Didot" w:cs="Didot" w:hint="cs"/>
          <w:b/>
          <w:sz w:val="23"/>
        </w:rPr>
        <w:t>Guadalajara,</w:t>
      </w:r>
      <w:r w:rsidRPr="00D63159">
        <w:rPr>
          <w:rFonts w:ascii="Didot" w:eastAsia="Calibri" w:hAnsi="Didot" w:cs="Didot" w:hint="cs"/>
          <w:b/>
          <w:spacing w:val="29"/>
          <w:sz w:val="23"/>
        </w:rPr>
        <w:t xml:space="preserve"> </w:t>
      </w:r>
      <w:r w:rsidRPr="00D63159">
        <w:rPr>
          <w:rFonts w:ascii="Didot" w:eastAsia="Calibri" w:hAnsi="Didot" w:cs="Didot" w:hint="cs"/>
          <w:b/>
          <w:sz w:val="23"/>
        </w:rPr>
        <w:t>Jalisco</w:t>
      </w:r>
      <w:r w:rsidRPr="00D63159">
        <w:rPr>
          <w:rFonts w:ascii="Didot" w:eastAsia="Calibri" w:hAnsi="Didot" w:cs="Didot"/>
          <w:b/>
          <w:sz w:val="23"/>
        </w:rPr>
        <w:t>,</w:t>
      </w:r>
      <w:r w:rsidRPr="00D63159">
        <w:rPr>
          <w:rFonts w:ascii="Didot" w:eastAsia="Calibri" w:hAnsi="Didot" w:cs="Didot" w:hint="cs"/>
          <w:b/>
          <w:spacing w:val="37"/>
          <w:sz w:val="23"/>
        </w:rPr>
        <w:t xml:space="preserve"> </w:t>
      </w:r>
      <w:r w:rsidRPr="00D63159">
        <w:rPr>
          <w:rFonts w:ascii="Didot" w:eastAsia="Calibri" w:hAnsi="Didot" w:cs="Didot" w:hint="cs"/>
          <w:b/>
          <w:sz w:val="23"/>
        </w:rPr>
        <w:t>a</w:t>
      </w:r>
      <w:r w:rsidRPr="00D63159">
        <w:rPr>
          <w:rFonts w:ascii="Didot" w:eastAsia="Calibri" w:hAnsi="Didot" w:cs="Didot" w:hint="cs"/>
          <w:b/>
          <w:spacing w:val="31"/>
          <w:sz w:val="23"/>
        </w:rPr>
        <w:t xml:space="preserve"> </w:t>
      </w:r>
      <w:r w:rsidRPr="00D63159">
        <w:rPr>
          <w:rFonts w:ascii="Didot" w:eastAsia="Calibri" w:hAnsi="Didot" w:cs="Didot"/>
          <w:b/>
          <w:sz w:val="23"/>
        </w:rPr>
        <w:t>30 de marzo de 2022.</w:t>
      </w:r>
    </w:p>
    <w:p w14:paraId="275BEBBA" w14:textId="77777777" w:rsidR="004C48A8" w:rsidRPr="00D63159" w:rsidRDefault="004C48A8" w:rsidP="004C48A8">
      <w:pPr>
        <w:widowControl w:val="0"/>
        <w:tabs>
          <w:tab w:val="left" w:pos="5404"/>
        </w:tabs>
        <w:spacing w:after="0" w:line="240" w:lineRule="auto"/>
        <w:ind w:right="-93"/>
        <w:jc w:val="center"/>
        <w:rPr>
          <w:rFonts w:ascii="Didot" w:eastAsia="Calibri" w:hAnsi="Didot" w:cs="Didot"/>
          <w:b/>
          <w:sz w:val="24"/>
          <w:szCs w:val="24"/>
        </w:rPr>
      </w:pPr>
    </w:p>
    <w:p w14:paraId="0C6F04B5" w14:textId="77777777" w:rsidR="004C48A8" w:rsidRPr="00D63159" w:rsidRDefault="004C48A8" w:rsidP="004C48A8">
      <w:pPr>
        <w:widowControl w:val="0"/>
        <w:tabs>
          <w:tab w:val="left" w:pos="5404"/>
        </w:tabs>
        <w:spacing w:after="0" w:line="240" w:lineRule="auto"/>
        <w:ind w:right="-93"/>
        <w:jc w:val="center"/>
        <w:rPr>
          <w:rFonts w:ascii="Didot" w:eastAsia="Calibri" w:hAnsi="Didot" w:cs="Didot"/>
          <w:b/>
          <w:sz w:val="24"/>
          <w:szCs w:val="24"/>
        </w:rPr>
      </w:pPr>
      <w:r w:rsidRPr="00D63159">
        <w:rPr>
          <w:rFonts w:ascii="Didot" w:eastAsia="Calibri" w:hAnsi="Didot" w:cs="Didot"/>
          <w:b/>
          <w:sz w:val="24"/>
          <w:szCs w:val="24"/>
        </w:rPr>
        <w:t>INTEGRANTES DEL COMITÉ EDITORIAL</w:t>
      </w:r>
    </w:p>
    <w:p w14:paraId="1A1447D5" w14:textId="77777777" w:rsidR="004C48A8" w:rsidRPr="00D63159" w:rsidRDefault="004C48A8" w:rsidP="004C48A8">
      <w:pPr>
        <w:widowControl w:val="0"/>
        <w:tabs>
          <w:tab w:val="left" w:pos="5404"/>
        </w:tabs>
        <w:spacing w:after="0" w:line="240" w:lineRule="auto"/>
        <w:ind w:right="-93"/>
        <w:jc w:val="center"/>
        <w:rPr>
          <w:rFonts w:ascii="Didot" w:eastAsia="Calibri" w:hAnsi="Didot" w:cs="Didot"/>
          <w:b/>
          <w:sz w:val="23"/>
        </w:rPr>
      </w:pPr>
    </w:p>
    <w:p w14:paraId="17147313" w14:textId="77777777" w:rsidR="004C48A8" w:rsidRPr="00D63159" w:rsidRDefault="004C48A8" w:rsidP="004C48A8">
      <w:pPr>
        <w:widowControl w:val="0"/>
        <w:tabs>
          <w:tab w:val="left" w:pos="5404"/>
        </w:tabs>
        <w:spacing w:after="0" w:line="240" w:lineRule="auto"/>
        <w:ind w:right="-93"/>
        <w:jc w:val="center"/>
        <w:rPr>
          <w:rFonts w:ascii="Didot" w:eastAsia="Calibri" w:hAnsi="Didot" w:cs="Didot"/>
          <w:b/>
          <w:sz w:val="23"/>
        </w:rPr>
      </w:pPr>
      <w:r w:rsidRPr="00D63159">
        <w:rPr>
          <w:rFonts w:ascii="Didot" w:eastAsia="Calibri" w:hAnsi="Didot" w:cs="Didot"/>
          <w:b/>
          <w:sz w:val="23"/>
        </w:rPr>
        <w:t>Jesús Antonio Martínez Casillas</w:t>
      </w:r>
    </w:p>
    <w:p w14:paraId="068F5854" w14:textId="77777777" w:rsidR="004C48A8" w:rsidRPr="00D63159" w:rsidRDefault="004C48A8" w:rsidP="004C48A8">
      <w:pPr>
        <w:widowControl w:val="0"/>
        <w:tabs>
          <w:tab w:val="left" w:pos="5404"/>
        </w:tabs>
        <w:spacing w:after="0" w:line="240" w:lineRule="auto"/>
        <w:ind w:right="-93"/>
        <w:jc w:val="center"/>
        <w:rPr>
          <w:rFonts w:ascii="Didot" w:eastAsia="Calibri" w:hAnsi="Didot" w:cs="Didot"/>
          <w:b/>
          <w:sz w:val="23"/>
        </w:rPr>
      </w:pPr>
    </w:p>
    <w:p w14:paraId="443C3960" w14:textId="77777777" w:rsidR="004C48A8" w:rsidRPr="00D63159" w:rsidRDefault="004C48A8" w:rsidP="004C48A8">
      <w:pPr>
        <w:widowControl w:val="0"/>
        <w:tabs>
          <w:tab w:val="left" w:pos="5404"/>
        </w:tabs>
        <w:spacing w:after="0" w:line="240" w:lineRule="auto"/>
        <w:ind w:right="-93"/>
        <w:jc w:val="center"/>
        <w:rPr>
          <w:rFonts w:ascii="Didot" w:eastAsia="Calibri" w:hAnsi="Didot" w:cs="Didot"/>
          <w:b/>
          <w:sz w:val="23"/>
        </w:rPr>
      </w:pPr>
    </w:p>
    <w:p w14:paraId="5571EDD1" w14:textId="77777777" w:rsidR="004C48A8" w:rsidRPr="00D63159" w:rsidRDefault="004C48A8" w:rsidP="004C48A8">
      <w:pPr>
        <w:widowControl w:val="0"/>
        <w:tabs>
          <w:tab w:val="left" w:pos="5404"/>
        </w:tabs>
        <w:spacing w:after="0" w:line="240" w:lineRule="auto"/>
        <w:ind w:right="-93"/>
        <w:jc w:val="center"/>
        <w:rPr>
          <w:rFonts w:ascii="Didot" w:eastAsia="Calibri" w:hAnsi="Didot" w:cs="Didot"/>
          <w:b/>
          <w:sz w:val="23"/>
        </w:rPr>
      </w:pPr>
      <w:r w:rsidRPr="00D63159">
        <w:rPr>
          <w:rFonts w:ascii="Didot" w:eastAsia="Calibri" w:hAnsi="Didot" w:cs="Didot"/>
          <w:b/>
          <w:sz w:val="23"/>
        </w:rPr>
        <w:t xml:space="preserve">María </w:t>
      </w:r>
      <w:proofErr w:type="spellStart"/>
      <w:r w:rsidRPr="00D63159">
        <w:rPr>
          <w:rFonts w:ascii="Didot" w:eastAsia="Calibri" w:hAnsi="Didot" w:cs="Didot"/>
          <w:b/>
          <w:sz w:val="23"/>
        </w:rPr>
        <w:t>Marván</w:t>
      </w:r>
      <w:proofErr w:type="spellEnd"/>
      <w:r w:rsidRPr="00D63159">
        <w:rPr>
          <w:rFonts w:ascii="Didot" w:eastAsia="Calibri" w:hAnsi="Didot" w:cs="Didot"/>
          <w:b/>
          <w:sz w:val="23"/>
        </w:rPr>
        <w:t xml:space="preserve"> Laborde</w:t>
      </w:r>
    </w:p>
    <w:p w14:paraId="0EBD51E1" w14:textId="77777777" w:rsidR="004C48A8" w:rsidRPr="00D63159" w:rsidRDefault="004C48A8" w:rsidP="004C48A8">
      <w:pPr>
        <w:widowControl w:val="0"/>
        <w:tabs>
          <w:tab w:val="left" w:pos="5404"/>
        </w:tabs>
        <w:spacing w:after="0" w:line="240" w:lineRule="auto"/>
        <w:ind w:right="-93"/>
        <w:jc w:val="center"/>
        <w:rPr>
          <w:rFonts w:ascii="Didot" w:eastAsia="Calibri" w:hAnsi="Didot" w:cs="Didot"/>
          <w:b/>
          <w:sz w:val="23"/>
        </w:rPr>
      </w:pPr>
    </w:p>
    <w:p w14:paraId="0FFAEE3F" w14:textId="77777777" w:rsidR="004C48A8" w:rsidRPr="00D63159" w:rsidRDefault="004C48A8" w:rsidP="004C48A8">
      <w:pPr>
        <w:widowControl w:val="0"/>
        <w:tabs>
          <w:tab w:val="left" w:pos="5404"/>
        </w:tabs>
        <w:spacing w:after="0" w:line="240" w:lineRule="auto"/>
        <w:ind w:right="-93"/>
        <w:jc w:val="center"/>
        <w:rPr>
          <w:rFonts w:ascii="Didot" w:eastAsia="Calibri" w:hAnsi="Didot" w:cs="Didot"/>
          <w:b/>
          <w:sz w:val="23"/>
        </w:rPr>
      </w:pPr>
    </w:p>
    <w:p w14:paraId="2892A1A2" w14:textId="77777777" w:rsidR="004C48A8" w:rsidRPr="00D63159" w:rsidRDefault="004C48A8" w:rsidP="004C48A8">
      <w:pPr>
        <w:widowControl w:val="0"/>
        <w:tabs>
          <w:tab w:val="left" w:pos="5404"/>
        </w:tabs>
        <w:spacing w:after="0" w:line="240" w:lineRule="auto"/>
        <w:ind w:right="-93"/>
        <w:jc w:val="center"/>
        <w:rPr>
          <w:rFonts w:ascii="Didot" w:eastAsia="Calibri" w:hAnsi="Didot" w:cs="Didot"/>
          <w:b/>
          <w:sz w:val="23"/>
        </w:rPr>
      </w:pPr>
      <w:r w:rsidRPr="00D63159">
        <w:rPr>
          <w:rFonts w:ascii="Didot" w:eastAsia="Calibri" w:hAnsi="Didot" w:cs="Didot"/>
          <w:b/>
          <w:sz w:val="23"/>
        </w:rPr>
        <w:t>Sandra Vanesa Robles Aguilar</w:t>
      </w:r>
    </w:p>
    <w:p w14:paraId="1C4F86EA" w14:textId="77777777" w:rsidR="004C48A8" w:rsidRPr="00D63159" w:rsidRDefault="004C48A8" w:rsidP="004C48A8">
      <w:pPr>
        <w:widowControl w:val="0"/>
        <w:tabs>
          <w:tab w:val="left" w:pos="5404"/>
        </w:tabs>
        <w:spacing w:after="0" w:line="240" w:lineRule="auto"/>
        <w:ind w:right="-93"/>
        <w:jc w:val="center"/>
        <w:rPr>
          <w:rFonts w:ascii="Didot" w:eastAsia="Calibri" w:hAnsi="Didot" w:cs="Didot"/>
          <w:b/>
          <w:sz w:val="23"/>
        </w:rPr>
      </w:pPr>
    </w:p>
    <w:p w14:paraId="31F7884A" w14:textId="77777777" w:rsidR="004C48A8" w:rsidRPr="00D63159" w:rsidRDefault="004C48A8" w:rsidP="004C48A8">
      <w:pPr>
        <w:widowControl w:val="0"/>
        <w:tabs>
          <w:tab w:val="left" w:pos="5404"/>
        </w:tabs>
        <w:spacing w:after="0" w:line="240" w:lineRule="auto"/>
        <w:ind w:right="-93"/>
        <w:jc w:val="center"/>
        <w:rPr>
          <w:rFonts w:ascii="Didot" w:eastAsia="Calibri" w:hAnsi="Didot" w:cs="Didot"/>
          <w:b/>
          <w:sz w:val="23"/>
        </w:rPr>
      </w:pPr>
    </w:p>
    <w:p w14:paraId="00344B17" w14:textId="77777777" w:rsidR="004C48A8" w:rsidRPr="00D63159" w:rsidRDefault="004C48A8" w:rsidP="004C48A8">
      <w:pPr>
        <w:widowControl w:val="0"/>
        <w:tabs>
          <w:tab w:val="left" w:pos="5404"/>
        </w:tabs>
        <w:spacing w:after="0" w:line="240" w:lineRule="auto"/>
        <w:ind w:right="-93"/>
        <w:jc w:val="center"/>
        <w:rPr>
          <w:rFonts w:ascii="Didot" w:eastAsia="Calibri" w:hAnsi="Didot" w:cs="Didot"/>
          <w:b/>
          <w:sz w:val="23"/>
        </w:rPr>
      </w:pPr>
      <w:r w:rsidRPr="00D63159">
        <w:rPr>
          <w:rFonts w:ascii="Didot" w:eastAsia="Calibri" w:hAnsi="Didot" w:cs="Didot"/>
          <w:b/>
          <w:sz w:val="23"/>
        </w:rPr>
        <w:t>Luis Carlos Sainz Martínez</w:t>
      </w:r>
    </w:p>
    <w:p w14:paraId="71315A6A" w14:textId="77777777" w:rsidR="004C48A8" w:rsidRPr="00D63159" w:rsidRDefault="004C48A8" w:rsidP="004C48A8">
      <w:pPr>
        <w:widowControl w:val="0"/>
        <w:tabs>
          <w:tab w:val="left" w:pos="5404"/>
        </w:tabs>
        <w:spacing w:after="0" w:line="240" w:lineRule="auto"/>
        <w:ind w:right="-93"/>
        <w:jc w:val="center"/>
        <w:rPr>
          <w:rFonts w:ascii="Didot" w:eastAsia="Calibri" w:hAnsi="Didot" w:cs="Didot"/>
          <w:b/>
          <w:sz w:val="23"/>
        </w:rPr>
      </w:pPr>
    </w:p>
    <w:p w14:paraId="0D668308" w14:textId="77777777" w:rsidR="004C48A8" w:rsidRPr="00D63159" w:rsidRDefault="004C48A8" w:rsidP="004C48A8">
      <w:pPr>
        <w:widowControl w:val="0"/>
        <w:tabs>
          <w:tab w:val="left" w:pos="5404"/>
        </w:tabs>
        <w:spacing w:after="0" w:line="240" w:lineRule="auto"/>
        <w:ind w:right="-93"/>
        <w:jc w:val="center"/>
        <w:rPr>
          <w:rFonts w:ascii="Didot" w:eastAsia="Calibri" w:hAnsi="Didot" w:cs="Didot"/>
          <w:b/>
          <w:sz w:val="23"/>
        </w:rPr>
      </w:pPr>
    </w:p>
    <w:p w14:paraId="30BD88C6" w14:textId="77777777" w:rsidR="004C48A8" w:rsidRPr="00D63159" w:rsidRDefault="004C48A8" w:rsidP="004C48A8">
      <w:pPr>
        <w:widowControl w:val="0"/>
        <w:tabs>
          <w:tab w:val="left" w:pos="5404"/>
        </w:tabs>
        <w:spacing w:after="0" w:line="240" w:lineRule="auto"/>
        <w:ind w:right="-93"/>
        <w:jc w:val="center"/>
        <w:rPr>
          <w:rFonts w:ascii="Didot" w:eastAsia="Calibri" w:hAnsi="Didot" w:cs="Didot"/>
          <w:b/>
          <w:sz w:val="23"/>
        </w:rPr>
      </w:pPr>
      <w:r w:rsidRPr="00D63159">
        <w:rPr>
          <w:rFonts w:ascii="Didot" w:eastAsia="Calibri" w:hAnsi="Didot" w:cs="Didot"/>
          <w:b/>
          <w:sz w:val="23"/>
        </w:rPr>
        <w:t>Rogelio Villarreal Macías</w:t>
      </w:r>
    </w:p>
    <w:p w14:paraId="7234D69D" w14:textId="77777777" w:rsidR="004C48A8" w:rsidRPr="00D63159" w:rsidRDefault="004C48A8" w:rsidP="004C48A8">
      <w:pPr>
        <w:widowControl w:val="0"/>
        <w:tabs>
          <w:tab w:val="left" w:pos="5404"/>
        </w:tabs>
        <w:spacing w:after="0" w:line="240" w:lineRule="auto"/>
        <w:ind w:right="-93"/>
        <w:jc w:val="center"/>
        <w:rPr>
          <w:rFonts w:ascii="Didot" w:eastAsia="Calibri" w:hAnsi="Didot" w:cs="Didot"/>
          <w:b/>
          <w:sz w:val="23"/>
        </w:rPr>
      </w:pPr>
    </w:p>
    <w:p w14:paraId="43F535A7" w14:textId="701A3833" w:rsidR="001A7BC8" w:rsidRPr="000A70E7" w:rsidRDefault="001A7BC8" w:rsidP="00526564">
      <w:pPr>
        <w:pStyle w:val="Sinespaciado"/>
        <w:spacing w:line="276" w:lineRule="auto"/>
        <w:jc w:val="both"/>
        <w:rPr>
          <w:rFonts w:ascii="Trebuchet MS" w:hAnsi="Trebuchet MS"/>
        </w:rPr>
      </w:pPr>
    </w:p>
    <w:sectPr w:rsidR="001A7BC8" w:rsidRPr="000A70E7" w:rsidSect="004C48A8">
      <w:headerReference w:type="default" r:id="rId10"/>
      <w:footerReference w:type="default" r:id="rId11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CA6F2" w14:textId="77777777" w:rsidR="00C00D54" w:rsidRDefault="00C00D54" w:rsidP="001A7BC8">
      <w:pPr>
        <w:spacing w:after="0" w:line="240" w:lineRule="auto"/>
      </w:pPr>
      <w:r>
        <w:separator/>
      </w:r>
    </w:p>
  </w:endnote>
  <w:endnote w:type="continuationSeparator" w:id="0">
    <w:p w14:paraId="739FF7F1" w14:textId="77777777" w:rsidR="00C00D54" w:rsidRDefault="00C00D54" w:rsidP="001A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Didot">
    <w:altName w:val="Times New Roman"/>
    <w:charset w:val="B1"/>
    <w:family w:val="auto"/>
    <w:pitch w:val="variable"/>
    <w:sig w:usb0="00000000" w:usb1="00000000" w:usb2="00000000" w:usb3="00000000" w:csb0="000001F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E91D8" w14:textId="77777777" w:rsidR="001A7BC8" w:rsidRPr="001A7BC8" w:rsidRDefault="001A7BC8" w:rsidP="001A7BC8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8"/>
        <w:szCs w:val="18"/>
        <w:lang w:val="es-ES" w:eastAsia="ar-SA"/>
      </w:rPr>
    </w:pPr>
    <w:r w:rsidRPr="001A7BC8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7B8DF138" w14:textId="77777777" w:rsidR="001A7BC8" w:rsidRPr="001A7BC8" w:rsidRDefault="004C48A8" w:rsidP="001A7BC8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8"/>
        <w:szCs w:val="18"/>
        <w:lang w:val="es-ES" w:eastAsia="ar-SA"/>
      </w:rPr>
    </w:pPr>
    <w:r>
      <w:rPr>
        <w:rFonts w:ascii="Trebuchet MS" w:eastAsia="Times New Roman" w:hAnsi="Trebuchet MS" w:cs="Tahoma"/>
        <w:bCs/>
        <w:noProof/>
        <w:color w:val="A6A6A6"/>
        <w:sz w:val="18"/>
        <w:szCs w:val="18"/>
        <w:lang w:val="es-ES" w:eastAsia="ar-SA"/>
      </w:rPr>
      <w:pict w14:anchorId="2F5A5C95">
        <v:rect id="_x0000_i1025" alt="" style="width:437.05pt;height:.25pt;mso-width-percent:0;mso-height-percent:0;mso-width-percent:0;mso-height-percent:0" o:hrpct="989" o:hralign="center" o:hrstd="t" o:hr="t" fillcolor="#a0a0a0" stroked="f"/>
      </w:pict>
    </w:r>
  </w:p>
  <w:p w14:paraId="0F6BE4D0" w14:textId="77777777" w:rsidR="001A7BC8" w:rsidRPr="001A7BC8" w:rsidRDefault="001A7BC8" w:rsidP="001A7BC8">
    <w:pP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Trebuchet MS" w:eastAsia="Times New Roman" w:hAnsi="Trebuchet MS" w:cs="Times New Roman"/>
        <w:sz w:val="18"/>
        <w:szCs w:val="18"/>
        <w:lang w:val="es-ES" w:eastAsia="ar-SA"/>
      </w:rPr>
    </w:pPr>
    <w:r w:rsidRPr="001A7BC8">
      <w:rPr>
        <w:rFonts w:ascii="Trebuchet MS" w:eastAsia="Times New Roman" w:hAnsi="Trebuchet MS" w:cs="Tahoma"/>
        <w:b/>
        <w:bCs/>
        <w:color w:val="7030A0"/>
        <w:sz w:val="18"/>
        <w:szCs w:val="18"/>
        <w:lang w:eastAsia="ar-SA"/>
      </w:rPr>
      <w:t>www.iepcjalisco.org.mx</w:t>
    </w:r>
  </w:p>
  <w:p w14:paraId="3935AF98" w14:textId="77777777" w:rsidR="001A7BC8" w:rsidRPr="001A7BC8" w:rsidRDefault="001A7BC8" w:rsidP="001A7BC8">
    <w:pPr>
      <w:pStyle w:val="Piedepgina"/>
      <w:jc w:val="right"/>
      <w:rPr>
        <w:sz w:val="18"/>
        <w:szCs w:val="18"/>
      </w:rPr>
    </w:pPr>
    <w:r w:rsidRPr="001A7BC8">
      <w:rPr>
        <w:rFonts w:ascii="Trebuchet MS" w:hAnsi="Trebuchet MS"/>
        <w:sz w:val="18"/>
        <w:szCs w:val="18"/>
        <w:lang w:eastAsia="es-ES"/>
      </w:rPr>
      <w:t xml:space="preserve">Página | </w:t>
    </w:r>
    <w:r w:rsidRPr="001A7BC8">
      <w:rPr>
        <w:rFonts w:ascii="Trebuchet MS" w:hAnsi="Trebuchet MS"/>
        <w:sz w:val="18"/>
        <w:szCs w:val="18"/>
        <w:lang w:eastAsia="es-ES"/>
      </w:rPr>
      <w:fldChar w:fldCharType="begin"/>
    </w:r>
    <w:r w:rsidRPr="001A7BC8">
      <w:rPr>
        <w:rFonts w:ascii="Trebuchet MS" w:hAnsi="Trebuchet MS"/>
        <w:sz w:val="18"/>
        <w:szCs w:val="18"/>
        <w:lang w:eastAsia="es-ES"/>
      </w:rPr>
      <w:instrText>PAGE   \* MERGEFORMAT</w:instrText>
    </w:r>
    <w:r w:rsidRPr="001A7BC8">
      <w:rPr>
        <w:rFonts w:ascii="Trebuchet MS" w:hAnsi="Trebuchet MS"/>
        <w:sz w:val="18"/>
        <w:szCs w:val="18"/>
        <w:lang w:eastAsia="es-ES"/>
      </w:rPr>
      <w:fldChar w:fldCharType="separate"/>
    </w:r>
    <w:r w:rsidR="004C48A8" w:rsidRPr="004C48A8">
      <w:rPr>
        <w:rFonts w:ascii="Trebuchet MS" w:hAnsi="Trebuchet MS"/>
        <w:noProof/>
        <w:sz w:val="18"/>
        <w:szCs w:val="18"/>
        <w:lang w:val="es-ES" w:eastAsia="es-ES"/>
      </w:rPr>
      <w:t>6</w:t>
    </w:r>
    <w:r w:rsidRPr="001A7BC8">
      <w:rPr>
        <w:rFonts w:ascii="Trebuchet MS" w:hAnsi="Trebuchet MS"/>
        <w:sz w:val="18"/>
        <w:szCs w:val="18"/>
        <w:lang w:eastAsia="es-E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ADE6C" w14:textId="5CF3979F" w:rsidR="004C48A8" w:rsidRPr="004C48A8" w:rsidRDefault="004C48A8" w:rsidP="004C48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AEF99" w14:textId="77777777" w:rsidR="00C00D54" w:rsidRDefault="00C00D54" w:rsidP="001A7BC8">
      <w:pPr>
        <w:spacing w:after="0" w:line="240" w:lineRule="auto"/>
      </w:pPr>
      <w:r>
        <w:separator/>
      </w:r>
    </w:p>
  </w:footnote>
  <w:footnote w:type="continuationSeparator" w:id="0">
    <w:p w14:paraId="312D861B" w14:textId="77777777" w:rsidR="00C00D54" w:rsidRDefault="00C00D54" w:rsidP="001A7BC8">
      <w:pPr>
        <w:spacing w:after="0" w:line="240" w:lineRule="auto"/>
      </w:pPr>
      <w:r>
        <w:continuationSeparator/>
      </w:r>
    </w:p>
  </w:footnote>
  <w:footnote w:id="1">
    <w:p w14:paraId="45189132" w14:textId="2029C2AE" w:rsidR="007B080C" w:rsidRPr="007B080C" w:rsidRDefault="007B080C" w:rsidP="007B080C">
      <w:pPr>
        <w:pStyle w:val="Textonotapie"/>
        <w:jc w:val="both"/>
        <w:rPr>
          <w:rFonts w:ascii="Trebuchet MS" w:hAnsi="Trebuchet MS"/>
          <w:sz w:val="16"/>
          <w:szCs w:val="16"/>
        </w:rPr>
      </w:pPr>
      <w:r w:rsidRPr="007B080C">
        <w:rPr>
          <w:rStyle w:val="Refdenotaalpie"/>
          <w:rFonts w:ascii="Trebuchet MS" w:hAnsi="Trebuchet MS"/>
          <w:sz w:val="16"/>
          <w:szCs w:val="16"/>
        </w:rPr>
        <w:footnoteRef/>
      </w:r>
      <w:r w:rsidRPr="007B080C">
        <w:rPr>
          <w:rFonts w:ascii="Trebuchet MS" w:hAnsi="Trebuchet MS"/>
          <w:sz w:val="16"/>
          <w:szCs w:val="16"/>
        </w:rPr>
        <w:t xml:space="preserve"> El acuerdo y los Lineamientos </w:t>
      </w:r>
      <w:r w:rsidR="00F3660C">
        <w:rPr>
          <w:rFonts w:ascii="Trebuchet MS" w:hAnsi="Trebuchet MS"/>
          <w:sz w:val="16"/>
          <w:szCs w:val="16"/>
        </w:rPr>
        <w:t>se publicaron el 23 de julio de 2011 en el periódico oficial “El Estado de Jalisco”, y se pueden consultar en en</w:t>
      </w:r>
      <w:r w:rsidRPr="007B080C">
        <w:rPr>
          <w:rFonts w:ascii="Trebuchet MS" w:hAnsi="Trebuchet MS"/>
          <w:sz w:val="16"/>
          <w:szCs w:val="16"/>
        </w:rPr>
        <w:t xml:space="preserve">lace: </w:t>
      </w:r>
      <w:r w:rsidR="00F3660C" w:rsidRPr="00F3660C">
        <w:rPr>
          <w:rFonts w:ascii="Trebuchet MS" w:hAnsi="Trebuchet MS"/>
          <w:sz w:val="16"/>
          <w:szCs w:val="16"/>
        </w:rPr>
        <w:t>https://periodicooficial.jalisco.gob.mx/sites/periodicooficial.jalisco.gob.mx/files/07-23-11-iii.pdf</w:t>
      </w:r>
    </w:p>
  </w:footnote>
  <w:footnote w:id="2">
    <w:p w14:paraId="7CEC9A19" w14:textId="77777777" w:rsidR="001A7BC8" w:rsidRPr="002C4E8C" w:rsidRDefault="001A7BC8" w:rsidP="001A7BC8">
      <w:pPr>
        <w:pStyle w:val="Textonotapie"/>
        <w:jc w:val="both"/>
        <w:rPr>
          <w:rFonts w:ascii="Trebuchet MS" w:hAnsi="Trebuchet MS"/>
          <w:sz w:val="16"/>
          <w:szCs w:val="16"/>
          <w:lang w:val="es-MX"/>
        </w:rPr>
      </w:pPr>
      <w:r w:rsidRPr="002C4E8C">
        <w:rPr>
          <w:rStyle w:val="Refdenotaalpie"/>
          <w:rFonts w:ascii="Trebuchet MS" w:hAnsi="Trebuchet MS"/>
          <w:sz w:val="16"/>
          <w:szCs w:val="16"/>
        </w:rPr>
        <w:footnoteRef/>
      </w:r>
      <w:r w:rsidRPr="002C4E8C">
        <w:rPr>
          <w:rFonts w:ascii="Trebuchet MS" w:hAnsi="Trebuchet MS"/>
          <w:sz w:val="16"/>
          <w:szCs w:val="16"/>
        </w:rPr>
        <w:t xml:space="preserve"> El acuerdo fue publicado el 10 de octubre de 2020, en el periódico oficial “El Estado de Jalisco” y, su contenido puede ser consultado en el enlace siguiente:  https://periodicooficial.jalisco.gob.mx/sites/periodicooficial.jalisco.gob.mx/files/10-10-20-x.pdf</w:t>
      </w:r>
    </w:p>
  </w:footnote>
  <w:footnote w:id="3">
    <w:p w14:paraId="6AA8B196" w14:textId="79430CCA" w:rsidR="000B0E9A" w:rsidRPr="000B0E9A" w:rsidRDefault="000B0E9A" w:rsidP="000B0E9A">
      <w:pPr>
        <w:pStyle w:val="Textonotapie"/>
        <w:jc w:val="both"/>
        <w:rPr>
          <w:rFonts w:ascii="Trebuchet MS" w:hAnsi="Trebuchet MS"/>
          <w:sz w:val="16"/>
          <w:szCs w:val="16"/>
        </w:rPr>
      </w:pPr>
      <w:r w:rsidRPr="000B0E9A">
        <w:rPr>
          <w:rStyle w:val="Refdenotaalpie"/>
          <w:rFonts w:ascii="Trebuchet MS" w:hAnsi="Trebuchet MS"/>
          <w:sz w:val="16"/>
          <w:szCs w:val="16"/>
        </w:rPr>
        <w:footnoteRef/>
      </w:r>
      <w:r w:rsidRPr="000B0E9A">
        <w:rPr>
          <w:rFonts w:ascii="Trebuchet MS" w:hAnsi="Trebuchet MS"/>
          <w:sz w:val="16"/>
          <w:szCs w:val="16"/>
        </w:rPr>
        <w:t xml:space="preserve"> El acuerdo se publicó el 03 de junio de 2021 en el periódico oficial “El Estado de Jalisco”, y se puede consultar en el enlace siguiente: https://periodicooficial.jalisco.gob.mx/sites/periodicooficial.jalisco.gob.mx/files/06-03-2i-vi.pdf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4A8BF" w14:textId="77777777" w:rsidR="001A7BC8" w:rsidRDefault="001A7BC8">
    <w:pPr>
      <w:pStyle w:val="Encabezado"/>
    </w:pPr>
    <w:r w:rsidRPr="001A7BC8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inline distT="0" distB="0" distL="0" distR="0" wp14:anchorId="3FC6E0D7" wp14:editId="4BAC62E2">
          <wp:extent cx="1499235" cy="882650"/>
          <wp:effectExtent l="0" t="0" r="571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23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9B43F" w14:textId="0308C73A" w:rsidR="004C48A8" w:rsidRDefault="004C48A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05356D"/>
    <w:multiLevelType w:val="hybridMultilevel"/>
    <w:tmpl w:val="7EB0C7B4"/>
    <w:lvl w:ilvl="0" w:tplc="FFFFFFFF">
      <w:start w:val="1"/>
      <w:numFmt w:val="upperRoman"/>
      <w:lvlText w:val="%1."/>
      <w:lvlJc w:val="right"/>
      <w:pPr>
        <w:ind w:left="716" w:hanging="360"/>
      </w:p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</w:lvl>
    <w:lvl w:ilvl="3" w:tplc="FFFFFFFF" w:tentative="1">
      <w:start w:val="1"/>
      <w:numFmt w:val="decimal"/>
      <w:lvlText w:val="%4."/>
      <w:lvlJc w:val="left"/>
      <w:pPr>
        <w:ind w:left="2876" w:hanging="360"/>
      </w:p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</w:lvl>
    <w:lvl w:ilvl="6" w:tplc="FFFFFFFF" w:tentative="1">
      <w:start w:val="1"/>
      <w:numFmt w:val="decimal"/>
      <w:lvlText w:val="%7."/>
      <w:lvlJc w:val="left"/>
      <w:pPr>
        <w:ind w:left="5036" w:hanging="360"/>
      </w:p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">
    <w:nsid w:val="2D363A03"/>
    <w:multiLevelType w:val="hybridMultilevel"/>
    <w:tmpl w:val="D942563A"/>
    <w:lvl w:ilvl="0" w:tplc="49D85A8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7729A6"/>
    <w:multiLevelType w:val="hybridMultilevel"/>
    <w:tmpl w:val="13F4CE5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449C4"/>
    <w:multiLevelType w:val="hybridMultilevel"/>
    <w:tmpl w:val="1BD65E4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B6F7B"/>
    <w:multiLevelType w:val="hybridMultilevel"/>
    <w:tmpl w:val="314A29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A718F"/>
    <w:multiLevelType w:val="hybridMultilevel"/>
    <w:tmpl w:val="4C50F636"/>
    <w:lvl w:ilvl="0" w:tplc="15DE25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260D1"/>
    <w:multiLevelType w:val="hybridMultilevel"/>
    <w:tmpl w:val="3FD06426"/>
    <w:lvl w:ilvl="0" w:tplc="890CF6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B05A48"/>
    <w:multiLevelType w:val="hybridMultilevel"/>
    <w:tmpl w:val="D02834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64BA7"/>
    <w:multiLevelType w:val="hybridMultilevel"/>
    <w:tmpl w:val="16C02A2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3C5D25"/>
    <w:multiLevelType w:val="hybridMultilevel"/>
    <w:tmpl w:val="1FE86A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9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008"/>
    <w:rsid w:val="000125F7"/>
    <w:rsid w:val="00030719"/>
    <w:rsid w:val="00043126"/>
    <w:rsid w:val="00095ADC"/>
    <w:rsid w:val="000A70E7"/>
    <w:rsid w:val="000B0E9A"/>
    <w:rsid w:val="000B3F42"/>
    <w:rsid w:val="000D30D8"/>
    <w:rsid w:val="000E726C"/>
    <w:rsid w:val="00100CF7"/>
    <w:rsid w:val="00116325"/>
    <w:rsid w:val="00136BA7"/>
    <w:rsid w:val="0014253F"/>
    <w:rsid w:val="001A7BC8"/>
    <w:rsid w:val="00254FFD"/>
    <w:rsid w:val="002B26F8"/>
    <w:rsid w:val="002D5116"/>
    <w:rsid w:val="002E4D77"/>
    <w:rsid w:val="003036BA"/>
    <w:rsid w:val="00306B49"/>
    <w:rsid w:val="003216D3"/>
    <w:rsid w:val="00384721"/>
    <w:rsid w:val="00385F21"/>
    <w:rsid w:val="00386BE1"/>
    <w:rsid w:val="003D4D7D"/>
    <w:rsid w:val="00403234"/>
    <w:rsid w:val="00443AB1"/>
    <w:rsid w:val="00456B78"/>
    <w:rsid w:val="00457593"/>
    <w:rsid w:val="004B55DA"/>
    <w:rsid w:val="004C48A8"/>
    <w:rsid w:val="00526564"/>
    <w:rsid w:val="0054360A"/>
    <w:rsid w:val="00586DF1"/>
    <w:rsid w:val="00597355"/>
    <w:rsid w:val="005A172A"/>
    <w:rsid w:val="005C5A7F"/>
    <w:rsid w:val="005D00FD"/>
    <w:rsid w:val="005F1290"/>
    <w:rsid w:val="00603678"/>
    <w:rsid w:val="00640008"/>
    <w:rsid w:val="00667DCF"/>
    <w:rsid w:val="0068011F"/>
    <w:rsid w:val="00683C01"/>
    <w:rsid w:val="00683DC0"/>
    <w:rsid w:val="00696424"/>
    <w:rsid w:val="00720851"/>
    <w:rsid w:val="007302F0"/>
    <w:rsid w:val="00794A9E"/>
    <w:rsid w:val="007B080C"/>
    <w:rsid w:val="007B75B9"/>
    <w:rsid w:val="007C01D7"/>
    <w:rsid w:val="007E4102"/>
    <w:rsid w:val="008003B0"/>
    <w:rsid w:val="008443DE"/>
    <w:rsid w:val="00856266"/>
    <w:rsid w:val="008572BE"/>
    <w:rsid w:val="00871DA4"/>
    <w:rsid w:val="008E6731"/>
    <w:rsid w:val="00936229"/>
    <w:rsid w:val="009442A8"/>
    <w:rsid w:val="00974E08"/>
    <w:rsid w:val="00986CC5"/>
    <w:rsid w:val="00996B78"/>
    <w:rsid w:val="009A08E9"/>
    <w:rsid w:val="009D607A"/>
    <w:rsid w:val="00A1091A"/>
    <w:rsid w:val="00A11B9D"/>
    <w:rsid w:val="00A56DF5"/>
    <w:rsid w:val="00A74A7C"/>
    <w:rsid w:val="00A81F11"/>
    <w:rsid w:val="00A91CB1"/>
    <w:rsid w:val="00AD081B"/>
    <w:rsid w:val="00AD7FD5"/>
    <w:rsid w:val="00AF2998"/>
    <w:rsid w:val="00BE7457"/>
    <w:rsid w:val="00BE799C"/>
    <w:rsid w:val="00C00D54"/>
    <w:rsid w:val="00C030AD"/>
    <w:rsid w:val="00C2486B"/>
    <w:rsid w:val="00C35F77"/>
    <w:rsid w:val="00C41A96"/>
    <w:rsid w:val="00C518A4"/>
    <w:rsid w:val="00D41E5B"/>
    <w:rsid w:val="00DE2A70"/>
    <w:rsid w:val="00DE2B63"/>
    <w:rsid w:val="00DE39AF"/>
    <w:rsid w:val="00E0628E"/>
    <w:rsid w:val="00E105A9"/>
    <w:rsid w:val="00EA26D5"/>
    <w:rsid w:val="00EE1A10"/>
    <w:rsid w:val="00F3660C"/>
    <w:rsid w:val="00F5564B"/>
    <w:rsid w:val="00FC73BA"/>
    <w:rsid w:val="00FC77B9"/>
    <w:rsid w:val="00FD4228"/>
    <w:rsid w:val="00F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34E96"/>
  <w15:chartTrackingRefBased/>
  <w15:docId w15:val="{2367852A-19E2-4A64-AF1E-D066B5AA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A7BC8"/>
    <w:pPr>
      <w:spacing w:after="0" w:line="240" w:lineRule="auto"/>
    </w:pPr>
  </w:style>
  <w:style w:type="paragraph" w:styleId="Textonotapie">
    <w:name w:val="footnote text"/>
    <w:basedOn w:val="Normal"/>
    <w:link w:val="TextonotapieCar"/>
    <w:unhideWhenUsed/>
    <w:rsid w:val="001A7BC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1A7BC8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uiPriority w:val="99"/>
    <w:unhideWhenUsed/>
    <w:rsid w:val="001A7BC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A7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7BC8"/>
  </w:style>
  <w:style w:type="paragraph" w:styleId="Piedepgina">
    <w:name w:val="footer"/>
    <w:basedOn w:val="Normal"/>
    <w:link w:val="PiedepginaCar"/>
    <w:uiPriority w:val="99"/>
    <w:unhideWhenUsed/>
    <w:rsid w:val="001A7B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BC8"/>
  </w:style>
  <w:style w:type="paragraph" w:styleId="Prrafodelista">
    <w:name w:val="List Paragraph"/>
    <w:basedOn w:val="Normal"/>
    <w:uiPriority w:val="34"/>
    <w:qFormat/>
    <w:rsid w:val="00BE799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36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229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DE39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74F71-B576-47C4-95FF-179873809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1848</Words>
  <Characters>10167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IEPC-USUARIO</dc:creator>
  <cp:keywords/>
  <dc:description/>
  <cp:lastModifiedBy>Luis Alfonso Campos</cp:lastModifiedBy>
  <cp:revision>7</cp:revision>
  <dcterms:created xsi:type="dcterms:W3CDTF">2022-05-19T16:02:00Z</dcterms:created>
  <dcterms:modified xsi:type="dcterms:W3CDTF">2022-05-25T18:59:00Z</dcterms:modified>
</cp:coreProperties>
</file>