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E10481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E10481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E10481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B71793" w:rsidRPr="00E10481">
        <w:rPr>
          <w:rFonts w:ascii="Trebuchet MS" w:eastAsiaTheme="minorEastAsia" w:hAnsi="Trebuchet MS" w:cs="Arial Narrow"/>
          <w:color w:val="060606"/>
          <w:lang w:eastAsia="es-MX"/>
        </w:rPr>
        <w:t>11</w:t>
      </w:r>
      <w:r w:rsidR="00D379F7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E10481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B7179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once </w:t>
      </w:r>
      <w:r w:rsidR="0043156D" w:rsidRPr="00E10481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304289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>1</w:t>
      </w:r>
      <w:r w:rsidR="00B71793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9 </w:t>
      </w:r>
      <w:r w:rsidR="00304289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diecinueve</w:t>
      </w:r>
      <w:r w:rsidR="00B71793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304289" w:rsidRPr="00E10481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E10481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E10481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E10481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E10481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10481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04289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16</w:t>
      </w:r>
      <w:r w:rsidR="00B7179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04289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dieciséis</w:t>
      </w:r>
      <w:r w:rsidR="00B7179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304289" w:rsidRPr="00E10481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E1048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E10481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E10481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E10481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E1048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E10481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E1048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E1048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E10481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E1048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E10481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E10481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E10481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E1048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E10481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E10481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E10481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E1048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E10481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E1048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10481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E10481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E1048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E1048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E10481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E10481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E1048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E10481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E1048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E10481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E1048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E10481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E10481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E10481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E10481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E10481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E1048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E10481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E1048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E10481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E10481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E10481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E10481" w:rsidRPr="00E10481" w:rsidRDefault="00E10481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E10481" w:rsidRPr="00E10481" w:rsidRDefault="00E10481" w:rsidP="00E1048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10481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E10481" w:rsidRPr="00E10481" w:rsidRDefault="00E10481" w:rsidP="00E1048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10481" w:rsidRPr="00E10481" w:rsidRDefault="00E10481" w:rsidP="00E1048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E10481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E10481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E10481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E10481" w:rsidRPr="00E10481" w:rsidRDefault="00E10481" w:rsidP="00E1048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E10481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E10481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E10481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E10481" w:rsidRPr="00E10481" w:rsidRDefault="00E10481" w:rsidP="00E1048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E10481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IEPC-PNT-311/2020.</w:t>
      </w:r>
    </w:p>
    <w:p w:rsidR="00E10481" w:rsidRPr="00E10481" w:rsidRDefault="00E10481" w:rsidP="00E1048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E10481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IEPC-WEB-317/2020</w:t>
      </w:r>
      <w:r>
        <w:rPr>
          <w:rFonts w:ascii="Trebuchet MS" w:hAnsi="Trebuchet MS"/>
        </w:rPr>
        <w:t>.</w:t>
      </w:r>
    </w:p>
    <w:p w:rsidR="00E10481" w:rsidRPr="00E10481" w:rsidRDefault="00E10481" w:rsidP="00E10481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E10481">
        <w:rPr>
          <w:rFonts w:ascii="Trebuchet MS" w:hAnsi="Trebuchet MS"/>
        </w:rPr>
        <w:t>Informe respecto de la modificación en la integración del Comité de Transparencia del Instituto Electoral y de Participación Ciudadana del Estado de Jalisco.</w:t>
      </w:r>
    </w:p>
    <w:p w:rsidR="00CD5AB8" w:rsidRPr="00E10481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905" w:type="pct"/>
        <w:tblLook w:val="04A0" w:firstRow="1" w:lastRow="0" w:firstColumn="1" w:lastColumn="0" w:noHBand="0" w:noVBand="1"/>
      </w:tblPr>
      <w:tblGrid>
        <w:gridCol w:w="3037"/>
        <w:gridCol w:w="6353"/>
      </w:tblGrid>
      <w:tr w:rsidR="005E2F45" w:rsidRPr="007B4C9D" w:rsidTr="007B4C9D">
        <w:trPr>
          <w:trHeight w:val="430"/>
        </w:trPr>
        <w:tc>
          <w:tcPr>
            <w:tcW w:w="5000" w:type="pct"/>
            <w:gridSpan w:val="2"/>
            <w:vAlign w:val="center"/>
            <w:hideMark/>
          </w:tcPr>
          <w:p w:rsidR="005E2F45" w:rsidRPr="007B4C9D" w:rsidRDefault="005E2F45" w:rsidP="005E2F45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  <w:sz w:val="23"/>
                <w:szCs w:val="23"/>
              </w:rPr>
            </w:pPr>
            <w:r w:rsidRPr="007B4C9D">
              <w:rPr>
                <w:rFonts w:ascii="Trebuchet MS" w:hAnsi="Trebuchet MS" w:cs="Arial"/>
                <w:b/>
                <w:sz w:val="23"/>
                <w:szCs w:val="23"/>
              </w:rPr>
              <w:t>LISTA DE ASISTENCIA</w:t>
            </w:r>
          </w:p>
        </w:tc>
      </w:tr>
      <w:tr w:rsidR="005E2F45" w:rsidRPr="007B4C9D" w:rsidTr="007B4C9D">
        <w:trPr>
          <w:trHeight w:val="1076"/>
        </w:trPr>
        <w:tc>
          <w:tcPr>
            <w:tcW w:w="1617" w:type="pct"/>
            <w:vAlign w:val="center"/>
            <w:hideMark/>
          </w:tcPr>
          <w:p w:rsidR="005E2F45" w:rsidRPr="007B4C9D" w:rsidRDefault="005E2F45" w:rsidP="005E2F45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sz w:val="23"/>
                <w:szCs w:val="23"/>
                <w:lang w:val="es-ES"/>
              </w:rPr>
            </w:pPr>
            <w:r w:rsidRPr="007B4C9D">
              <w:rPr>
                <w:rFonts w:ascii="Trebuchet MS" w:hAnsi="Trebuchet MS" w:cs="Arial"/>
                <w:bCs/>
                <w:sz w:val="23"/>
                <w:szCs w:val="23"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5E2F45" w:rsidRPr="007B4C9D" w:rsidRDefault="005E2F45" w:rsidP="005E2F45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sz w:val="23"/>
                <w:szCs w:val="23"/>
                <w:lang w:val="es-ES"/>
              </w:rPr>
            </w:pPr>
            <w:r w:rsidRPr="007B4C9D">
              <w:rPr>
                <w:rFonts w:ascii="Trebuchet MS" w:hAnsi="Trebuchet MS" w:cs="Arial"/>
                <w:sz w:val="23"/>
                <w:szCs w:val="23"/>
              </w:rPr>
              <w:t>Titular del sujeto obligado y Presidente de este comité</w:t>
            </w:r>
          </w:p>
        </w:tc>
      </w:tr>
      <w:tr w:rsidR="005E2F45" w:rsidRPr="007B4C9D" w:rsidTr="007B4C9D">
        <w:trPr>
          <w:trHeight w:val="315"/>
        </w:trPr>
        <w:tc>
          <w:tcPr>
            <w:tcW w:w="1617" w:type="pct"/>
            <w:vAlign w:val="center"/>
            <w:hideMark/>
          </w:tcPr>
          <w:p w:rsidR="005E2F45" w:rsidRPr="007B4C9D" w:rsidRDefault="005E2F45" w:rsidP="007B4C9D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3"/>
                <w:szCs w:val="23"/>
              </w:rPr>
            </w:pPr>
            <w:r w:rsidRPr="007B4C9D">
              <w:rPr>
                <w:rFonts w:ascii="Trebuchet MS" w:hAnsi="Trebuchet MS"/>
                <w:b w:val="0"/>
                <w:bCs/>
                <w:sz w:val="23"/>
                <w:szCs w:val="23"/>
              </w:rPr>
              <w:lastRenderedPageBreak/>
              <w:t xml:space="preserve">Eduardo Meza Rincón                       </w:t>
            </w:r>
          </w:p>
        </w:tc>
        <w:tc>
          <w:tcPr>
            <w:tcW w:w="3383" w:type="pct"/>
            <w:vAlign w:val="center"/>
            <w:hideMark/>
          </w:tcPr>
          <w:p w:rsidR="005E2F45" w:rsidRPr="007B4C9D" w:rsidRDefault="005E2F45" w:rsidP="007B4C9D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sz w:val="23"/>
                <w:szCs w:val="23"/>
              </w:rPr>
            </w:pPr>
            <w:r w:rsidRPr="007B4C9D">
              <w:rPr>
                <w:rFonts w:ascii="Trebuchet MS" w:hAnsi="Trebuchet MS" w:cs="Arial"/>
                <w:color w:val="FF0000"/>
                <w:sz w:val="23"/>
                <w:szCs w:val="23"/>
              </w:rPr>
              <w:t xml:space="preserve">   </w:t>
            </w:r>
            <w:r w:rsidRPr="007B4C9D">
              <w:rPr>
                <w:rFonts w:ascii="Trebuchet MS" w:hAnsi="Trebuchet MS" w:cs="Arial"/>
                <w:sz w:val="23"/>
                <w:szCs w:val="23"/>
              </w:rPr>
              <w:t>Titular del órgano de control interno</w:t>
            </w:r>
          </w:p>
        </w:tc>
      </w:tr>
      <w:tr w:rsidR="005E2F45" w:rsidRPr="007B4C9D" w:rsidTr="007B4C9D">
        <w:trPr>
          <w:trHeight w:val="708"/>
        </w:trPr>
        <w:tc>
          <w:tcPr>
            <w:tcW w:w="1617" w:type="pct"/>
            <w:vAlign w:val="center"/>
          </w:tcPr>
          <w:p w:rsidR="005E2F45" w:rsidRPr="007B4C9D" w:rsidRDefault="005E2F45" w:rsidP="007B4C9D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Cs/>
                <w:color w:val="FF0000"/>
                <w:sz w:val="23"/>
                <w:szCs w:val="23"/>
                <w:lang w:val="es-ES"/>
              </w:rPr>
            </w:pPr>
            <w:r w:rsidRPr="007B4C9D">
              <w:rPr>
                <w:rFonts w:ascii="Trebuchet MS" w:hAnsi="Trebuchet MS"/>
                <w:b w:val="0"/>
                <w:color w:val="000000"/>
                <w:sz w:val="23"/>
                <w:szCs w:val="23"/>
              </w:rPr>
              <w:t>Alma Fabiola del Rosario Rosas Villalobos</w:t>
            </w:r>
          </w:p>
        </w:tc>
        <w:tc>
          <w:tcPr>
            <w:tcW w:w="3383" w:type="pct"/>
            <w:vAlign w:val="center"/>
            <w:hideMark/>
          </w:tcPr>
          <w:p w:rsidR="005E2F45" w:rsidRPr="007B4C9D" w:rsidRDefault="005E2F45" w:rsidP="007B4C9D">
            <w:pPr>
              <w:ind w:left="176"/>
              <w:jc w:val="both"/>
              <w:rPr>
                <w:rFonts w:ascii="Trebuchet MS" w:hAnsi="Trebuchet MS" w:cs="Arial"/>
                <w:color w:val="FF0000"/>
                <w:sz w:val="23"/>
                <w:szCs w:val="23"/>
                <w:lang w:val="es-ES"/>
              </w:rPr>
            </w:pPr>
            <w:r w:rsidRPr="007B4C9D">
              <w:rPr>
                <w:rFonts w:ascii="Trebuchet MS" w:hAnsi="Trebuchet MS" w:cs="Arial"/>
                <w:sz w:val="23"/>
                <w:szCs w:val="23"/>
              </w:rPr>
              <w:t xml:space="preserve"> </w:t>
            </w:r>
            <w:proofErr w:type="spellStart"/>
            <w:r w:rsidRPr="007B4C9D">
              <w:rPr>
                <w:rFonts w:ascii="Trebuchet MS" w:hAnsi="Trebuchet MS" w:cs="Arial"/>
                <w:sz w:val="23"/>
                <w:szCs w:val="23"/>
              </w:rPr>
              <w:t>Secetaria</w:t>
            </w:r>
            <w:proofErr w:type="spellEnd"/>
            <w:r w:rsidRPr="007B4C9D">
              <w:rPr>
                <w:rFonts w:ascii="Trebuchet MS" w:hAnsi="Trebuchet MS" w:cs="Arial"/>
                <w:sz w:val="23"/>
                <w:szCs w:val="23"/>
              </w:rPr>
              <w:t xml:space="preserve"> del Comité de Transparencia.</w:t>
            </w:r>
          </w:p>
        </w:tc>
      </w:tr>
    </w:tbl>
    <w:p w:rsidR="00754E42" w:rsidRPr="00E10481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E10481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E10481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E10481">
        <w:rPr>
          <w:rFonts w:ascii="Trebuchet MS" w:hAnsi="Trebuchet MS" w:cs="Arial"/>
          <w:b/>
        </w:rPr>
        <w:t>DESAHOGO DE LA SESIÓN</w:t>
      </w:r>
    </w:p>
    <w:p w:rsidR="00CD5AB8" w:rsidRPr="00E10481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E10481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E10481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E10481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E10481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E10481">
        <w:rPr>
          <w:rFonts w:ascii="Trebuchet MS" w:hAnsi="Trebuchet MS"/>
          <w:b w:val="0"/>
          <w:sz w:val="24"/>
          <w:szCs w:val="24"/>
        </w:rPr>
        <w:t xml:space="preserve">los </w:t>
      </w:r>
      <w:r w:rsidRPr="00E10481">
        <w:rPr>
          <w:rFonts w:ascii="Trebuchet MS" w:hAnsi="Trebuchet MS"/>
          <w:b w:val="0"/>
          <w:sz w:val="24"/>
          <w:szCs w:val="24"/>
        </w:rPr>
        <w:t>artículo</w:t>
      </w:r>
      <w:r w:rsidR="00423C9B" w:rsidRPr="00E10481">
        <w:rPr>
          <w:rFonts w:ascii="Trebuchet MS" w:hAnsi="Trebuchet MS"/>
          <w:b w:val="0"/>
          <w:sz w:val="24"/>
          <w:szCs w:val="24"/>
        </w:rPr>
        <w:t>s</w:t>
      </w:r>
      <w:r w:rsidRPr="00E10481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E10481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E10481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E10481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E10481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E10481">
        <w:rPr>
          <w:rFonts w:ascii="Trebuchet MS" w:hAnsi="Trebuchet MS"/>
          <w:b w:val="0"/>
          <w:sz w:val="24"/>
          <w:szCs w:val="24"/>
        </w:rPr>
        <w:t>;</w:t>
      </w:r>
      <w:r w:rsidR="005E2F45" w:rsidRPr="00E10481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E10481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E10481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E1048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E10481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E1048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2048C2" w:rsidRPr="00E10481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E1048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E10481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E10481" w:rsidRDefault="00CD5AB8" w:rsidP="00CD5AB8">
      <w:pPr>
        <w:rPr>
          <w:rFonts w:ascii="Trebuchet MS" w:hAnsi="Trebuchet MS"/>
        </w:rPr>
      </w:pPr>
    </w:p>
    <w:p w:rsidR="001746E2" w:rsidRPr="00E10481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E10481">
        <w:rPr>
          <w:rFonts w:ascii="Trebuchet MS" w:hAnsi="Trebuchet MS" w:cs="Arial"/>
          <w:b/>
          <w:bCs/>
        </w:rPr>
        <w:t>Aprobación del orden del día.</w:t>
      </w:r>
      <w:r w:rsidR="001746E2" w:rsidRPr="00E10481">
        <w:rPr>
          <w:rFonts w:ascii="Trebuchet MS" w:hAnsi="Trebuchet MS" w:cs="Arial"/>
          <w:b/>
          <w:bCs/>
        </w:rPr>
        <w:t xml:space="preserve"> </w:t>
      </w:r>
    </w:p>
    <w:p w:rsidR="001746E2" w:rsidRPr="00E10481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E10481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E10481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E10481">
        <w:rPr>
          <w:rFonts w:ascii="Trebuchet MS" w:hAnsi="Trebuchet MS" w:cs="Arial"/>
        </w:rPr>
        <w:t xml:space="preserve">Se aprobó por </w:t>
      </w:r>
      <w:r w:rsidRPr="00E10481">
        <w:rPr>
          <w:rFonts w:ascii="Trebuchet MS" w:hAnsi="Trebuchet MS" w:cs="Arial"/>
          <w:b/>
        </w:rPr>
        <w:t>UNANIMIDAD.</w:t>
      </w:r>
    </w:p>
    <w:p w:rsidR="00CD5AB8" w:rsidRPr="00E10481" w:rsidRDefault="00CD5AB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B71793" w:rsidRDefault="00430ED4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E10481">
        <w:rPr>
          <w:rFonts w:ascii="Trebuchet MS" w:hAnsi="Trebuchet MS" w:cs="Tahoma"/>
          <w:b/>
        </w:rPr>
        <w:t>3</w:t>
      </w:r>
      <w:r w:rsidR="00FD0A3B" w:rsidRPr="00E10481">
        <w:rPr>
          <w:rFonts w:ascii="Trebuchet MS" w:hAnsi="Trebuchet MS" w:cs="Tahoma"/>
          <w:b/>
        </w:rPr>
        <w:t>.</w:t>
      </w:r>
      <w:r w:rsidR="00E10481" w:rsidRPr="00E10481">
        <w:t xml:space="preserve"> </w:t>
      </w:r>
      <w:r w:rsidR="00E10481" w:rsidRPr="00E10481">
        <w:rPr>
          <w:rFonts w:ascii="Trebuchet MS" w:hAnsi="Trebuchet MS" w:cs="Tahoma"/>
          <w:b/>
        </w:rPr>
        <w:t>Presentación, discusión y, en su caso, aprobación de la versión pública del entregable que conforma la respuesta de la solicitud de información radicada con el número de expediente IEPC-PNT-311/2020.</w:t>
      </w:r>
      <w:r w:rsidR="00FD0A3B" w:rsidRPr="00E10481">
        <w:rPr>
          <w:rFonts w:ascii="Trebuchet MS" w:hAnsi="Trebuchet MS" w:cs="Tahoma"/>
          <w:b/>
        </w:rPr>
        <w:t xml:space="preserve"> 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3"/>
          <w:szCs w:val="23"/>
        </w:rPr>
      </w:pPr>
      <w:r w:rsidRPr="0012200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lastRenderedPageBreak/>
        <w:t xml:space="preserve">El Presidente reitero una vez más la importancia de  que  todo sujeto obligado debe actualizar la clasificación de la información pública </w:t>
      </w: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22003">
        <w:rPr>
          <w:rFonts w:ascii="Trebuchet MS" w:hAnsi="Trebuchet MS"/>
          <w:sz w:val="23"/>
          <w:szCs w:val="23"/>
        </w:rPr>
        <w:t>Ley de Transparencia y Acceso a la Información Pública del Estado de Jalisco y sus Municipios.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3"/>
          <w:szCs w:val="23"/>
          <w:lang w:eastAsia="es-MX"/>
        </w:rPr>
      </w:pP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La Secretaria hizo conocimiento que se presentó la propuesta de clasificación del contenido de la respuesta a la solicitud de acceso de 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información </w:t>
      </w:r>
      <w:r w:rsidRPr="00E10481"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IEPC-PNT-311/2020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,</w:t>
      </w: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proporcionada por la 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>Secretarí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a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Ejecutiva y 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>l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a Dirección de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Área de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Prerrogativas de este </w:t>
      </w:r>
      <w:r w:rsidR="006C14E1"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Organism</w:t>
      </w:r>
      <w:r w:rsidR="006C14E1">
        <w:rPr>
          <w:rFonts w:ascii="Trebuchet MS" w:hAnsi="Trebuchet MS" w:cs="Arial"/>
          <w:color w:val="000000"/>
          <w:sz w:val="23"/>
          <w:szCs w:val="23"/>
          <w:lang w:eastAsia="es-MX"/>
        </w:rPr>
        <w:t>o Electoral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>.</w:t>
      </w:r>
      <w:r w:rsidRPr="00122003">
        <w:rPr>
          <w:rFonts w:ascii="Trebuchet MS" w:hAnsi="Trebuchet MS"/>
          <w:sz w:val="23"/>
          <w:szCs w:val="23"/>
        </w:rPr>
        <w:t xml:space="preserve"> 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3"/>
          <w:szCs w:val="23"/>
        </w:rPr>
      </w:pPr>
      <w:r w:rsidRPr="00122003">
        <w:rPr>
          <w:rFonts w:ascii="Trebuchet MS" w:hAnsi="Trebuchet MS"/>
          <w:sz w:val="23"/>
          <w:szCs w:val="23"/>
        </w:rPr>
        <w:t xml:space="preserve">Lo anterior por considerar </w:t>
      </w:r>
      <w:r w:rsidRPr="00C4622B">
        <w:rPr>
          <w:rFonts w:ascii="Trebuchet MS" w:hAnsi="Trebuchet MS"/>
          <w:sz w:val="23"/>
          <w:szCs w:val="23"/>
        </w:rPr>
        <w:t xml:space="preserve">que contienen datos personales, según el artículo 4.1 de la </w:t>
      </w:r>
      <w:r w:rsidRPr="00C4622B">
        <w:rPr>
          <w:rFonts w:ascii="Trebuchet MS" w:hAnsi="Trebuchet MS"/>
          <w:b/>
          <w:sz w:val="23"/>
          <w:szCs w:val="23"/>
        </w:rPr>
        <w:t xml:space="preserve">Ley de Transparencia y Acceso a la Información Pública del Estado de Jalisco y sus Municipios, </w:t>
      </w:r>
      <w:r w:rsidRPr="00C4622B">
        <w:rPr>
          <w:rFonts w:ascii="Trebuchet MS" w:hAnsi="Trebuchet MS"/>
          <w:sz w:val="23"/>
          <w:szCs w:val="23"/>
        </w:rPr>
        <w:t>que le confiere carácter de confidencial, según el artículo 21 de la misma ley, y siguiendo lo</w:t>
      </w:r>
      <w:r w:rsidRPr="00122003">
        <w:rPr>
          <w:rFonts w:ascii="Trebuchet MS" w:hAnsi="Trebuchet MS"/>
          <w:sz w:val="23"/>
          <w:szCs w:val="23"/>
        </w:rPr>
        <w:t xml:space="preserve"> dispuesto en el 137 de la </w:t>
      </w:r>
      <w:r w:rsidRPr="00122003">
        <w:rPr>
          <w:rFonts w:ascii="Trebuchet MS" w:hAnsi="Trebuchet MS"/>
          <w:b/>
          <w:sz w:val="23"/>
          <w:szCs w:val="23"/>
        </w:rPr>
        <w:t>Ley General de Transparencia</w:t>
      </w:r>
      <w:r w:rsidRPr="0012200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CB0468" w:rsidRPr="00E10481" w:rsidRDefault="00E10481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122003">
        <w:rPr>
          <w:rFonts w:ascii="Trebuchet MS" w:hAnsi="Trebuchet MS"/>
          <w:sz w:val="23"/>
          <w:szCs w:val="23"/>
        </w:rPr>
        <w:t>En virtud de lo anterior, e</w:t>
      </w:r>
      <w:r w:rsidRPr="00122003">
        <w:rPr>
          <w:rFonts w:ascii="Trebuchet MS" w:hAnsi="Trebuchet MS" w:cs="Calibri"/>
          <w:sz w:val="23"/>
          <w:szCs w:val="23"/>
        </w:rPr>
        <w:t>l Presidente del Comité sometió a consideración de los presentes, la confirmación de la clasificación y la propuesta de versión pública</w:t>
      </w:r>
      <w:r>
        <w:rPr>
          <w:rFonts w:ascii="Trebuchet MS" w:hAnsi="Trebuchet MS" w:cs="Calibri"/>
          <w:sz w:val="23"/>
          <w:szCs w:val="23"/>
        </w:rPr>
        <w:t xml:space="preserve"> de los entregables que conforman la respuesta de la solicitudes de información referida</w:t>
      </w:r>
      <w:r w:rsidRPr="00122003">
        <w:rPr>
          <w:rFonts w:ascii="Trebuchet MS" w:hAnsi="Trebuchet MS" w:cs="Calibri"/>
          <w:sz w:val="23"/>
          <w:szCs w:val="23"/>
        </w:rPr>
        <w:t xml:space="preserve">, </w:t>
      </w:r>
      <w:r w:rsidRPr="00122003">
        <w:rPr>
          <w:rFonts w:ascii="Trebuchet MS" w:hAnsi="Trebuchet MS"/>
          <w:sz w:val="23"/>
          <w:szCs w:val="23"/>
        </w:rPr>
        <w:t>no manifestándose ninguna observación</w:t>
      </w:r>
      <w:r w:rsidRPr="00122003">
        <w:rPr>
          <w:rFonts w:ascii="Trebuchet MS" w:hAnsi="Trebuchet MS" w:cs="Calibri"/>
          <w:sz w:val="23"/>
          <w:szCs w:val="23"/>
        </w:rPr>
        <w:t xml:space="preserve"> entonces, solicitó a la Secretaria que sometiera a votación.</w:t>
      </w:r>
    </w:p>
    <w:p w:rsidR="007F6062" w:rsidRPr="00E10481" w:rsidRDefault="00FE037A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E10481">
        <w:rPr>
          <w:rFonts w:ascii="Trebuchet MS" w:hAnsi="Trebuchet MS" w:cs="Arial"/>
          <w:sz w:val="24"/>
          <w:szCs w:val="24"/>
        </w:rPr>
        <w:t xml:space="preserve">Se aprobó por </w:t>
      </w:r>
      <w:r w:rsidRPr="00E10481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E10481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E10481" w:rsidRDefault="00CB0468" w:rsidP="00CB046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CB0468" w:rsidRDefault="00CB0468" w:rsidP="00CB0468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E10481">
        <w:rPr>
          <w:rFonts w:ascii="Trebuchet MS" w:hAnsi="Trebuchet MS" w:cs="Arial"/>
          <w:b/>
          <w:sz w:val="24"/>
          <w:szCs w:val="24"/>
        </w:rPr>
        <w:t xml:space="preserve">4. </w:t>
      </w:r>
      <w:r w:rsidR="00E10481" w:rsidRPr="00E10481">
        <w:rPr>
          <w:rFonts w:ascii="Trebuchet MS" w:hAnsi="Trebuchet MS" w:cs="Arial"/>
          <w:b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IEPC-WEB-317/2020.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  <w:sz w:val="23"/>
          <w:szCs w:val="23"/>
        </w:rPr>
      </w:pPr>
      <w:r w:rsidRPr="00122003">
        <w:rPr>
          <w:rFonts w:ascii="Trebuchet MS" w:hAnsi="Trebuchet MS" w:cs="Arial"/>
          <w:bCs/>
          <w:color w:val="000000"/>
          <w:sz w:val="23"/>
          <w:szCs w:val="23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22003">
        <w:rPr>
          <w:rFonts w:ascii="Trebuchet MS" w:hAnsi="Trebuchet MS"/>
          <w:sz w:val="23"/>
          <w:szCs w:val="23"/>
        </w:rPr>
        <w:t>Ley de Transparencia y Acceso a la Información Pública del Estado de Jalisco y sus Municipios.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sz w:val="23"/>
          <w:szCs w:val="23"/>
          <w:lang w:eastAsia="es-MX"/>
        </w:rPr>
      </w:pP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La Secretaria hizo conocimiento que se presentó la propuesta de clasificación del contenido de la respuesta a la solicitud de acceso de 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información </w:t>
      </w:r>
      <w:r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IEPC-WEB</w:t>
      </w:r>
      <w:r w:rsidRPr="00E10481"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-</w:t>
      </w:r>
      <w:r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317</w:t>
      </w:r>
      <w:r w:rsidRPr="00E10481">
        <w:rPr>
          <w:rFonts w:ascii="Trebuchet MS" w:hAnsi="Trebuchet MS" w:cs="Arial"/>
          <w:b/>
          <w:color w:val="000000"/>
          <w:sz w:val="23"/>
          <w:szCs w:val="23"/>
          <w:lang w:eastAsia="es-MX"/>
        </w:rPr>
        <w:t>/2020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,</w:t>
      </w:r>
      <w:r w:rsidRPr="00122003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proporcionada por la 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>Secretarí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>a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 </w:t>
      </w:r>
      <w:r w:rsidRPr="00E10481">
        <w:rPr>
          <w:rFonts w:ascii="Trebuchet MS" w:hAnsi="Trebuchet MS" w:cs="Arial"/>
          <w:color w:val="000000"/>
          <w:sz w:val="23"/>
          <w:szCs w:val="23"/>
          <w:lang w:eastAsia="es-MX"/>
        </w:rPr>
        <w:t xml:space="preserve">Ejecutiva de este </w:t>
      </w:r>
      <w:r>
        <w:rPr>
          <w:rFonts w:ascii="Trebuchet MS" w:hAnsi="Trebuchet MS" w:cs="Arial"/>
          <w:color w:val="000000"/>
          <w:sz w:val="23"/>
          <w:szCs w:val="23"/>
          <w:lang w:eastAsia="es-MX"/>
        </w:rPr>
        <w:t>organismo electoral.</w:t>
      </w:r>
    </w:p>
    <w:p w:rsidR="00E10481" w:rsidRPr="00122003" w:rsidRDefault="00E10481" w:rsidP="00E10481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3"/>
          <w:szCs w:val="23"/>
        </w:rPr>
      </w:pPr>
      <w:r w:rsidRPr="00122003">
        <w:rPr>
          <w:rFonts w:ascii="Trebuchet MS" w:hAnsi="Trebuchet MS"/>
          <w:sz w:val="23"/>
          <w:szCs w:val="23"/>
        </w:rPr>
        <w:t xml:space="preserve">Lo anterior por considerar </w:t>
      </w:r>
      <w:r w:rsidRPr="00C4622B">
        <w:rPr>
          <w:rFonts w:ascii="Trebuchet MS" w:hAnsi="Trebuchet MS"/>
          <w:sz w:val="23"/>
          <w:szCs w:val="23"/>
        </w:rPr>
        <w:t xml:space="preserve">que contienen datos personales, según el artículo 4.1 de la </w:t>
      </w:r>
      <w:r w:rsidRPr="00C4622B">
        <w:rPr>
          <w:rFonts w:ascii="Trebuchet MS" w:hAnsi="Trebuchet MS"/>
          <w:b/>
          <w:sz w:val="23"/>
          <w:szCs w:val="23"/>
        </w:rPr>
        <w:t xml:space="preserve">Ley de Transparencia y Acceso a la Información Pública del Estado de Jalisco y sus Municipios, </w:t>
      </w:r>
      <w:r w:rsidRPr="00C4622B">
        <w:rPr>
          <w:rFonts w:ascii="Trebuchet MS" w:hAnsi="Trebuchet MS"/>
          <w:sz w:val="23"/>
          <w:szCs w:val="23"/>
        </w:rPr>
        <w:t>que le confiere carácter de confidencial, según el artículo 21 de la misma ley, y siguiendo lo</w:t>
      </w:r>
      <w:r w:rsidRPr="00122003">
        <w:rPr>
          <w:rFonts w:ascii="Trebuchet MS" w:hAnsi="Trebuchet MS"/>
          <w:sz w:val="23"/>
          <w:szCs w:val="23"/>
        </w:rPr>
        <w:t xml:space="preserve"> dispuesto en el 137 de la </w:t>
      </w:r>
      <w:r w:rsidRPr="00122003">
        <w:rPr>
          <w:rFonts w:ascii="Trebuchet MS" w:hAnsi="Trebuchet MS"/>
          <w:b/>
          <w:sz w:val="23"/>
          <w:szCs w:val="23"/>
        </w:rPr>
        <w:t>Ley General de Transparencia</w:t>
      </w:r>
      <w:r w:rsidRPr="00122003">
        <w:rPr>
          <w:rFonts w:ascii="Trebuchet MS" w:hAnsi="Trebuchet MS"/>
          <w:sz w:val="23"/>
          <w:szCs w:val="23"/>
        </w:rPr>
        <w:t>, remite un escrito en el que funda y motiva la clasificación parcial, documento que se circula entre ustedes.</w:t>
      </w:r>
    </w:p>
    <w:p w:rsidR="00E10481" w:rsidRDefault="00E10481" w:rsidP="00E10481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122003">
        <w:rPr>
          <w:rFonts w:ascii="Trebuchet MS" w:hAnsi="Trebuchet MS"/>
          <w:sz w:val="23"/>
          <w:szCs w:val="23"/>
        </w:rPr>
        <w:t>En virtud de lo anterior, e</w:t>
      </w:r>
      <w:r w:rsidRPr="00122003">
        <w:rPr>
          <w:rFonts w:ascii="Trebuchet MS" w:hAnsi="Trebuchet MS" w:cs="Calibri"/>
          <w:sz w:val="23"/>
          <w:szCs w:val="23"/>
        </w:rPr>
        <w:t>l Presidente del Comité sometió a consideración de los presentes, la confirmación de la clasificación y la propuesta de versión pública</w:t>
      </w:r>
      <w:r>
        <w:rPr>
          <w:rFonts w:ascii="Trebuchet MS" w:hAnsi="Trebuchet MS" w:cs="Calibri"/>
          <w:sz w:val="23"/>
          <w:szCs w:val="23"/>
        </w:rPr>
        <w:t xml:space="preserve"> de los entregables que conforman la respuesta de la solicitudes de información referida</w:t>
      </w:r>
      <w:r w:rsidRPr="00122003">
        <w:rPr>
          <w:rFonts w:ascii="Trebuchet MS" w:hAnsi="Trebuchet MS" w:cs="Calibri"/>
          <w:sz w:val="23"/>
          <w:szCs w:val="23"/>
        </w:rPr>
        <w:t xml:space="preserve">, </w:t>
      </w:r>
      <w:r w:rsidRPr="00122003">
        <w:rPr>
          <w:rFonts w:ascii="Trebuchet MS" w:hAnsi="Trebuchet MS"/>
          <w:sz w:val="23"/>
          <w:szCs w:val="23"/>
        </w:rPr>
        <w:t>no manifestándose ninguna observación</w:t>
      </w:r>
      <w:r w:rsidRPr="00122003">
        <w:rPr>
          <w:rFonts w:ascii="Trebuchet MS" w:hAnsi="Trebuchet MS" w:cs="Calibri"/>
          <w:sz w:val="23"/>
          <w:szCs w:val="23"/>
        </w:rPr>
        <w:t xml:space="preserve"> entonces, solicitó a la Secretaria que sometiera a votación.</w:t>
      </w:r>
    </w:p>
    <w:p w:rsidR="00E10481" w:rsidRDefault="00E10481" w:rsidP="00E10481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E10481">
        <w:rPr>
          <w:rFonts w:ascii="Trebuchet MS" w:hAnsi="Trebuchet MS" w:cs="Arial"/>
          <w:sz w:val="24"/>
          <w:szCs w:val="24"/>
        </w:rPr>
        <w:t xml:space="preserve">Se aprobó por </w:t>
      </w:r>
      <w:r w:rsidRPr="00E10481">
        <w:rPr>
          <w:rFonts w:ascii="Trebuchet MS" w:hAnsi="Trebuchet MS" w:cs="Arial"/>
          <w:b/>
          <w:sz w:val="24"/>
          <w:szCs w:val="24"/>
        </w:rPr>
        <w:t>UNANIMIDAD.</w:t>
      </w:r>
    </w:p>
    <w:p w:rsidR="00E10481" w:rsidRDefault="00E10481" w:rsidP="00E10481">
      <w:pPr>
        <w:pStyle w:val="Texto"/>
        <w:spacing w:after="0" w:line="276" w:lineRule="auto"/>
        <w:ind w:firstLine="0"/>
        <w:jc w:val="left"/>
        <w:rPr>
          <w:rFonts w:ascii="Trebuchet MS" w:hAnsi="Trebuchet MS"/>
          <w:sz w:val="24"/>
          <w:szCs w:val="24"/>
        </w:rPr>
      </w:pPr>
    </w:p>
    <w:p w:rsidR="00E10481" w:rsidRDefault="00E10481" w:rsidP="00E10481">
      <w:pPr>
        <w:pStyle w:val="Texto"/>
        <w:spacing w:after="0" w:line="276" w:lineRule="auto"/>
        <w:ind w:firstLine="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E10481">
        <w:rPr>
          <w:rFonts w:ascii="Trebuchet MS" w:hAnsi="Trebuchet MS"/>
          <w:b/>
          <w:sz w:val="24"/>
          <w:szCs w:val="24"/>
        </w:rPr>
        <w:t xml:space="preserve">Informe respecto de la modificación en la integración del Comité de </w:t>
      </w:r>
      <w:r>
        <w:rPr>
          <w:rFonts w:ascii="Trebuchet MS" w:hAnsi="Trebuchet MS"/>
          <w:b/>
          <w:sz w:val="24"/>
          <w:szCs w:val="24"/>
        </w:rPr>
        <w:t>T</w:t>
      </w:r>
      <w:r w:rsidRPr="00E10481">
        <w:rPr>
          <w:rFonts w:ascii="Trebuchet MS" w:hAnsi="Trebuchet MS"/>
          <w:b/>
          <w:sz w:val="24"/>
          <w:szCs w:val="24"/>
        </w:rPr>
        <w:t>ransparencia del Instituto Electoral y de Participación Ciudadana del Estado de Jalisco.</w:t>
      </w:r>
    </w:p>
    <w:p w:rsidR="006C39EA" w:rsidRDefault="006C39EA" w:rsidP="006C39EA">
      <w:pPr>
        <w:pStyle w:val="Estilo"/>
        <w:spacing w:before="24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En primer término, el Presidente informó que respecto que en términos del artículo 28.1 de la Ley de Transparencia y Acceso a la Información Pública del Estado de Jalisco y sus Municipios, el Comité se integra por: I. El titular del sujeto obligado cuando sea unipersonal o el representante oficial del mismo cuando sea un órgano colegiado, quien lo presidirá; II. El titular de la Unidad, quien fungirá como Secretario, y III. El titular del órgano con funciones de control interno del sujeto obligado cuando sea unipersonal o el representante oficial del mismo cuando sea un órgano colegiado. </w:t>
      </w:r>
    </w:p>
    <w:p w:rsidR="006C39EA" w:rsidRDefault="006C39EA" w:rsidP="006C39EA">
      <w:pPr>
        <w:pStyle w:val="Textoindependiente"/>
        <w:spacing w:before="240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Continuó manifestado, que el día 15 quince de octubre del 2020 dos mil veinte, el Congreso del Estado de Jalisco aprobó el acuerdo legislativo 77/LXII/2020, mediante el cual designó al C. Eduardo Meza Rincón como Contralor General de este Instituto, por lo cual en observancia </w:t>
      </w:r>
      <w:proofErr w:type="gramStart"/>
      <w:r>
        <w:rPr>
          <w:rFonts w:ascii="Trebuchet MS" w:hAnsi="Trebuchet MS" w:cs="Arial"/>
        </w:rPr>
        <w:t>de  los</w:t>
      </w:r>
      <w:proofErr w:type="gramEnd"/>
      <w:r>
        <w:rPr>
          <w:rFonts w:ascii="Trebuchet MS" w:hAnsi="Trebuchet MS" w:cs="Arial"/>
        </w:rPr>
        <w:t xml:space="preserve"> artículos de los artículos 4.1, fracción II, 25.1, fracción II; 27.1 y 28.1 de la Ley de la materia, se integra el licenciado Eduardo Meza Rincón al Comité de Transparencia de este organismo.</w:t>
      </w:r>
    </w:p>
    <w:p w:rsidR="006C39EA" w:rsidRDefault="006C39EA" w:rsidP="006C39EA">
      <w:pPr>
        <w:pStyle w:val="Textoindependiente"/>
        <w:spacing w:before="240" w:line="276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En ese sentido, la integración del Comité de Transparencia del Instituto Electoral y de Participación Ciudadana del Estado de Jalisco, es la siguiente: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344"/>
      </w:tblGrid>
      <w:tr w:rsidR="006C39EA" w:rsidTr="007B4C9D">
        <w:trPr>
          <w:trHeight w:val="1130"/>
        </w:trPr>
        <w:tc>
          <w:tcPr>
            <w:tcW w:w="1617" w:type="pct"/>
            <w:vAlign w:val="center"/>
            <w:hideMark/>
          </w:tcPr>
          <w:p w:rsidR="006C39EA" w:rsidRDefault="006C39EA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 w:eastAsia="en-US"/>
              </w:rPr>
            </w:pPr>
            <w:r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6C39EA" w:rsidRDefault="006C39EA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 w:eastAsia="en-US"/>
              </w:rPr>
            </w:pPr>
            <w:r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6C39EA" w:rsidRPr="006C39EA" w:rsidTr="007B4C9D">
        <w:trPr>
          <w:trHeight w:val="1085"/>
        </w:trPr>
        <w:tc>
          <w:tcPr>
            <w:tcW w:w="1617" w:type="pct"/>
            <w:vAlign w:val="center"/>
            <w:hideMark/>
          </w:tcPr>
          <w:p w:rsidR="006C39EA" w:rsidRPr="006C39EA" w:rsidRDefault="006C39EA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5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6C39EA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</w:t>
            </w:r>
          </w:p>
        </w:tc>
        <w:tc>
          <w:tcPr>
            <w:tcW w:w="3382" w:type="pct"/>
            <w:vAlign w:val="center"/>
            <w:hideMark/>
          </w:tcPr>
          <w:p w:rsidR="006C39EA" w:rsidRPr="006C39EA" w:rsidRDefault="006C39EA" w:rsidP="006C39EA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eastAsia="en-US"/>
              </w:rPr>
            </w:pPr>
            <w:r w:rsidRPr="006C39EA">
              <w:rPr>
                <w:rFonts w:ascii="Trebuchet MS" w:hAnsi="Trebuchet MS" w:cs="Arial"/>
                <w:color w:val="FF0000"/>
              </w:rPr>
              <w:t xml:space="preserve">  </w:t>
            </w:r>
            <w:r w:rsidRPr="006C39EA">
              <w:rPr>
                <w:rFonts w:ascii="Trebuchet MS" w:hAnsi="Trebuchet MS" w:cs="Arial"/>
              </w:rPr>
              <w:t>Titular del órgano de control interno</w:t>
            </w:r>
          </w:p>
        </w:tc>
      </w:tr>
      <w:tr w:rsidR="006C39EA" w:rsidRPr="006C39EA" w:rsidTr="007B4C9D">
        <w:trPr>
          <w:trHeight w:val="744"/>
        </w:trPr>
        <w:tc>
          <w:tcPr>
            <w:tcW w:w="1617" w:type="pct"/>
            <w:vAlign w:val="center"/>
            <w:hideMark/>
          </w:tcPr>
          <w:p w:rsidR="006C39EA" w:rsidRPr="006C39EA" w:rsidRDefault="006C39EA">
            <w:pPr>
              <w:pStyle w:val="Ttulo1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56" w:lineRule="auto"/>
              <w:jc w:val="left"/>
              <w:rPr>
                <w:rFonts w:ascii="Trebuchet MS" w:hAnsi="Trebuchet MS"/>
                <w:bCs/>
                <w:color w:val="FF0000"/>
                <w:sz w:val="24"/>
                <w:szCs w:val="24"/>
                <w:lang w:val="es-ES"/>
              </w:rPr>
            </w:pPr>
            <w:r w:rsidRPr="006C39EA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</w:tc>
        <w:tc>
          <w:tcPr>
            <w:tcW w:w="3382" w:type="pct"/>
            <w:vAlign w:val="center"/>
            <w:hideMark/>
          </w:tcPr>
          <w:p w:rsidR="006C39EA" w:rsidRPr="006C39EA" w:rsidRDefault="006C39EA">
            <w:pPr>
              <w:spacing w:after="160"/>
              <w:ind w:left="176"/>
              <w:jc w:val="both"/>
              <w:rPr>
                <w:rFonts w:ascii="Trebuchet MS" w:hAnsi="Trebuchet MS" w:cs="Arial"/>
                <w:color w:val="FF0000"/>
                <w:lang w:val="es-ES" w:eastAsia="en-US"/>
              </w:rPr>
            </w:pPr>
            <w:r w:rsidRPr="006C39EA">
              <w:rPr>
                <w:rFonts w:ascii="Trebuchet MS" w:hAnsi="Trebuchet MS" w:cs="Arial"/>
              </w:rPr>
              <w:t xml:space="preserve"> Secretaria del Comité de Transparencia</w:t>
            </w:r>
          </w:p>
        </w:tc>
      </w:tr>
    </w:tbl>
    <w:p w:rsidR="006C39EA" w:rsidRDefault="006C39EA" w:rsidP="006C39EA">
      <w:pPr>
        <w:pStyle w:val="Texto"/>
        <w:spacing w:after="0" w:line="276" w:lineRule="auto"/>
        <w:ind w:firstLine="0"/>
        <w:rPr>
          <w:rFonts w:ascii="Trebuchet MS" w:hAnsi="Trebuchet MS" w:cs="Arial"/>
          <w:sz w:val="24"/>
          <w:szCs w:val="24"/>
        </w:rPr>
      </w:pPr>
    </w:p>
    <w:p w:rsidR="00E10481" w:rsidRDefault="006C39EA" w:rsidP="006C39EA">
      <w:pPr>
        <w:pStyle w:val="Texto"/>
        <w:spacing w:after="0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6C39EA">
        <w:rPr>
          <w:rFonts w:ascii="Trebuchet MS" w:hAnsi="Trebuchet MS" w:cs="Arial"/>
          <w:sz w:val="24"/>
          <w:szCs w:val="24"/>
        </w:rPr>
        <w:t xml:space="preserve">En consecuencia, el Consejero Presidente puso a consideración el informe, y sin haber observaciones, </w:t>
      </w:r>
      <w:r w:rsidRPr="006C39EA">
        <w:rPr>
          <w:rFonts w:ascii="Trebuchet MS" w:hAnsi="Trebuchet MS" w:cs="Arial"/>
          <w:b/>
          <w:sz w:val="24"/>
          <w:szCs w:val="24"/>
        </w:rPr>
        <w:t>se tuvo por rendido el informe</w:t>
      </w:r>
      <w:r w:rsidRPr="006C39EA">
        <w:rPr>
          <w:rFonts w:ascii="Trebuchet MS" w:hAnsi="Trebuchet MS" w:cs="Arial"/>
          <w:sz w:val="24"/>
          <w:szCs w:val="24"/>
        </w:rPr>
        <w:t>.</w:t>
      </w:r>
    </w:p>
    <w:p w:rsidR="00F358DA" w:rsidRPr="006C39EA" w:rsidRDefault="00F358DA" w:rsidP="006C39EA">
      <w:pPr>
        <w:pStyle w:val="Texto"/>
        <w:spacing w:after="0" w:line="276" w:lineRule="auto"/>
        <w:ind w:firstLine="0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:rsidR="00CD5AB8" w:rsidRPr="00E10481" w:rsidRDefault="00CD5AB8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7B4C9D" w:rsidRDefault="007B4C9D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7B4C9D" w:rsidRDefault="007B4C9D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E10481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E10481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</w:t>
      </w:r>
      <w:proofErr w:type="gramStart"/>
      <w:r w:rsidRPr="00E10481">
        <w:rPr>
          <w:rFonts w:ascii="Trebuchet MS" w:hAnsi="Trebuchet MS" w:cs="Arial"/>
          <w:bCs/>
          <w:color w:val="000000"/>
          <w:lang w:eastAsia="es-MX"/>
        </w:rPr>
        <w:t>tratar</w:t>
      </w:r>
      <w:proofErr w:type="gramEnd"/>
      <w:r w:rsidRPr="00E10481">
        <w:rPr>
          <w:rFonts w:ascii="Trebuchet MS" w:hAnsi="Trebuchet MS" w:cs="Arial"/>
          <w:bCs/>
          <w:color w:val="000000"/>
          <w:lang w:eastAsia="es-MX"/>
        </w:rPr>
        <w:t xml:space="preserve">, y se da por concluida la sesión, siendo las </w:t>
      </w:r>
      <w:r w:rsidR="00423C9B" w:rsidRPr="006C39EA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6C39EA">
        <w:rPr>
          <w:rFonts w:ascii="Trebuchet MS" w:hAnsi="Trebuchet MS" w:cs="Arial"/>
          <w:bCs/>
          <w:color w:val="000000"/>
          <w:lang w:eastAsia="es-MX"/>
        </w:rPr>
        <w:t>:</w:t>
      </w:r>
      <w:r w:rsidR="00E10481" w:rsidRPr="006C39EA">
        <w:rPr>
          <w:rFonts w:ascii="Trebuchet MS" w:hAnsi="Trebuchet MS" w:cs="Arial"/>
          <w:bCs/>
          <w:color w:val="000000"/>
          <w:lang w:eastAsia="es-MX"/>
        </w:rPr>
        <w:t>45</w:t>
      </w:r>
      <w:r w:rsidR="00FB6B0D" w:rsidRPr="006C39E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6C39EA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6C39E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6C39EA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6C39E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10481" w:rsidRPr="006C39EA">
        <w:rPr>
          <w:rFonts w:ascii="Trebuchet MS" w:hAnsi="Trebuchet MS" w:cs="Arial"/>
          <w:bCs/>
          <w:color w:val="000000"/>
          <w:lang w:eastAsia="es-MX"/>
        </w:rPr>
        <w:t>cuarenta y cinco</w:t>
      </w:r>
      <w:r w:rsidR="00FB6B0D" w:rsidRPr="006C39EA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6C39EA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6C39EA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10481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>1</w:t>
      </w:r>
      <w:r w:rsidR="00423C9B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9 </w:t>
      </w:r>
      <w:r w:rsidR="00E10481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>diecinueve</w:t>
      </w:r>
      <w:r w:rsidR="00423C9B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E10481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423C9B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6C39EA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6C39EA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6C39EA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E10481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A8060B" w:rsidRPr="00E10481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E10481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E10481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E10481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E10481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E10481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10481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E10481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10481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E10481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E10481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E10481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E10481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E10481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E10481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E10481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10481">
              <w:rPr>
                <w:rFonts w:ascii="Trebuchet MS" w:hAnsi="Trebuchet MS" w:cs="Arial"/>
                <w:b/>
                <w:bCs/>
              </w:rPr>
              <w:t>__</w:t>
            </w:r>
            <w:r w:rsidR="00A8060B" w:rsidRPr="00E10481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E10481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E10481">
              <w:rPr>
                <w:rFonts w:ascii="Trebuchet MS" w:hAnsi="Trebuchet MS"/>
                <w:b/>
                <w:bCs/>
              </w:rPr>
              <w:t>Eduardo Meza Rincón</w:t>
            </w:r>
            <w:r w:rsidRPr="00E10481">
              <w:rPr>
                <w:rFonts w:ascii="Trebuchet MS" w:hAnsi="Trebuchet MS"/>
                <w:bCs/>
              </w:rPr>
              <w:t xml:space="preserve">                           </w:t>
            </w:r>
            <w:r w:rsidRPr="00E10481">
              <w:rPr>
                <w:rFonts w:ascii="Trebuchet MS" w:hAnsi="Trebuchet MS" w:cs="Arial"/>
              </w:rPr>
              <w:t xml:space="preserve">Titular </w:t>
            </w:r>
            <w:r w:rsidR="008B45CC" w:rsidRPr="00E10481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E10481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E10481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E10481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E10481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E10481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E10481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E10481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E10481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E10481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E10481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E10481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E10481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E10481">
              <w:rPr>
                <w:rFonts w:ascii="Trebuchet MS" w:hAnsi="Trebuchet MS" w:cs="Arial"/>
                <w:bCs/>
              </w:rPr>
              <w:t>S</w:t>
            </w:r>
            <w:r w:rsidR="00E16030" w:rsidRPr="00E10481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E10481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E10481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F358DA" w:rsidRPr="00F358DA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F358DA">
      <w:rPr>
        <w:rFonts w:ascii="Trebuchet MS" w:hAnsi="Trebuchet MS"/>
        <w:noProof/>
        <w:sz w:val="14"/>
        <w:szCs w:val="14"/>
        <w:lang w:val="es-ES"/>
      </w:rPr>
      <w:t>5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04289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 wp14:anchorId="55C9B8D5" wp14:editId="36C4A696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304289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04289" w:rsidP="00304289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 w:rsidRPr="00304289">
      <w:rPr>
        <w:rFonts w:ascii="Trebuchet MS" w:hAnsi="Trebuchet MS" w:cs="Arial"/>
        <w:b/>
        <w:sz w:val="26"/>
        <w:szCs w:val="26"/>
      </w:rPr>
      <w:t>19 de octubre</w:t>
    </w:r>
    <w:r w:rsidR="00370128" w:rsidRPr="00304289">
      <w:rPr>
        <w:rFonts w:ascii="Trebuchet MS" w:hAnsi="Trebuchet MS" w:cs="Arial"/>
        <w:b/>
        <w:sz w:val="26"/>
        <w:szCs w:val="26"/>
      </w:rPr>
      <w:t xml:space="preserve"> </w:t>
    </w:r>
    <w:r w:rsidR="0010066A" w:rsidRPr="00304289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4289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4E1"/>
    <w:rsid w:val="006C16F8"/>
    <w:rsid w:val="006C2204"/>
    <w:rsid w:val="006C39EA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4C9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481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58DA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FE1BAC32-EBB2-4215-939C-2300F9CE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E10481"/>
    <w:pPr>
      <w:spacing w:after="0" w:line="240" w:lineRule="auto"/>
    </w:pPr>
  </w:style>
  <w:style w:type="paragraph" w:customStyle="1" w:styleId="Estilo">
    <w:name w:val="Estilo"/>
    <w:basedOn w:val="Normal"/>
    <w:link w:val="EstiloCar"/>
    <w:rsid w:val="00E10481"/>
    <w:pPr>
      <w:suppressAutoHyphens w:val="0"/>
      <w:jc w:val="both"/>
    </w:pPr>
    <w:rPr>
      <w:rFonts w:ascii="Arial" w:eastAsia="Calibri" w:hAnsi="Arial" w:cs="Arial"/>
      <w:lang w:eastAsia="en-US"/>
    </w:rPr>
  </w:style>
  <w:style w:type="character" w:customStyle="1" w:styleId="EstiloCar">
    <w:name w:val="Estilo Car"/>
    <w:link w:val="Estilo"/>
    <w:locked/>
    <w:rsid w:val="00E10481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185C-37B0-4E03-8824-BC566B8A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1368</Words>
  <Characters>7529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 conformidad con lo establecido en el artículo 29.1 de la Ley de Transparencia</vt:lpstr>
    </vt:vector>
  </TitlesOfParts>
  <Company>Hewlett-Packard Company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Alma Fabiola del Rosario Rosas Villalobos</cp:lastModifiedBy>
  <cp:revision>26</cp:revision>
  <cp:lastPrinted>2021-09-29T00:03:00Z</cp:lastPrinted>
  <dcterms:created xsi:type="dcterms:W3CDTF">2020-08-13T08:14:00Z</dcterms:created>
  <dcterms:modified xsi:type="dcterms:W3CDTF">2021-09-29T00:03:00Z</dcterms:modified>
</cp:coreProperties>
</file>