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8F" w:rsidRPr="00A73680" w:rsidRDefault="00A73680" w:rsidP="00A73680">
      <w:pPr>
        <w:jc w:val="both"/>
        <w:rPr>
          <w:rFonts w:ascii="Trebuchet MS" w:hAnsi="Trebuchet MS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1466850" cy="7677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20383094"/>
      <w:bookmarkStart w:id="1" w:name="_Toc45735501"/>
    </w:p>
    <w:p w:rsidR="001307B5" w:rsidRDefault="00502282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32799E">
        <w:rPr>
          <w:rFonts w:ascii="Trebuchet MS" w:hAnsi="Trebuchet MS" w:cs="Times New Roman"/>
          <w:b/>
          <w:sz w:val="24"/>
          <w:szCs w:val="24"/>
        </w:rPr>
        <w:t>INFORME QUE RINDE LA DIRECCIÓN DE EDUCACIÓN CÍVICA DEL INSTITUTO ELECTORAL Y DE PARTICIPACIÓN CIUDADANA DEL ESTADO DE JALISCO, A LA COMISIÓN DE EDUCACIÓN CÍVICA, RELATIVO A LAS ACTIVIDADES REALIZADAS DURANTE EL PERIODO COM</w:t>
      </w:r>
      <w:r w:rsidR="00A73680" w:rsidRPr="0032799E">
        <w:rPr>
          <w:rFonts w:ascii="Trebuchet MS" w:hAnsi="Trebuchet MS" w:cs="Times New Roman"/>
          <w:b/>
          <w:sz w:val="24"/>
          <w:szCs w:val="24"/>
        </w:rPr>
        <w:t>PRE</w:t>
      </w:r>
      <w:r w:rsidR="002564C9" w:rsidRPr="0032799E">
        <w:rPr>
          <w:rFonts w:ascii="Trebuchet MS" w:hAnsi="Trebuchet MS" w:cs="Times New Roman"/>
          <w:b/>
          <w:sz w:val="24"/>
          <w:szCs w:val="24"/>
        </w:rPr>
        <w:t xml:space="preserve">NDIDO ENTRE EL </w:t>
      </w:r>
      <w:r w:rsidR="00D93EB4" w:rsidRPr="0032799E">
        <w:rPr>
          <w:rFonts w:ascii="Trebuchet MS" w:hAnsi="Trebuchet MS" w:cs="Times New Roman"/>
          <w:b/>
          <w:sz w:val="24"/>
          <w:szCs w:val="24"/>
        </w:rPr>
        <w:t xml:space="preserve">26 DE JULIO </w:t>
      </w:r>
      <w:r w:rsidR="002564C9" w:rsidRPr="0032799E">
        <w:rPr>
          <w:rFonts w:ascii="Trebuchet MS" w:hAnsi="Trebuchet MS" w:cs="Times New Roman"/>
          <w:b/>
          <w:sz w:val="24"/>
          <w:szCs w:val="24"/>
        </w:rPr>
        <w:t>Y EL</w:t>
      </w:r>
      <w:r w:rsidR="00D93EB4" w:rsidRPr="0032799E">
        <w:rPr>
          <w:rFonts w:ascii="Trebuchet MS" w:hAnsi="Trebuchet MS" w:cs="Times New Roman"/>
          <w:b/>
          <w:sz w:val="24"/>
          <w:szCs w:val="24"/>
        </w:rPr>
        <w:t xml:space="preserve"> 20 DE OCTUBRE</w:t>
      </w:r>
      <w:r w:rsidRPr="0032799E">
        <w:rPr>
          <w:rFonts w:ascii="Trebuchet MS" w:hAnsi="Trebuchet MS" w:cs="Times New Roman"/>
          <w:b/>
          <w:sz w:val="24"/>
          <w:szCs w:val="24"/>
        </w:rPr>
        <w:t xml:space="preserve"> DE 2022.</w:t>
      </w:r>
    </w:p>
    <w:p w:rsidR="0032799E" w:rsidRPr="0032799E" w:rsidRDefault="0032799E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:rsidR="001307B5" w:rsidRPr="0032799E" w:rsidRDefault="004E22DC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De </w:t>
      </w:r>
      <w:r w:rsidR="00C9669C" w:rsidRPr="0032799E">
        <w:rPr>
          <w:rFonts w:ascii="Trebuchet MS" w:hAnsi="Trebuchet MS" w:cs="Times New Roman"/>
          <w:sz w:val="24"/>
          <w:szCs w:val="24"/>
        </w:rPr>
        <w:t>conformidad con la</w:t>
      </w:r>
      <w:r w:rsidRPr="0032799E">
        <w:rPr>
          <w:rFonts w:ascii="Trebuchet MS" w:hAnsi="Trebuchet MS" w:cs="Times New Roman"/>
          <w:sz w:val="24"/>
          <w:szCs w:val="24"/>
        </w:rPr>
        <w:t xml:space="preserve"> agenda aprobada por la Comisión de Edu</w:t>
      </w:r>
      <w:r w:rsidR="00C9669C" w:rsidRPr="0032799E">
        <w:rPr>
          <w:rFonts w:ascii="Trebuchet MS" w:hAnsi="Trebuchet MS" w:cs="Times New Roman"/>
          <w:sz w:val="24"/>
          <w:szCs w:val="24"/>
        </w:rPr>
        <w:t>cación Cívica de este Instituto</w:t>
      </w:r>
      <w:r w:rsidRPr="0032799E">
        <w:rPr>
          <w:rFonts w:ascii="Trebuchet MS" w:hAnsi="Trebuchet MS" w:cs="Times New Roman"/>
          <w:sz w:val="24"/>
          <w:szCs w:val="24"/>
        </w:rPr>
        <w:t xml:space="preserve"> el día 23 de Marzo,</w:t>
      </w:r>
      <w:r w:rsidR="00C9669C" w:rsidRPr="0032799E">
        <w:rPr>
          <w:rFonts w:ascii="Trebuchet MS" w:hAnsi="Trebuchet MS" w:cs="Times New Roman"/>
          <w:sz w:val="24"/>
          <w:szCs w:val="24"/>
        </w:rPr>
        <w:t xml:space="preserve"> y de conformidad con </w:t>
      </w:r>
      <w:r w:rsidR="00EB3EC7" w:rsidRPr="0032799E">
        <w:rPr>
          <w:rFonts w:ascii="Trebuchet MS" w:hAnsi="Trebuchet MS" w:cs="Times New Roman"/>
          <w:sz w:val="24"/>
          <w:szCs w:val="24"/>
        </w:rPr>
        <w:t>la fracción V y XVI d</w:t>
      </w:r>
      <w:r w:rsidR="006534EF" w:rsidRPr="0032799E">
        <w:rPr>
          <w:rFonts w:ascii="Trebuchet MS" w:hAnsi="Trebuchet MS" w:cs="Times New Roman"/>
          <w:sz w:val="24"/>
          <w:szCs w:val="24"/>
        </w:rPr>
        <w:t>el artículo 15</w:t>
      </w:r>
      <w:r w:rsidR="00C9669C" w:rsidRPr="0032799E">
        <w:rPr>
          <w:rFonts w:ascii="Trebuchet MS" w:hAnsi="Trebuchet MS" w:cs="Times New Roman"/>
          <w:sz w:val="24"/>
          <w:szCs w:val="24"/>
        </w:rPr>
        <w:t xml:space="preserve"> del Reglamento Interior del Instituto Electoral y de Participación Ciudadana del Estado de Jalisco</w:t>
      </w:r>
      <w:r w:rsidR="002564C9" w:rsidRPr="0032799E">
        <w:rPr>
          <w:rFonts w:ascii="Trebuchet MS" w:hAnsi="Trebuchet MS" w:cs="Times New Roman"/>
          <w:sz w:val="24"/>
          <w:szCs w:val="24"/>
        </w:rPr>
        <w:t>,</w:t>
      </w:r>
      <w:r w:rsidRPr="0032799E">
        <w:rPr>
          <w:rFonts w:ascii="Trebuchet MS" w:hAnsi="Trebuchet MS" w:cs="Times New Roman"/>
          <w:sz w:val="24"/>
          <w:szCs w:val="24"/>
        </w:rPr>
        <w:t xml:space="preserve"> esta Dirección rinde el presente informe </w:t>
      </w:r>
      <w:r w:rsidR="00C9669C" w:rsidRPr="0032799E">
        <w:rPr>
          <w:rFonts w:ascii="Trebuchet MS" w:hAnsi="Trebuchet MS" w:cs="Times New Roman"/>
          <w:sz w:val="24"/>
          <w:szCs w:val="24"/>
        </w:rPr>
        <w:t>sobre los siguientes puntos</w:t>
      </w:r>
      <w:r w:rsidRPr="0032799E">
        <w:rPr>
          <w:rFonts w:ascii="Trebuchet MS" w:hAnsi="Trebuchet MS" w:cs="Times New Roman"/>
          <w:sz w:val="24"/>
          <w:szCs w:val="24"/>
        </w:rPr>
        <w:t>:</w:t>
      </w:r>
    </w:p>
    <w:p w:rsidR="004E22DC" w:rsidRPr="0032799E" w:rsidRDefault="004E22DC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b/>
          <w:sz w:val="24"/>
          <w:szCs w:val="24"/>
        </w:rPr>
        <w:t>1.-</w:t>
      </w:r>
      <w:r w:rsidRPr="0032799E">
        <w:rPr>
          <w:rFonts w:ascii="Trebuchet MS" w:hAnsi="Trebuchet MS" w:cs="Times New Roman"/>
          <w:sz w:val="24"/>
          <w:szCs w:val="24"/>
        </w:rPr>
        <w:t xml:space="preserve"> Actividades de la Dirección de Educación Cívica.</w:t>
      </w:r>
    </w:p>
    <w:p w:rsidR="009736D2" w:rsidRPr="0032799E" w:rsidRDefault="009736D2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b/>
          <w:sz w:val="24"/>
          <w:szCs w:val="24"/>
        </w:rPr>
        <w:t>2.-</w:t>
      </w:r>
      <w:r w:rsidRPr="0032799E">
        <w:rPr>
          <w:rFonts w:ascii="Trebuchet MS" w:hAnsi="Trebuchet MS" w:cs="Times New Roman"/>
          <w:sz w:val="24"/>
          <w:szCs w:val="24"/>
        </w:rPr>
        <w:t xml:space="preserve"> </w:t>
      </w:r>
      <w:r w:rsidRPr="0032799E">
        <w:rPr>
          <w:rFonts w:ascii="Trebuchet MS" w:eastAsia="Calibri" w:hAnsi="Trebuchet MS" w:cs="Times New Roman"/>
          <w:sz w:val="24"/>
          <w:szCs w:val="24"/>
        </w:rPr>
        <w:t>Seguimiento a los proyectos de fortalecimiento de cultura cívica que se implementen en coordinación con la Secretaría de Educación Jalisco.</w:t>
      </w:r>
    </w:p>
    <w:p w:rsidR="009736D2" w:rsidRPr="0032799E" w:rsidRDefault="009736D2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176C64">
        <w:rPr>
          <w:rFonts w:ascii="Trebuchet MS" w:hAnsi="Trebuchet MS" w:cs="Times New Roman"/>
          <w:b/>
          <w:sz w:val="24"/>
          <w:szCs w:val="24"/>
          <w:lang w:val="es-ES"/>
        </w:rPr>
        <w:t>3.-</w:t>
      </w:r>
      <w:r w:rsidRPr="0032799E">
        <w:rPr>
          <w:rFonts w:ascii="Trebuchet MS" w:hAnsi="Trebuchet MS" w:cs="Times New Roman"/>
          <w:sz w:val="24"/>
          <w:szCs w:val="24"/>
          <w:lang w:val="es-ES"/>
        </w:rPr>
        <w:t xml:space="preserve"> </w:t>
      </w:r>
      <w:r w:rsidR="009D2442">
        <w:rPr>
          <w:rFonts w:ascii="Trebuchet MS" w:eastAsia="Calibri" w:hAnsi="Trebuchet MS" w:cs="Times New Roman"/>
          <w:sz w:val="24"/>
          <w:szCs w:val="24"/>
        </w:rPr>
        <w:t>10° Ciclo de Cine y P</w:t>
      </w:r>
      <w:r w:rsidR="00BC6169" w:rsidRPr="0032799E">
        <w:rPr>
          <w:rFonts w:ascii="Trebuchet MS" w:eastAsia="Calibri" w:hAnsi="Trebuchet MS" w:cs="Times New Roman"/>
          <w:sz w:val="24"/>
          <w:szCs w:val="24"/>
        </w:rPr>
        <w:t>olítica “Historias que cuentan”.</w:t>
      </w:r>
    </w:p>
    <w:p w:rsidR="009736D2" w:rsidRPr="0032799E" w:rsidRDefault="009736D2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176C64">
        <w:rPr>
          <w:rFonts w:ascii="Trebuchet MS" w:eastAsia="Calibri" w:hAnsi="Trebuchet MS" w:cs="Times New Roman"/>
          <w:b/>
          <w:sz w:val="24"/>
          <w:szCs w:val="24"/>
        </w:rPr>
        <w:t>4.-</w:t>
      </w:r>
      <w:r w:rsidRPr="0032799E">
        <w:rPr>
          <w:rFonts w:ascii="Trebuchet MS" w:eastAsia="Calibri" w:hAnsi="Trebuchet MS" w:cs="Times New Roman"/>
          <w:sz w:val="24"/>
          <w:szCs w:val="24"/>
        </w:rPr>
        <w:t xml:space="preserve"> Festival infantil y juvenil Papirolas.</w:t>
      </w:r>
    </w:p>
    <w:p w:rsidR="005167C7" w:rsidRPr="0032799E" w:rsidRDefault="009736D2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176C64">
        <w:rPr>
          <w:rFonts w:ascii="Trebuchet MS" w:hAnsi="Trebuchet MS" w:cs="Times New Roman"/>
          <w:b/>
          <w:sz w:val="24"/>
          <w:szCs w:val="24"/>
        </w:rPr>
        <w:t>5</w:t>
      </w:r>
      <w:r w:rsidR="005167C7" w:rsidRPr="00176C64">
        <w:rPr>
          <w:rFonts w:ascii="Trebuchet MS" w:hAnsi="Trebuchet MS" w:cs="Times New Roman"/>
          <w:b/>
          <w:sz w:val="24"/>
          <w:szCs w:val="24"/>
        </w:rPr>
        <w:t>.-</w:t>
      </w:r>
      <w:r w:rsidR="005167C7" w:rsidRPr="0032799E">
        <w:rPr>
          <w:rFonts w:ascii="Trebuchet MS" w:hAnsi="Trebuchet MS" w:cs="Times New Roman"/>
          <w:sz w:val="24"/>
          <w:szCs w:val="24"/>
        </w:rPr>
        <w:t xml:space="preserve"> Diseño e implementación de talleres en materia de educación cívica con jóvenes universitarios y jóvenes de bachillerato empleando como base los contenidos editoriales del Instituto.</w:t>
      </w:r>
    </w:p>
    <w:p w:rsidR="004E31D5" w:rsidRPr="0032799E" w:rsidRDefault="009736D2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176C64">
        <w:rPr>
          <w:rFonts w:ascii="Trebuchet MS" w:eastAsia="Calibri" w:hAnsi="Trebuchet MS" w:cs="Times New Roman"/>
          <w:b/>
          <w:sz w:val="24"/>
          <w:szCs w:val="24"/>
        </w:rPr>
        <w:t>6</w:t>
      </w:r>
      <w:r w:rsidR="00C9631A" w:rsidRPr="00176C64">
        <w:rPr>
          <w:rFonts w:ascii="Trebuchet MS" w:eastAsia="Calibri" w:hAnsi="Trebuchet MS" w:cs="Times New Roman"/>
          <w:b/>
          <w:sz w:val="24"/>
          <w:szCs w:val="24"/>
        </w:rPr>
        <w:t>.-</w:t>
      </w:r>
      <w:r w:rsidR="00C9631A" w:rsidRPr="0032799E">
        <w:rPr>
          <w:rFonts w:ascii="Trebuchet MS" w:eastAsia="Calibri" w:hAnsi="Trebuchet MS" w:cs="Times New Roman"/>
          <w:sz w:val="24"/>
          <w:szCs w:val="24"/>
        </w:rPr>
        <w:t xml:space="preserve"> Feria Internacional del Libro.</w:t>
      </w:r>
    </w:p>
    <w:p w:rsidR="0002797A" w:rsidRPr="0032799E" w:rsidRDefault="0002797A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C9631A" w:rsidRPr="00176C64" w:rsidRDefault="001307B5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176C64">
        <w:rPr>
          <w:rFonts w:ascii="Trebuchet MS" w:hAnsi="Trebuchet MS" w:cs="Times New Roman"/>
          <w:b/>
          <w:sz w:val="24"/>
          <w:szCs w:val="24"/>
        </w:rPr>
        <w:t>1.- ACTIVIDADES DE LA DIRECCIÓN DE EDUCACIÓN CÍVICA.</w:t>
      </w:r>
    </w:p>
    <w:p w:rsidR="00D12649" w:rsidRPr="00176C64" w:rsidRDefault="00D12649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176C64">
        <w:rPr>
          <w:rFonts w:ascii="Trebuchet MS" w:hAnsi="Trebuchet MS" w:cs="Times New Roman"/>
          <w:b/>
          <w:i/>
          <w:color w:val="7030A0"/>
          <w:sz w:val="24"/>
          <w:szCs w:val="24"/>
        </w:rPr>
        <w:t xml:space="preserve">Jornadas para </w:t>
      </w:r>
      <w:r w:rsidR="00F12696" w:rsidRPr="00176C64">
        <w:rPr>
          <w:rFonts w:ascii="Trebuchet MS" w:hAnsi="Trebuchet MS" w:cs="Times New Roman"/>
          <w:b/>
          <w:i/>
          <w:color w:val="7030A0"/>
          <w:sz w:val="24"/>
          <w:szCs w:val="24"/>
        </w:rPr>
        <w:t>construir espacios libres de violencia política contra las mujeres en Jalisco</w:t>
      </w:r>
      <w:r w:rsidRPr="00176C64">
        <w:rPr>
          <w:rFonts w:ascii="Trebuchet MS" w:hAnsi="Trebuchet MS" w:cs="Times New Roman"/>
          <w:b/>
          <w:i/>
          <w:color w:val="7030A0"/>
          <w:sz w:val="24"/>
          <w:szCs w:val="24"/>
        </w:rPr>
        <w:t>.</w:t>
      </w:r>
    </w:p>
    <w:p w:rsidR="002010EF" w:rsidRPr="0032799E" w:rsidRDefault="00352ADF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>Continuando con este proyecto, e</w:t>
      </w:r>
      <w:r w:rsidR="0063582C" w:rsidRPr="0032799E">
        <w:rPr>
          <w:rFonts w:ascii="Trebuchet MS" w:hAnsi="Trebuchet MS" w:cs="Times New Roman"/>
          <w:sz w:val="24"/>
          <w:szCs w:val="24"/>
        </w:rPr>
        <w:t>l p</w:t>
      </w:r>
      <w:r w:rsidR="006C77B1" w:rsidRPr="0032799E">
        <w:rPr>
          <w:rFonts w:ascii="Trebuchet MS" w:hAnsi="Trebuchet MS" w:cs="Times New Roman"/>
          <w:sz w:val="24"/>
          <w:szCs w:val="24"/>
        </w:rPr>
        <w:t xml:space="preserve">ersonal </w:t>
      </w:r>
      <w:r w:rsidR="00EA66BF" w:rsidRPr="0032799E">
        <w:rPr>
          <w:rFonts w:ascii="Trebuchet MS" w:hAnsi="Trebuchet MS" w:cs="Times New Roman"/>
          <w:sz w:val="24"/>
          <w:szCs w:val="24"/>
        </w:rPr>
        <w:t>de esta dirección de Educación C</w:t>
      </w:r>
      <w:r w:rsidR="00BC6169" w:rsidRPr="0032799E">
        <w:rPr>
          <w:rFonts w:ascii="Trebuchet MS" w:hAnsi="Trebuchet MS" w:cs="Times New Roman"/>
          <w:sz w:val="24"/>
          <w:szCs w:val="24"/>
        </w:rPr>
        <w:t>ívica permanece</w:t>
      </w:r>
      <w:r w:rsidR="006C77B1" w:rsidRPr="0032799E">
        <w:rPr>
          <w:rFonts w:ascii="Trebuchet MS" w:hAnsi="Trebuchet MS" w:cs="Times New Roman"/>
          <w:sz w:val="24"/>
          <w:szCs w:val="24"/>
        </w:rPr>
        <w:t xml:space="preserve"> colaborado en la impartición </w:t>
      </w:r>
      <w:r w:rsidRPr="0032799E">
        <w:rPr>
          <w:rFonts w:ascii="Trebuchet MS" w:hAnsi="Trebuchet MS" w:cs="Times New Roman"/>
          <w:sz w:val="24"/>
          <w:szCs w:val="24"/>
        </w:rPr>
        <w:t>de estos talleres; hemos participado</w:t>
      </w:r>
      <w:r w:rsidR="009D2442">
        <w:rPr>
          <w:rFonts w:ascii="Trebuchet MS" w:hAnsi="Trebuchet MS" w:cs="Times New Roman"/>
          <w:sz w:val="24"/>
          <w:szCs w:val="24"/>
        </w:rPr>
        <w:t xml:space="preserve"> en la instrucción de</w:t>
      </w:r>
      <w:r w:rsidR="00D92728">
        <w:rPr>
          <w:rFonts w:ascii="Trebuchet MS" w:hAnsi="Trebuchet MS" w:cs="Times New Roman"/>
          <w:sz w:val="24"/>
          <w:szCs w:val="24"/>
        </w:rPr>
        <w:t xml:space="preserve"> 9 de los 14</w:t>
      </w:r>
      <w:r w:rsidRPr="0032799E">
        <w:rPr>
          <w:rFonts w:ascii="Trebuchet MS" w:hAnsi="Trebuchet MS" w:cs="Times New Roman"/>
          <w:sz w:val="24"/>
          <w:szCs w:val="24"/>
        </w:rPr>
        <w:t xml:space="preserve"> talleres que se han impartido en diferentes municipios del estado.</w:t>
      </w:r>
    </w:p>
    <w:p w:rsidR="00176C64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</w:p>
    <w:p w:rsidR="002010EF" w:rsidRPr="00176C64" w:rsidRDefault="002010EF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176C64">
        <w:rPr>
          <w:rFonts w:ascii="Trebuchet MS" w:hAnsi="Trebuchet MS" w:cs="Times New Roman"/>
          <w:b/>
          <w:i/>
          <w:color w:val="7030A0"/>
          <w:sz w:val="24"/>
          <w:szCs w:val="24"/>
        </w:rPr>
        <w:t>Taller: Tú puedes cambiar el mundo</w:t>
      </w:r>
      <w:r w:rsidR="00920E6A" w:rsidRPr="00176C64">
        <w:rPr>
          <w:rFonts w:ascii="Trebuchet MS" w:hAnsi="Trebuchet MS" w:cs="Times New Roman"/>
          <w:b/>
          <w:i/>
          <w:color w:val="7030A0"/>
          <w:sz w:val="24"/>
          <w:szCs w:val="24"/>
        </w:rPr>
        <w:t>.</w:t>
      </w:r>
    </w:p>
    <w:p w:rsidR="002010EF" w:rsidRDefault="00A83D9B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  <w:lang w:eastAsia="es-MX"/>
        </w:rPr>
        <w:t>Este taller continúa</w:t>
      </w:r>
      <w:r w:rsidR="00352ADF" w:rsidRPr="0032799E">
        <w:rPr>
          <w:rFonts w:ascii="Trebuchet MS" w:hAnsi="Trebuchet MS" w:cs="Times New Roman"/>
          <w:sz w:val="24"/>
          <w:szCs w:val="24"/>
          <w:lang w:eastAsia="es-MX"/>
        </w:rPr>
        <w:t xml:space="preserve"> su implementación</w:t>
      </w:r>
      <w:r w:rsidRPr="0032799E">
        <w:rPr>
          <w:rFonts w:ascii="Trebuchet MS" w:hAnsi="Trebuchet MS" w:cs="Times New Roman"/>
          <w:sz w:val="24"/>
          <w:szCs w:val="24"/>
        </w:rPr>
        <w:t xml:space="preserve"> en el Museo Trompo Mágico </w:t>
      </w:r>
      <w:r w:rsidR="002010EF" w:rsidRPr="0032799E">
        <w:rPr>
          <w:rFonts w:ascii="Trebuchet MS" w:hAnsi="Trebuchet MS" w:cs="Times New Roman"/>
          <w:sz w:val="24"/>
          <w:szCs w:val="24"/>
        </w:rPr>
        <w:t>como parte de</w:t>
      </w:r>
      <w:r w:rsidR="00FB024F">
        <w:rPr>
          <w:rFonts w:ascii="Trebuchet MS" w:hAnsi="Trebuchet MS" w:cs="Times New Roman"/>
          <w:sz w:val="24"/>
          <w:szCs w:val="24"/>
        </w:rPr>
        <w:t xml:space="preserve"> </w:t>
      </w:r>
      <w:r w:rsidR="002010EF" w:rsidRPr="0032799E">
        <w:rPr>
          <w:rFonts w:ascii="Trebuchet MS" w:hAnsi="Trebuchet MS" w:cs="Times New Roman"/>
          <w:sz w:val="24"/>
          <w:szCs w:val="24"/>
        </w:rPr>
        <w:t>la campaña “voy derecho” donde las y los niños tienen oportunidad de c</w:t>
      </w:r>
      <w:r w:rsidRPr="0032799E">
        <w:rPr>
          <w:rFonts w:ascii="Trebuchet MS" w:hAnsi="Trebuchet MS" w:cs="Times New Roman"/>
          <w:sz w:val="24"/>
          <w:szCs w:val="24"/>
        </w:rPr>
        <w:t>onocer y reconocer sus derechos.</w:t>
      </w:r>
      <w:r w:rsidR="00972043" w:rsidRPr="0032799E">
        <w:rPr>
          <w:rFonts w:ascii="Trebuchet MS" w:hAnsi="Trebuchet MS" w:cs="Times New Roman"/>
          <w:sz w:val="24"/>
          <w:szCs w:val="24"/>
        </w:rPr>
        <w:t xml:space="preserve"> </w:t>
      </w:r>
      <w:r w:rsidR="009C7BD6">
        <w:rPr>
          <w:rFonts w:ascii="Trebuchet MS" w:hAnsi="Trebuchet MS" w:cs="Times New Roman"/>
          <w:sz w:val="24"/>
          <w:szCs w:val="24"/>
        </w:rPr>
        <w:t>Los datos del mes de agosto a la fecha son los siguientes:</w:t>
      </w: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20"/>
        <w:gridCol w:w="1760"/>
        <w:gridCol w:w="1820"/>
        <w:gridCol w:w="1200"/>
      </w:tblGrid>
      <w:tr w:rsidR="009C7BD6" w:rsidRPr="009C7BD6" w:rsidTr="009C7BD6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Mes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Cantidad Menores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Adultos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de visitantes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Sesiones </w:t>
            </w:r>
          </w:p>
        </w:tc>
      </w:tr>
      <w:tr w:rsidR="009C7BD6" w:rsidRPr="009C7BD6" w:rsidTr="009C7B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Agosto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6" w:rsidRPr="009C7BD6" w:rsidRDefault="009C7BD6" w:rsidP="009C7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</w:tr>
      <w:tr w:rsidR="009C7BD6" w:rsidRPr="009C7BD6" w:rsidTr="009C7B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6" w:rsidRPr="009C7BD6" w:rsidRDefault="009C7BD6" w:rsidP="009C7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</w:tr>
      <w:tr w:rsidR="009C7BD6" w:rsidRPr="009C7BD6" w:rsidTr="009C7BD6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Octubre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BD6" w:rsidRPr="009C7BD6" w:rsidRDefault="009C7BD6" w:rsidP="009C7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D6" w:rsidRPr="009C7BD6" w:rsidRDefault="009C7BD6" w:rsidP="009C7B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C7BD6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</w:tr>
    </w:tbl>
    <w:p w:rsidR="009C7BD6" w:rsidRDefault="009C7BD6" w:rsidP="009C7BD6">
      <w:pPr>
        <w:pStyle w:val="Sinespaciado"/>
        <w:spacing w:line="276" w:lineRule="auto"/>
        <w:jc w:val="center"/>
        <w:rPr>
          <w:rFonts w:ascii="Trebuchet MS" w:hAnsi="Trebuchet MS" w:cs="Times New Roman"/>
          <w:sz w:val="24"/>
          <w:szCs w:val="24"/>
        </w:rPr>
      </w:pPr>
    </w:p>
    <w:p w:rsidR="00176C64" w:rsidRPr="0032799E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C6169" w:rsidRPr="0032799E" w:rsidRDefault="000B44E4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De conformidad al informe rendido en la </w:t>
      </w:r>
      <w:r w:rsidR="001603C5" w:rsidRPr="0032799E">
        <w:rPr>
          <w:rFonts w:ascii="Trebuchet MS" w:hAnsi="Trebuchet MS" w:cs="Times New Roman"/>
          <w:sz w:val="24"/>
          <w:szCs w:val="24"/>
        </w:rPr>
        <w:t>sesión</w:t>
      </w:r>
      <w:r w:rsidRPr="0032799E">
        <w:rPr>
          <w:rFonts w:ascii="Trebuchet MS" w:hAnsi="Trebuchet MS" w:cs="Times New Roman"/>
          <w:sz w:val="24"/>
          <w:szCs w:val="24"/>
        </w:rPr>
        <w:t xml:space="preserve"> anterior, se llevó a cabo es</w:t>
      </w:r>
      <w:r w:rsidR="001603C5" w:rsidRPr="0032799E">
        <w:rPr>
          <w:rFonts w:ascii="Trebuchet MS" w:hAnsi="Trebuchet MS" w:cs="Times New Roman"/>
          <w:sz w:val="24"/>
          <w:szCs w:val="24"/>
        </w:rPr>
        <w:t>te mismo taller en el COMUDE Pase</w:t>
      </w:r>
      <w:r w:rsidR="00BC6169" w:rsidRPr="0032799E">
        <w:rPr>
          <w:rFonts w:ascii="Trebuchet MS" w:hAnsi="Trebuchet MS" w:cs="Times New Roman"/>
          <w:sz w:val="24"/>
          <w:szCs w:val="24"/>
        </w:rPr>
        <w:t>o</w:t>
      </w:r>
      <w:r w:rsidR="001603C5" w:rsidRPr="0032799E">
        <w:rPr>
          <w:rFonts w:ascii="Trebuchet MS" w:hAnsi="Trebuchet MS" w:cs="Times New Roman"/>
          <w:sz w:val="24"/>
          <w:szCs w:val="24"/>
        </w:rPr>
        <w:t>s del sol del 26 al 29 de julio atendiendo</w:t>
      </w:r>
      <w:r w:rsidR="00BC6169" w:rsidRPr="0032799E">
        <w:rPr>
          <w:rFonts w:ascii="Trebuchet MS" w:hAnsi="Trebuchet MS" w:cs="Times New Roman"/>
          <w:sz w:val="24"/>
          <w:szCs w:val="24"/>
        </w:rPr>
        <w:t xml:space="preserve"> un total de 84 niñas y niños; de igual forma se implementó este taller en el Fraccionamiento los Fresnos el 28 de julio, atendiendo a un total de 20 participantes. </w:t>
      </w:r>
    </w:p>
    <w:p w:rsidR="00176C64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</w:p>
    <w:p w:rsidR="009736D2" w:rsidRPr="00176C64" w:rsidRDefault="009736D2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i/>
          <w:color w:val="7030A0"/>
          <w:sz w:val="24"/>
          <w:szCs w:val="24"/>
        </w:rPr>
      </w:pPr>
      <w:r w:rsidRPr="00176C64">
        <w:rPr>
          <w:rFonts w:ascii="Trebuchet MS" w:hAnsi="Trebuchet MS" w:cs="Times New Roman"/>
          <w:b/>
          <w:i/>
          <w:color w:val="7030A0"/>
          <w:sz w:val="24"/>
          <w:szCs w:val="24"/>
        </w:rPr>
        <w:t>2do Encuentro Nacional de Buenas Prácticas.</w:t>
      </w:r>
    </w:p>
    <w:p w:rsidR="009736D2" w:rsidRPr="0032799E" w:rsidRDefault="009736D2" w:rsidP="009D2442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>El día 26 de octubre se llevará a cabo el 2do encuentro nacional de buenas prácticas, organizado por el OPL de Michoacán, en la ciudad de Pátzcua</w:t>
      </w:r>
      <w:bookmarkStart w:id="2" w:name="_GoBack"/>
      <w:bookmarkEnd w:id="2"/>
      <w:r w:rsidRPr="0032799E">
        <w:rPr>
          <w:rFonts w:ascii="Trebuchet MS" w:hAnsi="Trebuchet MS" w:cs="Times New Roman"/>
          <w:sz w:val="24"/>
          <w:szCs w:val="24"/>
        </w:rPr>
        <w:t>ro,  mismo al que fuimos invitados a participar con actividades dirigidas a las infancias. En ese tenor esta dirección decidió llevar el taller “simulacro infantil” en donde además se empleará la urna electrónica. En este simulacro las niñas, los niños y los jóvenes podrán participar en una elección por su candidatura favorita, representadas estas por diversos animales, de esta forma el público asistente conoce la forma en la que se lleva a cabo una elección y tendrá la oportunidad de conocer el mecanismo de elección empleando la urna electrónica.</w:t>
      </w:r>
      <w:r w:rsidR="009D2442">
        <w:rPr>
          <w:rFonts w:ascii="Trebuchet MS" w:hAnsi="Trebuchet MS" w:cs="Times New Roman"/>
          <w:sz w:val="24"/>
          <w:szCs w:val="24"/>
        </w:rPr>
        <w:t xml:space="preserve"> La actividad se llevará a cabo  a partir de las 10 horas y hasta las 18 horas del día del evento en el andador de la Plaza vasco de Quiroga de Pátzcuaro Michoacán.</w:t>
      </w:r>
    </w:p>
    <w:p w:rsidR="00A1267A" w:rsidRPr="0032799E" w:rsidRDefault="00A1267A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1267A" w:rsidRPr="00176C64" w:rsidRDefault="0072523B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b/>
          <w:sz w:val="24"/>
          <w:szCs w:val="24"/>
        </w:rPr>
      </w:pPr>
      <w:r w:rsidRPr="00176C64">
        <w:rPr>
          <w:rFonts w:ascii="Trebuchet MS" w:hAnsi="Trebuchet MS" w:cs="Times New Roman"/>
          <w:b/>
          <w:sz w:val="24"/>
          <w:szCs w:val="24"/>
        </w:rPr>
        <w:t>2</w:t>
      </w:r>
      <w:r w:rsidR="001307B5" w:rsidRPr="00176C64">
        <w:rPr>
          <w:rFonts w:ascii="Trebuchet MS" w:hAnsi="Trebuchet MS" w:cs="Times New Roman"/>
          <w:b/>
          <w:sz w:val="24"/>
          <w:szCs w:val="24"/>
        </w:rPr>
        <w:t xml:space="preserve">.- </w:t>
      </w:r>
      <w:r w:rsidR="001307B5" w:rsidRPr="00176C64">
        <w:rPr>
          <w:rFonts w:ascii="Trebuchet MS" w:eastAsia="Calibri" w:hAnsi="Trebuchet MS" w:cs="Times New Roman"/>
          <w:b/>
          <w:sz w:val="24"/>
          <w:szCs w:val="24"/>
        </w:rPr>
        <w:t>SEGUIMIENTO A LOS PROYECTOS DE FORTALECIMIENTO DE CULTURA CÍVICA QUE SE IMPLEMENTEN EN COORDINACIÓN CON LA SECRETARÍA DE EDUCACIÓN JALISCO.</w:t>
      </w:r>
      <w:r w:rsidRPr="00176C64">
        <w:rPr>
          <w:rFonts w:ascii="Trebuchet MS" w:eastAsia="Calibri" w:hAnsi="Trebuchet MS" w:cs="Times New Roman"/>
          <w:b/>
          <w:sz w:val="24"/>
          <w:szCs w:val="24"/>
        </w:rPr>
        <w:t xml:space="preserve"> RECREA ESCUELA PARA LA VIDA.</w:t>
      </w:r>
    </w:p>
    <w:p w:rsidR="00A1267A" w:rsidRDefault="00920E6A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>El día 13 de septiembre se realizó por parte de la SEJ el act</w:t>
      </w:r>
      <w:r w:rsidR="00AC6994">
        <w:rPr>
          <w:rFonts w:ascii="Trebuchet MS" w:hAnsi="Trebuchet MS" w:cs="Times New Roman"/>
          <w:sz w:val="24"/>
          <w:szCs w:val="24"/>
        </w:rPr>
        <w:t>o formal de presentación de</w:t>
      </w:r>
      <w:r w:rsidRPr="0032799E">
        <w:rPr>
          <w:rFonts w:ascii="Trebuchet MS" w:hAnsi="Trebuchet MS" w:cs="Times New Roman"/>
          <w:sz w:val="24"/>
          <w:szCs w:val="24"/>
        </w:rPr>
        <w:t>l proyecto RECREA</w:t>
      </w:r>
      <w:r w:rsidR="00BC6169" w:rsidRPr="0032799E">
        <w:rPr>
          <w:rFonts w:ascii="Trebuchet MS" w:hAnsi="Trebuchet MS" w:cs="Times New Roman"/>
          <w:sz w:val="24"/>
          <w:szCs w:val="24"/>
        </w:rPr>
        <w:t xml:space="preserve"> en el que se contó con la presencia de toda</w:t>
      </w:r>
      <w:r w:rsidRPr="0032799E">
        <w:rPr>
          <w:rFonts w:ascii="Trebuchet MS" w:hAnsi="Trebuchet MS" w:cs="Times New Roman"/>
          <w:sz w:val="24"/>
          <w:szCs w:val="24"/>
        </w:rPr>
        <w:t xml:space="preserve">s </w:t>
      </w:r>
      <w:r w:rsidR="00BC6169" w:rsidRPr="0032799E">
        <w:rPr>
          <w:rFonts w:ascii="Trebuchet MS" w:hAnsi="Trebuchet MS" w:cs="Times New Roman"/>
          <w:sz w:val="24"/>
          <w:szCs w:val="24"/>
        </w:rPr>
        <w:t xml:space="preserve">las y </w:t>
      </w:r>
      <w:r w:rsidRPr="0032799E">
        <w:rPr>
          <w:rFonts w:ascii="Trebuchet MS" w:hAnsi="Trebuchet MS" w:cs="Times New Roman"/>
          <w:sz w:val="24"/>
          <w:szCs w:val="24"/>
        </w:rPr>
        <w:t xml:space="preserve">los Consejeros Generales del IEPC; de igual forma en este evento la Consejera presidenta, el Consejero Presidente de esta Comisión y el Director Ejecutivo de Educación Cívica y </w:t>
      </w:r>
      <w:r w:rsidR="00BC6169" w:rsidRPr="0032799E">
        <w:rPr>
          <w:rFonts w:ascii="Trebuchet MS" w:hAnsi="Trebuchet MS" w:cs="Times New Roman"/>
          <w:sz w:val="24"/>
          <w:szCs w:val="24"/>
        </w:rPr>
        <w:t>P</w:t>
      </w:r>
      <w:r w:rsidRPr="0032799E">
        <w:rPr>
          <w:rFonts w:ascii="Trebuchet MS" w:hAnsi="Trebuchet MS" w:cs="Times New Roman"/>
          <w:sz w:val="24"/>
          <w:szCs w:val="24"/>
        </w:rPr>
        <w:t>articipación Ciudadana realizaron la presentación del proyecto.</w:t>
      </w:r>
    </w:p>
    <w:p w:rsidR="00176C64" w:rsidRPr="0032799E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920E6A" w:rsidRDefault="00920E6A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Dando continuidad a los </w:t>
      </w:r>
      <w:r w:rsidR="00BC6169" w:rsidRPr="0032799E">
        <w:rPr>
          <w:rFonts w:ascii="Trebuchet MS" w:hAnsi="Trebuchet MS" w:cs="Times New Roman"/>
          <w:sz w:val="24"/>
          <w:szCs w:val="24"/>
        </w:rPr>
        <w:t>compromisos establecidos en el convenio de colaboración para este proyecto, los días 24, 25 y 26 de octubre esta dirección llevará a cabo la capacitación virtual de 415 doce</w:t>
      </w:r>
      <w:r w:rsidR="00AC6994">
        <w:rPr>
          <w:rFonts w:ascii="Trebuchet MS" w:hAnsi="Trebuchet MS" w:cs="Times New Roman"/>
          <w:sz w:val="24"/>
          <w:szCs w:val="24"/>
        </w:rPr>
        <w:t>ntes pertenecientes a</w:t>
      </w:r>
      <w:r w:rsidR="00BC6169" w:rsidRPr="0032799E">
        <w:rPr>
          <w:rFonts w:ascii="Trebuchet MS" w:hAnsi="Trebuchet MS" w:cs="Times New Roman"/>
          <w:sz w:val="24"/>
          <w:szCs w:val="24"/>
        </w:rPr>
        <w:t xml:space="preserve"> 450 planteles de la SEJ</w:t>
      </w:r>
      <w:r w:rsidR="00AC6994">
        <w:rPr>
          <w:rFonts w:ascii="Trebuchet MS" w:hAnsi="Trebuchet MS" w:cs="Times New Roman"/>
          <w:sz w:val="24"/>
          <w:szCs w:val="24"/>
        </w:rPr>
        <w:t>,</w:t>
      </w:r>
      <w:r w:rsidR="00BC6169" w:rsidRPr="0032799E">
        <w:rPr>
          <w:rFonts w:ascii="Trebuchet MS" w:hAnsi="Trebuchet MS" w:cs="Times New Roman"/>
          <w:sz w:val="24"/>
          <w:szCs w:val="24"/>
        </w:rPr>
        <w:t xml:space="preserve"> respecto del uso e implementaci</w:t>
      </w:r>
      <w:r w:rsidR="00AC6994">
        <w:rPr>
          <w:rFonts w:ascii="Trebuchet MS" w:hAnsi="Trebuchet MS" w:cs="Times New Roman"/>
          <w:sz w:val="24"/>
          <w:szCs w:val="24"/>
        </w:rPr>
        <w:t>ón del proyecto RECREA</w:t>
      </w:r>
      <w:r w:rsidR="00BC6169" w:rsidRPr="0032799E">
        <w:rPr>
          <w:rFonts w:ascii="Trebuchet MS" w:hAnsi="Trebuchet MS" w:cs="Times New Roman"/>
          <w:sz w:val="24"/>
          <w:szCs w:val="24"/>
        </w:rPr>
        <w:t xml:space="preserve"> escuela para la vida</w:t>
      </w:r>
      <w:r w:rsidR="0032799E" w:rsidRPr="0032799E">
        <w:rPr>
          <w:rFonts w:ascii="Trebuchet MS" w:hAnsi="Trebuchet MS" w:cs="Times New Roman"/>
          <w:sz w:val="24"/>
          <w:szCs w:val="24"/>
        </w:rPr>
        <w:t>; y el día 27 de octubre se llevará a cabo capacitación presencial con personal de la Dirección de educando para la vida, en las instalaciones de la SEJ empleando los materiales didácticos que conforman este proyecto.</w:t>
      </w:r>
    </w:p>
    <w:p w:rsidR="00176C64" w:rsidRPr="0032799E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B90DC3" w:rsidRDefault="0032799E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También se informa que se están realizando videos de capacitación para el personal docente y tallerista de la SEJ. 5 videos que corresponden a cada uno de los valores manejados en el proyecto y dos videos con información del IEPC; esta dirección se encuentra revisando los guiones finales de los videos para comenzar su grabación en la última semana de octubre. </w:t>
      </w:r>
    </w:p>
    <w:p w:rsidR="00176C64" w:rsidRPr="0032799E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2799E" w:rsidRDefault="0032799E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Finalmente se informa respecto a este proyecto que también nos encontramos trabajando con una empresa encargada de diseñar las versiones electrónicas de 5 juegos didácticos que forman parte de este proyecto. Estas aplicaciones serán entregadas a la SEJ y también podrán ser visualizadas y jugadas a través de la página del IEPC Jalisco. Los juegos didácticos de los que se diseñarán versiones electrónicas son: Memorama “honor y trampas en el deporte”, Lotería del agradecimiento, </w:t>
      </w:r>
      <w:r w:rsidR="00AC6994">
        <w:rPr>
          <w:rFonts w:ascii="Trebuchet MS" w:hAnsi="Trebuchet MS" w:cs="Times New Roman"/>
          <w:sz w:val="24"/>
          <w:szCs w:val="24"/>
        </w:rPr>
        <w:t>juego de mesa “</w:t>
      </w:r>
      <w:r w:rsidRPr="0032799E">
        <w:rPr>
          <w:rFonts w:ascii="Trebuchet MS" w:hAnsi="Trebuchet MS" w:cs="Times New Roman"/>
          <w:sz w:val="24"/>
          <w:szCs w:val="24"/>
        </w:rPr>
        <w:t>la línea de la vida</w:t>
      </w:r>
      <w:r w:rsidR="00AC6994">
        <w:rPr>
          <w:rFonts w:ascii="Trebuchet MS" w:hAnsi="Trebuchet MS" w:cs="Times New Roman"/>
          <w:sz w:val="24"/>
          <w:szCs w:val="24"/>
        </w:rPr>
        <w:t>”</w:t>
      </w:r>
      <w:r w:rsidRPr="0032799E">
        <w:rPr>
          <w:rFonts w:ascii="Trebuchet MS" w:hAnsi="Trebuchet MS" w:cs="Times New Roman"/>
          <w:sz w:val="24"/>
          <w:szCs w:val="24"/>
        </w:rPr>
        <w:t>, rompecabezas de Jalisco y</w:t>
      </w:r>
      <w:r w:rsidR="00AC6994">
        <w:rPr>
          <w:rFonts w:ascii="Trebuchet MS" w:hAnsi="Trebuchet MS" w:cs="Times New Roman"/>
          <w:sz w:val="24"/>
          <w:szCs w:val="24"/>
        </w:rPr>
        <w:t xml:space="preserve"> juego de mesa</w:t>
      </w:r>
      <w:r w:rsidRPr="0032799E">
        <w:rPr>
          <w:rFonts w:ascii="Trebuchet MS" w:hAnsi="Trebuchet MS" w:cs="Times New Roman"/>
          <w:sz w:val="24"/>
          <w:szCs w:val="24"/>
        </w:rPr>
        <w:t xml:space="preserve"> </w:t>
      </w:r>
      <w:r w:rsidR="00AC6994">
        <w:rPr>
          <w:rFonts w:ascii="Trebuchet MS" w:hAnsi="Trebuchet MS" w:cs="Times New Roman"/>
          <w:sz w:val="24"/>
          <w:szCs w:val="24"/>
        </w:rPr>
        <w:t>“</w:t>
      </w:r>
      <w:r w:rsidRPr="0032799E">
        <w:rPr>
          <w:rFonts w:ascii="Trebuchet MS" w:hAnsi="Trebuchet MS" w:cs="Times New Roman"/>
          <w:sz w:val="24"/>
          <w:szCs w:val="24"/>
        </w:rPr>
        <w:t>serpientes y escaleras</w:t>
      </w:r>
      <w:r w:rsidR="00AC6994">
        <w:rPr>
          <w:rFonts w:ascii="Trebuchet MS" w:hAnsi="Trebuchet MS" w:cs="Times New Roman"/>
          <w:sz w:val="24"/>
          <w:szCs w:val="24"/>
        </w:rPr>
        <w:t>”</w:t>
      </w:r>
      <w:r w:rsidRPr="0032799E">
        <w:rPr>
          <w:rFonts w:ascii="Trebuchet MS" w:hAnsi="Trebuchet MS" w:cs="Times New Roman"/>
          <w:sz w:val="24"/>
          <w:szCs w:val="24"/>
        </w:rPr>
        <w:t>.</w:t>
      </w:r>
    </w:p>
    <w:p w:rsidR="00176C64" w:rsidRPr="0032799E" w:rsidRDefault="00176C64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1551B8" w:rsidRDefault="0072523B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b/>
          <w:sz w:val="24"/>
          <w:szCs w:val="24"/>
        </w:rPr>
      </w:pPr>
      <w:r w:rsidRPr="00176C64">
        <w:rPr>
          <w:rFonts w:ascii="Trebuchet MS" w:hAnsi="Trebuchet MS" w:cs="Times New Roman"/>
          <w:b/>
          <w:sz w:val="24"/>
          <w:szCs w:val="24"/>
          <w:lang w:val="es-ES"/>
        </w:rPr>
        <w:t xml:space="preserve">3.- </w:t>
      </w:r>
      <w:r w:rsidR="001551B8">
        <w:rPr>
          <w:rFonts w:ascii="Trebuchet MS" w:eastAsia="Calibri" w:hAnsi="Trebuchet MS" w:cs="Times New Roman"/>
          <w:b/>
          <w:sz w:val="24"/>
          <w:szCs w:val="24"/>
        </w:rPr>
        <w:t>10°</w:t>
      </w:r>
      <w:r w:rsidRPr="00176C64">
        <w:rPr>
          <w:rFonts w:ascii="Trebuchet MS" w:eastAsia="Calibri" w:hAnsi="Trebuchet MS" w:cs="Times New Roman"/>
          <w:b/>
          <w:sz w:val="24"/>
          <w:szCs w:val="24"/>
        </w:rPr>
        <w:t xml:space="preserve"> CICLO DE CINE Y POLÍTICA “HISTORIAS QUE CUENTAN”</w:t>
      </w:r>
      <w:r w:rsidR="001551B8">
        <w:rPr>
          <w:rFonts w:ascii="Trebuchet MS" w:eastAsia="Calibri" w:hAnsi="Trebuchet MS" w:cs="Times New Roman"/>
          <w:b/>
          <w:sz w:val="24"/>
          <w:szCs w:val="24"/>
        </w:rPr>
        <w:t>.</w:t>
      </w:r>
    </w:p>
    <w:p w:rsidR="00176C64" w:rsidRDefault="0032799E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32799E">
        <w:rPr>
          <w:rFonts w:ascii="Trebuchet MS" w:eastAsia="Calibri" w:hAnsi="Trebuchet MS" w:cs="Times New Roman"/>
          <w:sz w:val="24"/>
          <w:szCs w:val="24"/>
        </w:rPr>
        <w:t>La edición del ciclo de cine de este año se llevó a cabo los días 29 y 30 d</w:t>
      </w:r>
      <w:r w:rsidR="001551B8">
        <w:rPr>
          <w:rFonts w:ascii="Trebuchet MS" w:eastAsia="Calibri" w:hAnsi="Trebuchet MS" w:cs="Times New Roman"/>
          <w:sz w:val="24"/>
          <w:szCs w:val="24"/>
        </w:rPr>
        <w:t>e septiembre y 1 y 2 de octubre, en el cierre del Demofest</w:t>
      </w:r>
      <w:r w:rsidR="00447308">
        <w:rPr>
          <w:rFonts w:ascii="Trebuchet MS" w:eastAsia="Calibri" w:hAnsi="Trebuchet MS" w:cs="Times New Roman"/>
          <w:sz w:val="24"/>
          <w:szCs w:val="24"/>
        </w:rPr>
        <w:t>, asistieron un total de</w:t>
      </w:r>
      <w:r w:rsidR="00447308" w:rsidRPr="00051C98">
        <w:rPr>
          <w:rFonts w:ascii="Trebuchet MS" w:eastAsia="Calibri" w:hAnsi="Trebuchet MS" w:cs="Times New Roman"/>
          <w:b/>
          <w:sz w:val="24"/>
          <w:szCs w:val="24"/>
        </w:rPr>
        <w:t xml:space="preserve"> 567</w:t>
      </w:r>
      <w:r w:rsidR="00447308">
        <w:rPr>
          <w:rFonts w:ascii="Trebuchet MS" w:eastAsia="Calibri" w:hAnsi="Trebuchet MS" w:cs="Times New Roman"/>
          <w:sz w:val="24"/>
          <w:szCs w:val="24"/>
        </w:rPr>
        <w:t xml:space="preserve"> personas al ciclo de cine con 6 funciones durante 4 días, con proyecciones híbridas en espacios formales de salas de cine y proyecciones al aire libre. </w:t>
      </w:r>
      <w:r w:rsidR="001551B8">
        <w:rPr>
          <w:rFonts w:ascii="Trebuchet MS" w:eastAsia="Calibri" w:hAnsi="Trebuchet MS" w:cs="Times New Roman"/>
          <w:sz w:val="24"/>
          <w:szCs w:val="24"/>
        </w:rPr>
        <w:t>A continuación se detalla las actividades y asistentes al ciclo de cine:</w:t>
      </w:r>
    </w:p>
    <w:p w:rsidR="001551B8" w:rsidRDefault="001551B8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63"/>
        <w:gridCol w:w="1506"/>
        <w:gridCol w:w="3544"/>
      </w:tblGrid>
      <w:tr w:rsidR="00051C98" w:rsidRPr="006B564F" w:rsidTr="00051C98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3626ED">
            <w:pPr>
              <w:pStyle w:val="Sinespaciado"/>
              <w:spacing w:line="276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6B564F">
              <w:rPr>
                <w:rFonts w:eastAsia="Calibri"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3626ED">
            <w:pPr>
              <w:pStyle w:val="Sinespaciado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64F">
              <w:rPr>
                <w:rFonts w:eastAsia="Calibri" w:cstheme="minorHAnsi"/>
                <w:b/>
                <w:sz w:val="20"/>
                <w:szCs w:val="20"/>
              </w:rPr>
              <w:t>ESPACIO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3626ED">
            <w:pPr>
              <w:pStyle w:val="Sinespaciado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64F">
              <w:rPr>
                <w:rFonts w:eastAsia="Calibri" w:cstheme="minorHAnsi"/>
                <w:b/>
                <w:sz w:val="20"/>
                <w:szCs w:val="20"/>
              </w:rPr>
              <w:t>ASISTENTES</w:t>
            </w:r>
          </w:p>
        </w:tc>
        <w:tc>
          <w:tcPr>
            <w:tcW w:w="3544" w:type="dxa"/>
            <w:vAlign w:val="center"/>
          </w:tcPr>
          <w:p w:rsidR="00051C98" w:rsidRPr="006B564F" w:rsidRDefault="00051C98" w:rsidP="003626ED">
            <w:pPr>
              <w:pStyle w:val="Sinespaciado"/>
              <w:spacing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B564F">
              <w:rPr>
                <w:rFonts w:eastAsia="Calibri" w:cstheme="minorHAnsi"/>
                <w:b/>
                <w:sz w:val="20"/>
                <w:szCs w:val="20"/>
              </w:rPr>
              <w:t>OBSERVACIONES</w:t>
            </w:r>
          </w:p>
        </w:tc>
      </w:tr>
      <w:tr w:rsidR="00051C98" w:rsidRPr="006B564F" w:rsidTr="00A977DC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29/09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Cineteca UDG.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55</w:t>
            </w:r>
          </w:p>
        </w:tc>
        <w:tc>
          <w:tcPr>
            <w:tcW w:w="3544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Inauguración a la que acudieron personal de la Secretaria de Cultura del estado de Jalisco, la Presidenta del Instituto y el Consejero presidente de esta Comisión.</w:t>
            </w:r>
          </w:p>
        </w:tc>
      </w:tr>
      <w:tr w:rsidR="00051C98" w:rsidRPr="006B564F" w:rsidTr="00A977DC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30/09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Cineforo del centro cultural el Refugio.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3544" w:type="dxa"/>
            <w:vAlign w:val="center"/>
          </w:tcPr>
          <w:p w:rsidR="00051C98" w:rsidRPr="006B564F" w:rsidRDefault="00A5139E" w:rsidP="00A5139E">
            <w:pPr>
              <w:pStyle w:val="Sinespaciado"/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Asistió la Consejera Claudia</w:t>
            </w:r>
            <w:r w:rsidR="005C50EA" w:rsidRPr="006B564F">
              <w:rPr>
                <w:rFonts w:eastAsia="Calibri" w:cstheme="minorHAnsi"/>
                <w:sz w:val="20"/>
                <w:szCs w:val="20"/>
              </w:rPr>
              <w:t xml:space="preserve"> Alejandra</w:t>
            </w:r>
            <w:r w:rsidRPr="006B564F">
              <w:rPr>
                <w:rFonts w:eastAsia="Calibri" w:cstheme="minorHAnsi"/>
                <w:sz w:val="20"/>
                <w:szCs w:val="20"/>
              </w:rPr>
              <w:t xml:space="preserve"> Vargas</w:t>
            </w:r>
            <w:r w:rsidR="005C50EA" w:rsidRPr="006B564F">
              <w:rPr>
                <w:rFonts w:eastAsia="Calibri" w:cstheme="minorHAnsi"/>
                <w:sz w:val="20"/>
                <w:szCs w:val="20"/>
              </w:rPr>
              <w:t xml:space="preserve"> Bautista</w:t>
            </w:r>
            <w:r w:rsidRPr="006B564F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051C98" w:rsidRPr="006B564F" w:rsidTr="00A977DC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1/10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Centro Cultural Nuevo México.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260</w:t>
            </w:r>
          </w:p>
        </w:tc>
        <w:tc>
          <w:tcPr>
            <w:tcW w:w="3544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51C98" w:rsidRPr="006B564F" w:rsidTr="00A977DC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1/10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Parque central La Calma.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70</w:t>
            </w:r>
          </w:p>
        </w:tc>
        <w:tc>
          <w:tcPr>
            <w:tcW w:w="3544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51C98" w:rsidRPr="006B564F" w:rsidTr="00A977DC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2/10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Las Ramblas.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67</w:t>
            </w:r>
          </w:p>
        </w:tc>
        <w:tc>
          <w:tcPr>
            <w:tcW w:w="3544" w:type="dxa"/>
            <w:vAlign w:val="center"/>
          </w:tcPr>
          <w:p w:rsidR="00051C98" w:rsidRPr="006B564F" w:rsidRDefault="00A5139E" w:rsidP="00A5139E">
            <w:pPr>
              <w:pStyle w:val="Sinespaciado"/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Asistió el Consejero Moisés Pérez Vega.</w:t>
            </w:r>
          </w:p>
        </w:tc>
      </w:tr>
      <w:tr w:rsidR="00051C98" w:rsidRPr="006B564F" w:rsidTr="00A977DC">
        <w:trPr>
          <w:jc w:val="center"/>
        </w:trPr>
        <w:tc>
          <w:tcPr>
            <w:tcW w:w="84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2/10</w:t>
            </w:r>
          </w:p>
        </w:tc>
        <w:tc>
          <w:tcPr>
            <w:tcW w:w="2463" w:type="dxa"/>
            <w:vAlign w:val="center"/>
          </w:tcPr>
          <w:p w:rsidR="00051C98" w:rsidRPr="006B564F" w:rsidRDefault="00051C98" w:rsidP="00A5139E">
            <w:pPr>
              <w:pStyle w:val="Sinespaciado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Plaza central Cajititlán</w:t>
            </w:r>
          </w:p>
        </w:tc>
        <w:tc>
          <w:tcPr>
            <w:tcW w:w="1506" w:type="dxa"/>
            <w:vAlign w:val="center"/>
          </w:tcPr>
          <w:p w:rsidR="00051C98" w:rsidRPr="006B564F" w:rsidRDefault="00051C98" w:rsidP="00A977DC">
            <w:pPr>
              <w:pStyle w:val="Sinespaciado"/>
              <w:spacing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B564F">
              <w:rPr>
                <w:rFonts w:eastAsia="Calibri" w:cstheme="minorHAnsi"/>
                <w:sz w:val="20"/>
                <w:szCs w:val="20"/>
              </w:rPr>
              <w:t>85</w:t>
            </w:r>
          </w:p>
        </w:tc>
        <w:tc>
          <w:tcPr>
            <w:tcW w:w="3544" w:type="dxa"/>
          </w:tcPr>
          <w:p w:rsidR="00051C98" w:rsidRPr="006B564F" w:rsidRDefault="00051C98" w:rsidP="0032799E">
            <w:pPr>
              <w:pStyle w:val="Sinespaciado"/>
              <w:spacing w:line="276" w:lineRule="auto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1551B8" w:rsidRPr="006B564F" w:rsidRDefault="001551B8" w:rsidP="0032799E">
      <w:pPr>
        <w:pStyle w:val="Sinespaciado"/>
        <w:spacing w:line="276" w:lineRule="auto"/>
        <w:jc w:val="both"/>
        <w:rPr>
          <w:rFonts w:eastAsia="Calibri" w:cstheme="minorHAnsi"/>
          <w:sz w:val="24"/>
          <w:szCs w:val="24"/>
        </w:rPr>
      </w:pPr>
    </w:p>
    <w:p w:rsidR="00CE61DE" w:rsidRPr="006B564F" w:rsidRDefault="00CE61DE" w:rsidP="00CE61DE">
      <w:pPr>
        <w:jc w:val="both"/>
        <w:rPr>
          <w:rFonts w:cstheme="minorHAnsi"/>
          <w:b/>
          <w:sz w:val="20"/>
          <w:szCs w:val="20"/>
        </w:rPr>
      </w:pPr>
      <w:r w:rsidRPr="006B564F">
        <w:rPr>
          <w:rFonts w:cstheme="minorHAnsi"/>
          <w:b/>
          <w:sz w:val="20"/>
          <w:szCs w:val="20"/>
        </w:rPr>
        <w:t>Numeralia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717"/>
        <w:gridCol w:w="717"/>
        <w:gridCol w:w="622"/>
        <w:gridCol w:w="717"/>
        <w:gridCol w:w="717"/>
        <w:gridCol w:w="717"/>
        <w:gridCol w:w="622"/>
        <w:gridCol w:w="622"/>
        <w:gridCol w:w="1120"/>
        <w:gridCol w:w="764"/>
      </w:tblGrid>
      <w:tr w:rsidR="00CE61DE" w:rsidRPr="006B564F" w:rsidTr="00CE61DE">
        <w:trPr>
          <w:jc w:val="center"/>
        </w:trPr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AÑO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236" w:type="dxa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608" w:type="dxa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2022</w:t>
            </w:r>
          </w:p>
        </w:tc>
      </w:tr>
      <w:tr w:rsidR="00CE61DE" w:rsidRPr="006B564F" w:rsidTr="00CE61DE">
        <w:trPr>
          <w:jc w:val="center"/>
        </w:trPr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B564F">
              <w:rPr>
                <w:rFonts w:cstheme="minorHAnsi"/>
                <w:b/>
                <w:sz w:val="20"/>
                <w:szCs w:val="20"/>
              </w:rPr>
              <w:t>ASISTENTES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1,475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1,879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998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2,212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1,908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2,196</w:t>
            </w:r>
          </w:p>
        </w:tc>
        <w:tc>
          <w:tcPr>
            <w:tcW w:w="0" w:type="auto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515</w:t>
            </w:r>
          </w:p>
        </w:tc>
        <w:tc>
          <w:tcPr>
            <w:tcW w:w="236" w:type="dxa"/>
            <w:vAlign w:val="center"/>
          </w:tcPr>
          <w:p w:rsidR="00CE61DE" w:rsidRPr="006B564F" w:rsidRDefault="00CE61DE" w:rsidP="00CE61DE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459</w:t>
            </w:r>
          </w:p>
        </w:tc>
        <w:tc>
          <w:tcPr>
            <w:tcW w:w="608" w:type="dxa"/>
            <w:vAlign w:val="center"/>
          </w:tcPr>
          <w:p w:rsidR="00CE61DE" w:rsidRPr="006B564F" w:rsidRDefault="00CE61DE" w:rsidP="00C21807">
            <w:pPr>
              <w:jc w:val="center"/>
              <w:rPr>
                <w:rFonts w:cstheme="minorHAnsi"/>
              </w:rPr>
            </w:pPr>
            <w:r w:rsidRPr="006B564F">
              <w:rPr>
                <w:rFonts w:cstheme="minorHAnsi"/>
              </w:rPr>
              <w:t>cancelado</w:t>
            </w:r>
          </w:p>
        </w:tc>
        <w:tc>
          <w:tcPr>
            <w:tcW w:w="0" w:type="auto"/>
          </w:tcPr>
          <w:p w:rsidR="00CE61DE" w:rsidRPr="006B564F" w:rsidRDefault="00CE61DE" w:rsidP="00C21807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6B564F">
              <w:rPr>
                <w:rFonts w:cstheme="minorHAnsi"/>
                <w:b/>
                <w:sz w:val="36"/>
                <w:szCs w:val="36"/>
              </w:rPr>
              <w:t>567</w:t>
            </w:r>
          </w:p>
        </w:tc>
      </w:tr>
    </w:tbl>
    <w:p w:rsidR="00CE61DE" w:rsidRDefault="00CE61DE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1551B8" w:rsidRPr="0032799E" w:rsidRDefault="001551B8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A1267A" w:rsidRPr="00176C64" w:rsidRDefault="005D0052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176C64">
        <w:rPr>
          <w:rFonts w:ascii="Trebuchet MS" w:eastAsia="Calibri" w:hAnsi="Trebuchet MS" w:cs="Times New Roman"/>
          <w:b/>
          <w:sz w:val="24"/>
          <w:szCs w:val="24"/>
        </w:rPr>
        <w:t>4</w:t>
      </w:r>
      <w:r w:rsidR="001307B5" w:rsidRPr="00176C64">
        <w:rPr>
          <w:rFonts w:ascii="Trebuchet MS" w:eastAsia="Calibri" w:hAnsi="Trebuchet MS" w:cs="Times New Roman"/>
          <w:b/>
          <w:sz w:val="24"/>
          <w:szCs w:val="24"/>
        </w:rPr>
        <w:t>.- FESTIVAL INFANTIL Y JUVENIL PAPIROLAS.</w:t>
      </w:r>
    </w:p>
    <w:p w:rsidR="00C9631A" w:rsidRDefault="00B90DC3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Del </w:t>
      </w:r>
      <w:r w:rsidR="00C9631A" w:rsidRPr="0032799E">
        <w:rPr>
          <w:rFonts w:ascii="Trebuchet MS" w:hAnsi="Trebuchet MS" w:cs="Times New Roman"/>
          <w:sz w:val="24"/>
          <w:szCs w:val="24"/>
        </w:rPr>
        <w:t>05 al 09 de o</w:t>
      </w:r>
      <w:r w:rsidR="004775FF" w:rsidRPr="0032799E">
        <w:rPr>
          <w:rFonts w:ascii="Trebuchet MS" w:hAnsi="Trebuchet MS" w:cs="Times New Roman"/>
          <w:sz w:val="24"/>
          <w:szCs w:val="24"/>
        </w:rPr>
        <w:t>ctubre</w:t>
      </w:r>
      <w:r w:rsidR="00E36BA8">
        <w:rPr>
          <w:rFonts w:ascii="Trebuchet MS" w:hAnsi="Trebuchet MS" w:cs="Times New Roman"/>
          <w:sz w:val="24"/>
          <w:szCs w:val="24"/>
        </w:rPr>
        <w:t xml:space="preserve"> se llevó a cabo el festival papirolas 2022 con el tema “el libro”</w:t>
      </w:r>
      <w:r w:rsidR="005C50EA">
        <w:rPr>
          <w:rFonts w:ascii="Trebuchet MS" w:hAnsi="Trebuchet MS" w:cs="Times New Roman"/>
          <w:sz w:val="24"/>
          <w:szCs w:val="24"/>
        </w:rPr>
        <w:t>;</w:t>
      </w:r>
      <w:r w:rsidR="00E36BA8">
        <w:rPr>
          <w:rFonts w:ascii="Trebuchet MS" w:hAnsi="Trebuchet MS" w:cs="Times New Roman"/>
          <w:sz w:val="24"/>
          <w:szCs w:val="24"/>
        </w:rPr>
        <w:t xml:space="preserve"> en este marco, la Dirección Ejecutiva diseñó actividades empleando una de las novedades editoriales (el cuento de Alandia) y otro libro de la colección</w:t>
      </w:r>
      <w:r w:rsidR="00447308">
        <w:rPr>
          <w:rFonts w:ascii="Trebuchet MS" w:hAnsi="Trebuchet MS" w:cs="Times New Roman"/>
          <w:sz w:val="24"/>
          <w:szCs w:val="24"/>
        </w:rPr>
        <w:t xml:space="preserve"> </w:t>
      </w:r>
      <w:r w:rsidR="00A977DC">
        <w:rPr>
          <w:rFonts w:ascii="Trebuchet MS" w:hAnsi="Trebuchet MS" w:cs="Times New Roman"/>
          <w:sz w:val="24"/>
          <w:szCs w:val="24"/>
        </w:rPr>
        <w:t>futuros</w:t>
      </w:r>
      <w:r w:rsidR="00447308">
        <w:rPr>
          <w:rFonts w:ascii="Trebuchet MS" w:hAnsi="Trebuchet MS" w:cs="Times New Roman"/>
          <w:sz w:val="24"/>
          <w:szCs w:val="24"/>
        </w:rPr>
        <w:t xml:space="preserve"> electores (todos contra el odio)</w:t>
      </w:r>
      <w:r w:rsidR="005C50EA">
        <w:rPr>
          <w:rFonts w:ascii="Trebuchet MS" w:hAnsi="Trebuchet MS" w:cs="Times New Roman"/>
          <w:sz w:val="24"/>
          <w:szCs w:val="24"/>
        </w:rPr>
        <w:t>,</w:t>
      </w:r>
      <w:r w:rsidR="00447308">
        <w:rPr>
          <w:rFonts w:ascii="Trebuchet MS" w:hAnsi="Trebuchet MS" w:cs="Times New Roman"/>
          <w:sz w:val="24"/>
          <w:szCs w:val="24"/>
        </w:rPr>
        <w:t xml:space="preserve"> de esta forma el stand se diseñó con la finalidad de cubrir actividades tanto para niñas y niños, como para jóvenes; de igual forma </w:t>
      </w:r>
      <w:r w:rsidR="00447308">
        <w:rPr>
          <w:rFonts w:ascii="Trebuchet MS" w:hAnsi="Trebuchet MS" w:cs="Times New Roman"/>
          <w:sz w:val="24"/>
          <w:szCs w:val="24"/>
        </w:rPr>
        <w:lastRenderedPageBreak/>
        <w:t xml:space="preserve">se </w:t>
      </w:r>
      <w:r w:rsidR="00A977DC">
        <w:rPr>
          <w:rFonts w:ascii="Trebuchet MS" w:hAnsi="Trebuchet MS" w:cs="Times New Roman"/>
          <w:sz w:val="24"/>
          <w:szCs w:val="24"/>
        </w:rPr>
        <w:t>empleó una urna electrónica para aplicar una pequeña encuesta a los asistentes al stand. El día 05 de octubre se contó con la presencia de todas las y los Consejeros de este Instituto, así como con la presencia de Roberto Heycher Cardiel Soto, Director Ejecutivo de Capacitación y Educación Cívica del INE, quien en compañía de los autores real</w:t>
      </w:r>
      <w:r w:rsidR="005C50EA">
        <w:rPr>
          <w:rFonts w:ascii="Trebuchet MS" w:hAnsi="Trebuchet MS" w:cs="Times New Roman"/>
          <w:sz w:val="24"/>
          <w:szCs w:val="24"/>
        </w:rPr>
        <w:t>izó la presentación del libro</w:t>
      </w:r>
      <w:r w:rsidR="00A977DC">
        <w:rPr>
          <w:rFonts w:ascii="Trebuchet MS" w:hAnsi="Trebuchet MS" w:cs="Times New Roman"/>
          <w:sz w:val="24"/>
          <w:szCs w:val="24"/>
        </w:rPr>
        <w:t xml:space="preserve"> “Alandia”</w:t>
      </w:r>
      <w:r w:rsidR="005C50EA">
        <w:rPr>
          <w:rFonts w:ascii="Trebuchet MS" w:hAnsi="Trebuchet MS" w:cs="Times New Roman"/>
          <w:sz w:val="24"/>
          <w:szCs w:val="24"/>
        </w:rPr>
        <w:t xml:space="preserve"> como </w:t>
      </w:r>
      <w:r w:rsidR="00A977DC">
        <w:rPr>
          <w:rFonts w:ascii="Trebuchet MS" w:hAnsi="Trebuchet MS" w:cs="Times New Roman"/>
          <w:sz w:val="24"/>
          <w:szCs w:val="24"/>
        </w:rPr>
        <w:t>parte de las actividades inaugurales del stand. En este año se recibieron</w:t>
      </w:r>
      <w:r w:rsidR="004775FF" w:rsidRPr="0032799E">
        <w:rPr>
          <w:rFonts w:ascii="Trebuchet MS" w:hAnsi="Trebuchet MS" w:cs="Times New Roman"/>
          <w:sz w:val="24"/>
          <w:szCs w:val="24"/>
        </w:rPr>
        <w:t xml:space="preserve"> </w:t>
      </w:r>
      <w:r w:rsidR="00B621D4" w:rsidRPr="0032799E">
        <w:rPr>
          <w:rFonts w:ascii="Trebuchet MS" w:hAnsi="Trebuchet MS" w:cs="Times New Roman"/>
          <w:sz w:val="24"/>
          <w:szCs w:val="24"/>
        </w:rPr>
        <w:t xml:space="preserve">2413 </w:t>
      </w:r>
      <w:r w:rsidR="00A977DC">
        <w:rPr>
          <w:rFonts w:ascii="Trebuchet MS" w:hAnsi="Trebuchet MS" w:cs="Times New Roman"/>
          <w:sz w:val="24"/>
          <w:szCs w:val="24"/>
        </w:rPr>
        <w:t>personas entre niñas, niños, jóvenes y adultos en stand del IEPC Jalisco.</w:t>
      </w:r>
    </w:p>
    <w:p w:rsidR="00176C64" w:rsidRDefault="00176C64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6B564F" w:rsidRPr="006B564F" w:rsidRDefault="006B564F" w:rsidP="006B564F">
      <w:pPr>
        <w:jc w:val="both"/>
        <w:rPr>
          <w:rFonts w:cstheme="minorHAnsi"/>
          <w:b/>
          <w:sz w:val="20"/>
          <w:szCs w:val="20"/>
        </w:rPr>
      </w:pPr>
      <w:r w:rsidRPr="006B564F">
        <w:rPr>
          <w:rFonts w:cstheme="minorHAnsi"/>
          <w:b/>
          <w:sz w:val="20"/>
          <w:szCs w:val="20"/>
        </w:rPr>
        <w:t>Numeralia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200"/>
        <w:gridCol w:w="729"/>
        <w:gridCol w:w="694"/>
        <w:gridCol w:w="729"/>
        <w:gridCol w:w="722"/>
        <w:gridCol w:w="722"/>
        <w:gridCol w:w="673"/>
        <w:gridCol w:w="666"/>
        <w:gridCol w:w="1495"/>
        <w:gridCol w:w="708"/>
        <w:gridCol w:w="871"/>
      </w:tblGrid>
      <w:tr w:rsidR="005123D6" w:rsidTr="005123D6">
        <w:tc>
          <w:tcPr>
            <w:tcW w:w="1200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AÑO</w:t>
            </w:r>
          </w:p>
        </w:tc>
        <w:tc>
          <w:tcPr>
            <w:tcW w:w="729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2013</w:t>
            </w:r>
          </w:p>
        </w:tc>
        <w:tc>
          <w:tcPr>
            <w:tcW w:w="694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729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722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722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673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666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1495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  <w:tc>
          <w:tcPr>
            <w:tcW w:w="871" w:type="dxa"/>
          </w:tcPr>
          <w:p w:rsidR="005123D6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2022</w:t>
            </w:r>
          </w:p>
        </w:tc>
      </w:tr>
      <w:tr w:rsidR="005123D6" w:rsidTr="005123D6">
        <w:tc>
          <w:tcPr>
            <w:tcW w:w="1200" w:type="dxa"/>
            <w:vAlign w:val="center"/>
          </w:tcPr>
          <w:p w:rsidR="005123D6" w:rsidRPr="00963461" w:rsidRDefault="005123D6" w:rsidP="00C2180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3461">
              <w:rPr>
                <w:rFonts w:cstheme="minorHAnsi"/>
                <w:b/>
                <w:sz w:val="20"/>
                <w:szCs w:val="20"/>
              </w:rPr>
              <w:t>ASISTENTES</w:t>
            </w:r>
          </w:p>
        </w:tc>
        <w:tc>
          <w:tcPr>
            <w:tcW w:w="729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1,011</w:t>
            </w:r>
          </w:p>
        </w:tc>
        <w:tc>
          <w:tcPr>
            <w:tcW w:w="694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750</w:t>
            </w:r>
          </w:p>
        </w:tc>
        <w:tc>
          <w:tcPr>
            <w:tcW w:w="729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1,890</w:t>
            </w:r>
          </w:p>
        </w:tc>
        <w:tc>
          <w:tcPr>
            <w:tcW w:w="722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1,823</w:t>
            </w:r>
          </w:p>
        </w:tc>
        <w:tc>
          <w:tcPr>
            <w:tcW w:w="722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1,723</w:t>
            </w:r>
          </w:p>
        </w:tc>
        <w:tc>
          <w:tcPr>
            <w:tcW w:w="673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1,510</w:t>
            </w:r>
          </w:p>
        </w:tc>
        <w:tc>
          <w:tcPr>
            <w:tcW w:w="666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752</w:t>
            </w:r>
          </w:p>
        </w:tc>
        <w:tc>
          <w:tcPr>
            <w:tcW w:w="1495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Cancelamos la participación por ser en formato virtual.</w:t>
            </w:r>
          </w:p>
        </w:tc>
        <w:tc>
          <w:tcPr>
            <w:tcW w:w="708" w:type="dxa"/>
            <w:vAlign w:val="center"/>
          </w:tcPr>
          <w:p w:rsidR="005123D6" w:rsidRDefault="005123D6" w:rsidP="00C2180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508</w:t>
            </w:r>
          </w:p>
        </w:tc>
        <w:tc>
          <w:tcPr>
            <w:tcW w:w="871" w:type="dxa"/>
            <w:vAlign w:val="center"/>
          </w:tcPr>
          <w:p w:rsidR="005123D6" w:rsidRPr="005123D6" w:rsidRDefault="005123D6" w:rsidP="005123D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123D6">
              <w:rPr>
                <w:rFonts w:cstheme="minorHAnsi"/>
                <w:b/>
                <w:sz w:val="28"/>
                <w:szCs w:val="28"/>
              </w:rPr>
              <w:t>2413</w:t>
            </w:r>
          </w:p>
        </w:tc>
      </w:tr>
    </w:tbl>
    <w:p w:rsidR="006B564F" w:rsidRDefault="006B564F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6B564F" w:rsidRPr="0032799E" w:rsidRDefault="006B564F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72523B" w:rsidRPr="00176C64" w:rsidRDefault="0072523B" w:rsidP="0032799E">
      <w:pPr>
        <w:pStyle w:val="Sinespaciado"/>
        <w:spacing w:line="276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176C64">
        <w:rPr>
          <w:rFonts w:ascii="Trebuchet MS" w:hAnsi="Trebuchet MS" w:cs="Times New Roman"/>
          <w:b/>
          <w:sz w:val="24"/>
          <w:szCs w:val="24"/>
        </w:rPr>
        <w:t>5.- DISEÑO E IMPLEMENTACIÓN DE TALLERES EN MATERIA DE EDUCACIÓN CÍVICA CON JÓVENES UNIVERSITARIOS Y JÓVENES DE BACHILLERATO EMPLEANDO COMO BASE LOS CONTENIDOS EDITORIALES DEL INSTITUTO.</w:t>
      </w:r>
    </w:p>
    <w:p w:rsidR="00DA6664" w:rsidRPr="0032799E" w:rsidRDefault="0072523B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>En avance de esta actividad el día 28 de octubre se presentará a la Dirección Ejecutiva el taller “los jóvenes pueden cambiar las leyes” consistente en tomar el caso de la Ley Olimpia para socializar con las y los jóvenes dos temas: las consecuencias del mal uso de las redes sociales, y el cómo se puede emplear los mecanismos de participación para modificar las leyes. Una vez realizada esta actividad de socialización se concluirá con la revisión del taller para implementarlo el día 4 de noviembre con jóvenes universitarios del TEC de Monterrey.</w:t>
      </w:r>
    </w:p>
    <w:p w:rsidR="00176C64" w:rsidRDefault="00176C64" w:rsidP="0032799E">
      <w:pPr>
        <w:pStyle w:val="Sinespaciado"/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AD506D" w:rsidRPr="00176C64" w:rsidRDefault="0072523B" w:rsidP="0032799E">
      <w:pPr>
        <w:pStyle w:val="Sinespaciado"/>
        <w:spacing w:line="276" w:lineRule="auto"/>
        <w:jc w:val="both"/>
        <w:rPr>
          <w:rFonts w:ascii="Trebuchet MS" w:eastAsia="Century" w:hAnsi="Trebuchet MS" w:cs="Times New Roman"/>
          <w:b/>
          <w:color w:val="000000"/>
          <w:sz w:val="24"/>
          <w:szCs w:val="24"/>
        </w:rPr>
      </w:pPr>
      <w:r w:rsidRPr="00176C64">
        <w:rPr>
          <w:rFonts w:ascii="Trebuchet MS" w:eastAsia="Calibri" w:hAnsi="Trebuchet MS" w:cs="Times New Roman"/>
          <w:b/>
          <w:sz w:val="24"/>
          <w:szCs w:val="24"/>
        </w:rPr>
        <w:t>6</w:t>
      </w:r>
      <w:r w:rsidR="001307B5" w:rsidRPr="00176C64">
        <w:rPr>
          <w:rFonts w:ascii="Trebuchet MS" w:eastAsia="Calibri" w:hAnsi="Trebuchet MS" w:cs="Times New Roman"/>
          <w:b/>
          <w:sz w:val="24"/>
          <w:szCs w:val="24"/>
        </w:rPr>
        <w:t>.- FERIA INTERNACIONAL DEL LIBRO.</w:t>
      </w:r>
    </w:p>
    <w:p w:rsidR="0040343C" w:rsidRPr="0032799E" w:rsidRDefault="001007E6" w:rsidP="0032799E">
      <w:pPr>
        <w:pStyle w:val="Sinespaciado"/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32799E">
        <w:rPr>
          <w:rFonts w:ascii="Trebuchet MS" w:hAnsi="Trebuchet MS" w:cs="Times New Roman"/>
          <w:sz w:val="24"/>
          <w:szCs w:val="24"/>
        </w:rPr>
        <w:t xml:space="preserve">Para esta edición el diseño </w:t>
      </w:r>
      <w:r w:rsidR="00B621D4" w:rsidRPr="0032799E">
        <w:rPr>
          <w:rFonts w:ascii="Trebuchet MS" w:hAnsi="Trebuchet MS" w:cs="Times New Roman"/>
          <w:sz w:val="24"/>
          <w:szCs w:val="24"/>
        </w:rPr>
        <w:t xml:space="preserve">y agenda de actividades </w:t>
      </w:r>
      <w:r w:rsidRPr="0032799E">
        <w:rPr>
          <w:rFonts w:ascii="Trebuchet MS" w:hAnsi="Trebuchet MS" w:cs="Times New Roman"/>
          <w:sz w:val="24"/>
          <w:szCs w:val="24"/>
        </w:rPr>
        <w:t>del stand correrá a car</w:t>
      </w:r>
      <w:r w:rsidR="00B621D4" w:rsidRPr="0032799E">
        <w:rPr>
          <w:rFonts w:ascii="Trebuchet MS" w:hAnsi="Trebuchet MS" w:cs="Times New Roman"/>
          <w:sz w:val="24"/>
          <w:szCs w:val="24"/>
        </w:rPr>
        <w:t xml:space="preserve">go de la Dirección de Editorial, 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quien </w:t>
      </w:r>
      <w:r w:rsidR="009736D2" w:rsidRPr="0032799E">
        <w:rPr>
          <w:rFonts w:ascii="Trebuchet MS" w:hAnsi="Trebuchet MS" w:cs="Times New Roman"/>
          <w:sz w:val="24"/>
          <w:szCs w:val="24"/>
        </w:rPr>
        <w:t>cuenta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 ya </w:t>
      </w:r>
      <w:r w:rsidR="009736D2" w:rsidRPr="0032799E">
        <w:rPr>
          <w:rFonts w:ascii="Trebuchet MS" w:hAnsi="Trebuchet MS" w:cs="Times New Roman"/>
          <w:sz w:val="24"/>
          <w:szCs w:val="24"/>
        </w:rPr>
        <w:t>con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 un </w:t>
      </w:r>
      <w:r w:rsidR="009736D2" w:rsidRPr="0032799E">
        <w:rPr>
          <w:rFonts w:ascii="Trebuchet MS" w:hAnsi="Trebuchet MS" w:cs="Times New Roman"/>
          <w:sz w:val="24"/>
          <w:szCs w:val="24"/>
        </w:rPr>
        <w:t>diseño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 </w:t>
      </w:r>
      <w:r w:rsidR="009736D2" w:rsidRPr="0032799E">
        <w:rPr>
          <w:rFonts w:ascii="Trebuchet MS" w:hAnsi="Trebuchet MS" w:cs="Times New Roman"/>
          <w:sz w:val="24"/>
          <w:szCs w:val="24"/>
        </w:rPr>
        <w:t>preliminar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 y se </w:t>
      </w:r>
      <w:r w:rsidR="009736D2" w:rsidRPr="0032799E">
        <w:rPr>
          <w:rFonts w:ascii="Trebuchet MS" w:hAnsi="Trebuchet MS" w:cs="Times New Roman"/>
          <w:sz w:val="24"/>
          <w:szCs w:val="24"/>
        </w:rPr>
        <w:t>encuentra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 realizando la cotización de la producción del mismo. La idea principal es </w:t>
      </w:r>
      <w:r w:rsidR="009736D2" w:rsidRPr="0032799E">
        <w:rPr>
          <w:rFonts w:ascii="Trebuchet MS" w:hAnsi="Trebuchet MS" w:cs="Times New Roman"/>
          <w:sz w:val="24"/>
          <w:szCs w:val="24"/>
        </w:rPr>
        <w:t>presentar</w:t>
      </w:r>
      <w:r w:rsidR="005D0052" w:rsidRPr="0032799E">
        <w:rPr>
          <w:rFonts w:ascii="Trebuchet MS" w:hAnsi="Trebuchet MS" w:cs="Times New Roman"/>
          <w:sz w:val="24"/>
          <w:szCs w:val="24"/>
        </w:rPr>
        <w:t xml:space="preserve"> el stand de este instituto con referencias al árbitro de la contienda electoral.</w:t>
      </w:r>
    </w:p>
    <w:p w:rsidR="0022305A" w:rsidRDefault="0022305A" w:rsidP="005670C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25586" w:rsidRDefault="00425586" w:rsidP="00425586">
      <w:pPr>
        <w:pStyle w:val="Prrafodelista"/>
        <w:spacing w:line="276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</w:p>
    <w:bookmarkEnd w:id="0"/>
    <w:bookmarkEnd w:id="1"/>
    <w:p w:rsidR="00FB024F" w:rsidRPr="00FB024F" w:rsidRDefault="00FB024F" w:rsidP="00FB024F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  <w:r w:rsidRPr="00FB024F">
        <w:rPr>
          <w:rFonts w:ascii="Trebuchet MS" w:hAnsi="Trebuchet MS"/>
          <w:sz w:val="24"/>
          <w:szCs w:val="24"/>
        </w:rPr>
        <w:t>Atentamente</w:t>
      </w:r>
    </w:p>
    <w:p w:rsidR="00FB024F" w:rsidRPr="00FB024F" w:rsidRDefault="00FB024F" w:rsidP="00FB024F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</w:p>
    <w:p w:rsidR="00FB024F" w:rsidRPr="00FB024F" w:rsidRDefault="00FB024F" w:rsidP="00FB024F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  <w:r w:rsidRPr="00FB024F">
        <w:rPr>
          <w:rFonts w:ascii="Trebuchet MS" w:hAnsi="Trebuchet MS"/>
          <w:sz w:val="24"/>
          <w:szCs w:val="24"/>
        </w:rPr>
        <w:t>Larisa Martínez Flores</w:t>
      </w:r>
    </w:p>
    <w:p w:rsidR="0040343C" w:rsidRPr="00D71279" w:rsidRDefault="00FB024F" w:rsidP="00FB024F">
      <w:pPr>
        <w:spacing w:line="276" w:lineRule="auto"/>
        <w:jc w:val="center"/>
        <w:rPr>
          <w:rFonts w:ascii="Trebuchet MS" w:hAnsi="Trebuchet MS"/>
          <w:sz w:val="24"/>
          <w:szCs w:val="24"/>
        </w:rPr>
      </w:pPr>
      <w:r w:rsidRPr="00FB024F">
        <w:rPr>
          <w:rFonts w:ascii="Trebuchet MS" w:hAnsi="Trebuchet MS"/>
          <w:sz w:val="24"/>
          <w:szCs w:val="24"/>
        </w:rPr>
        <w:t>Directora de Educación Cívica</w:t>
      </w:r>
    </w:p>
    <w:sectPr w:rsidR="0040343C" w:rsidRPr="00D71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30" w:rsidRDefault="00A55230" w:rsidP="004E31D5">
      <w:pPr>
        <w:spacing w:after="0" w:line="240" w:lineRule="auto"/>
      </w:pPr>
      <w:r>
        <w:separator/>
      </w:r>
    </w:p>
  </w:endnote>
  <w:endnote w:type="continuationSeparator" w:id="0">
    <w:p w:rsidR="00A55230" w:rsidRDefault="00A55230" w:rsidP="004E3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30" w:rsidRDefault="00A55230" w:rsidP="004E31D5">
      <w:pPr>
        <w:spacing w:after="0" w:line="240" w:lineRule="auto"/>
      </w:pPr>
      <w:r>
        <w:separator/>
      </w:r>
    </w:p>
  </w:footnote>
  <w:footnote w:type="continuationSeparator" w:id="0">
    <w:p w:rsidR="00A55230" w:rsidRDefault="00A55230" w:rsidP="004E3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4AB"/>
    <w:multiLevelType w:val="hybridMultilevel"/>
    <w:tmpl w:val="E6EA301E"/>
    <w:lvl w:ilvl="0" w:tplc="3C88B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92679"/>
    <w:multiLevelType w:val="hybridMultilevel"/>
    <w:tmpl w:val="A8A66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E5B39"/>
    <w:multiLevelType w:val="hybridMultilevel"/>
    <w:tmpl w:val="14AE9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C1077"/>
    <w:multiLevelType w:val="hybridMultilevel"/>
    <w:tmpl w:val="86D89A10"/>
    <w:lvl w:ilvl="0" w:tplc="FFA87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6F49"/>
    <w:multiLevelType w:val="hybridMultilevel"/>
    <w:tmpl w:val="5B3ECA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06C09"/>
    <w:multiLevelType w:val="hybridMultilevel"/>
    <w:tmpl w:val="A8A66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E0C24"/>
    <w:multiLevelType w:val="hybridMultilevel"/>
    <w:tmpl w:val="7D7A5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15CB6"/>
    <w:multiLevelType w:val="hybridMultilevel"/>
    <w:tmpl w:val="053E9D88"/>
    <w:lvl w:ilvl="0" w:tplc="4A66B7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61100"/>
    <w:multiLevelType w:val="hybridMultilevel"/>
    <w:tmpl w:val="A8A666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0562F"/>
    <w:multiLevelType w:val="hybridMultilevel"/>
    <w:tmpl w:val="30C437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0B04A5"/>
    <w:multiLevelType w:val="hybridMultilevel"/>
    <w:tmpl w:val="D340D5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823FE"/>
    <w:multiLevelType w:val="hybridMultilevel"/>
    <w:tmpl w:val="69E04A4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370A4"/>
    <w:multiLevelType w:val="hybridMultilevel"/>
    <w:tmpl w:val="2E24A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C07B7"/>
    <w:multiLevelType w:val="hybridMultilevel"/>
    <w:tmpl w:val="4E8CE6D4"/>
    <w:lvl w:ilvl="0" w:tplc="59B2853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907A7"/>
    <w:multiLevelType w:val="hybridMultilevel"/>
    <w:tmpl w:val="92204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0402"/>
    <w:rsid w:val="00017A27"/>
    <w:rsid w:val="0002797A"/>
    <w:rsid w:val="00051C98"/>
    <w:rsid w:val="00072E7F"/>
    <w:rsid w:val="00081C86"/>
    <w:rsid w:val="0009060F"/>
    <w:rsid w:val="000B44E4"/>
    <w:rsid w:val="000E3B16"/>
    <w:rsid w:val="000F4E07"/>
    <w:rsid w:val="000F780E"/>
    <w:rsid w:val="001007E6"/>
    <w:rsid w:val="0011172A"/>
    <w:rsid w:val="00115DEC"/>
    <w:rsid w:val="001307B5"/>
    <w:rsid w:val="00136897"/>
    <w:rsid w:val="001551B8"/>
    <w:rsid w:val="001603C5"/>
    <w:rsid w:val="0016144E"/>
    <w:rsid w:val="001660D1"/>
    <w:rsid w:val="00176C64"/>
    <w:rsid w:val="00182DEE"/>
    <w:rsid w:val="001A26B3"/>
    <w:rsid w:val="001A2E97"/>
    <w:rsid w:val="001A4B42"/>
    <w:rsid w:val="001B1D01"/>
    <w:rsid w:val="001E01E9"/>
    <w:rsid w:val="001E1A7B"/>
    <w:rsid w:val="00200FB2"/>
    <w:rsid w:val="002010EF"/>
    <w:rsid w:val="0022305A"/>
    <w:rsid w:val="002243D5"/>
    <w:rsid w:val="00230BBC"/>
    <w:rsid w:val="00236320"/>
    <w:rsid w:val="002564C9"/>
    <w:rsid w:val="002621A9"/>
    <w:rsid w:val="00265E92"/>
    <w:rsid w:val="002A076C"/>
    <w:rsid w:val="002B20BF"/>
    <w:rsid w:val="002D033C"/>
    <w:rsid w:val="002D04EE"/>
    <w:rsid w:val="002D6EA3"/>
    <w:rsid w:val="00306734"/>
    <w:rsid w:val="0032799E"/>
    <w:rsid w:val="00341CFD"/>
    <w:rsid w:val="00352ADF"/>
    <w:rsid w:val="003626ED"/>
    <w:rsid w:val="00370ADA"/>
    <w:rsid w:val="00381FD8"/>
    <w:rsid w:val="003A0B51"/>
    <w:rsid w:val="003A5041"/>
    <w:rsid w:val="003C19C5"/>
    <w:rsid w:val="003D1840"/>
    <w:rsid w:val="003D707B"/>
    <w:rsid w:val="0040343C"/>
    <w:rsid w:val="00420633"/>
    <w:rsid w:val="00425586"/>
    <w:rsid w:val="0044053F"/>
    <w:rsid w:val="00447308"/>
    <w:rsid w:val="004775FF"/>
    <w:rsid w:val="004866CA"/>
    <w:rsid w:val="004873CC"/>
    <w:rsid w:val="00494829"/>
    <w:rsid w:val="004E22DC"/>
    <w:rsid w:val="004E31D5"/>
    <w:rsid w:val="00502282"/>
    <w:rsid w:val="00510F3C"/>
    <w:rsid w:val="005123D6"/>
    <w:rsid w:val="005167C7"/>
    <w:rsid w:val="00560AA9"/>
    <w:rsid w:val="005670C4"/>
    <w:rsid w:val="00595888"/>
    <w:rsid w:val="005A2D3D"/>
    <w:rsid w:val="005B7A8F"/>
    <w:rsid w:val="005C1039"/>
    <w:rsid w:val="005C50EA"/>
    <w:rsid w:val="005D0052"/>
    <w:rsid w:val="005D0F07"/>
    <w:rsid w:val="005D29EC"/>
    <w:rsid w:val="005E10ED"/>
    <w:rsid w:val="005F78DF"/>
    <w:rsid w:val="0063582C"/>
    <w:rsid w:val="006534EF"/>
    <w:rsid w:val="00654080"/>
    <w:rsid w:val="00655752"/>
    <w:rsid w:val="00667BCA"/>
    <w:rsid w:val="006768C8"/>
    <w:rsid w:val="006779B1"/>
    <w:rsid w:val="00691315"/>
    <w:rsid w:val="006A292B"/>
    <w:rsid w:val="006B564F"/>
    <w:rsid w:val="006B7423"/>
    <w:rsid w:val="006C77B1"/>
    <w:rsid w:val="006F2A8B"/>
    <w:rsid w:val="00716526"/>
    <w:rsid w:val="00724CDF"/>
    <w:rsid w:val="0072523B"/>
    <w:rsid w:val="00742D42"/>
    <w:rsid w:val="00744705"/>
    <w:rsid w:val="007751AE"/>
    <w:rsid w:val="00787217"/>
    <w:rsid w:val="007B1C25"/>
    <w:rsid w:val="007B1E27"/>
    <w:rsid w:val="007B43DD"/>
    <w:rsid w:val="007C02D2"/>
    <w:rsid w:val="007D34CE"/>
    <w:rsid w:val="007E5BDD"/>
    <w:rsid w:val="007E7EA0"/>
    <w:rsid w:val="007F4E81"/>
    <w:rsid w:val="00803D49"/>
    <w:rsid w:val="00814768"/>
    <w:rsid w:val="00850D59"/>
    <w:rsid w:val="0085638C"/>
    <w:rsid w:val="008625CF"/>
    <w:rsid w:val="00863010"/>
    <w:rsid w:val="0089379E"/>
    <w:rsid w:val="008B7FA0"/>
    <w:rsid w:val="008D2353"/>
    <w:rsid w:val="008E3B3D"/>
    <w:rsid w:val="00920E6A"/>
    <w:rsid w:val="00931CF5"/>
    <w:rsid w:val="00972043"/>
    <w:rsid w:val="009736D2"/>
    <w:rsid w:val="009A1E2F"/>
    <w:rsid w:val="009B6C86"/>
    <w:rsid w:val="009B6D8E"/>
    <w:rsid w:val="009C46F0"/>
    <w:rsid w:val="009C64E8"/>
    <w:rsid w:val="009C7BD6"/>
    <w:rsid w:val="009D2442"/>
    <w:rsid w:val="009D73F8"/>
    <w:rsid w:val="009E6FAA"/>
    <w:rsid w:val="009F5FC8"/>
    <w:rsid w:val="00A02419"/>
    <w:rsid w:val="00A03F54"/>
    <w:rsid w:val="00A07D59"/>
    <w:rsid w:val="00A1267A"/>
    <w:rsid w:val="00A20B4A"/>
    <w:rsid w:val="00A21ACE"/>
    <w:rsid w:val="00A2351B"/>
    <w:rsid w:val="00A255DB"/>
    <w:rsid w:val="00A5139E"/>
    <w:rsid w:val="00A55230"/>
    <w:rsid w:val="00A73680"/>
    <w:rsid w:val="00A74888"/>
    <w:rsid w:val="00A748D9"/>
    <w:rsid w:val="00A83D9B"/>
    <w:rsid w:val="00A977DC"/>
    <w:rsid w:val="00AB0B54"/>
    <w:rsid w:val="00AC6994"/>
    <w:rsid w:val="00AD506D"/>
    <w:rsid w:val="00AF702D"/>
    <w:rsid w:val="00B006D6"/>
    <w:rsid w:val="00B366A7"/>
    <w:rsid w:val="00B574D1"/>
    <w:rsid w:val="00B621D4"/>
    <w:rsid w:val="00B67C82"/>
    <w:rsid w:val="00B90DC3"/>
    <w:rsid w:val="00BA5DA6"/>
    <w:rsid w:val="00BB70F4"/>
    <w:rsid w:val="00BC6169"/>
    <w:rsid w:val="00BD4995"/>
    <w:rsid w:val="00BF5EA1"/>
    <w:rsid w:val="00C06078"/>
    <w:rsid w:val="00C066CC"/>
    <w:rsid w:val="00C10DF3"/>
    <w:rsid w:val="00C27163"/>
    <w:rsid w:val="00C9631A"/>
    <w:rsid w:val="00C9669C"/>
    <w:rsid w:val="00CA34C1"/>
    <w:rsid w:val="00CA4626"/>
    <w:rsid w:val="00CB438A"/>
    <w:rsid w:val="00CE4E0A"/>
    <w:rsid w:val="00CE5464"/>
    <w:rsid w:val="00CE575D"/>
    <w:rsid w:val="00CE61DE"/>
    <w:rsid w:val="00D12649"/>
    <w:rsid w:val="00D31999"/>
    <w:rsid w:val="00D71279"/>
    <w:rsid w:val="00D71DF1"/>
    <w:rsid w:val="00D860C5"/>
    <w:rsid w:val="00D92728"/>
    <w:rsid w:val="00D93EB4"/>
    <w:rsid w:val="00DA3597"/>
    <w:rsid w:val="00DA3A10"/>
    <w:rsid w:val="00DA6664"/>
    <w:rsid w:val="00DA7C11"/>
    <w:rsid w:val="00E1046A"/>
    <w:rsid w:val="00E36BA8"/>
    <w:rsid w:val="00E4150D"/>
    <w:rsid w:val="00E4661F"/>
    <w:rsid w:val="00E535AC"/>
    <w:rsid w:val="00E53A03"/>
    <w:rsid w:val="00E60EA9"/>
    <w:rsid w:val="00E8290B"/>
    <w:rsid w:val="00E834FE"/>
    <w:rsid w:val="00E84722"/>
    <w:rsid w:val="00EA3E2F"/>
    <w:rsid w:val="00EA66BF"/>
    <w:rsid w:val="00EB3EC7"/>
    <w:rsid w:val="00EF0AC2"/>
    <w:rsid w:val="00F03750"/>
    <w:rsid w:val="00F12696"/>
    <w:rsid w:val="00F1413C"/>
    <w:rsid w:val="00F14BCA"/>
    <w:rsid w:val="00F14ED9"/>
    <w:rsid w:val="00F536AA"/>
    <w:rsid w:val="00F62A32"/>
    <w:rsid w:val="00F85F10"/>
    <w:rsid w:val="00F862E9"/>
    <w:rsid w:val="00F908A5"/>
    <w:rsid w:val="00FA0B88"/>
    <w:rsid w:val="00FA71AD"/>
    <w:rsid w:val="00FB024F"/>
    <w:rsid w:val="00FD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3E882-1B09-455D-BA18-53DBC193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4E31D5"/>
    <w:pPr>
      <w:keepNext/>
      <w:keepLines/>
      <w:spacing w:after="0" w:line="256" w:lineRule="auto"/>
      <w:ind w:left="16"/>
      <w:outlineLvl w:val="0"/>
    </w:pPr>
    <w:rPr>
      <w:rFonts w:ascii="Segoe UI" w:eastAsia="Century" w:hAnsi="Segoe UI" w:cs="Century"/>
      <w:b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31D5"/>
    <w:rPr>
      <w:rFonts w:ascii="Segoe UI" w:eastAsia="Century" w:hAnsi="Segoe UI" w:cs="Century"/>
      <w:b/>
      <w:lang w:eastAsia="es-MX"/>
    </w:rPr>
  </w:style>
  <w:style w:type="character" w:customStyle="1" w:styleId="PrrafodelistaCar">
    <w:name w:val="Párrafo de lista Car"/>
    <w:link w:val="Prrafodelista"/>
    <w:uiPriority w:val="34"/>
    <w:locked/>
    <w:rsid w:val="004E31D5"/>
    <w:rPr>
      <w:rFonts w:ascii="Century" w:eastAsia="Century" w:hAnsi="Century" w:cs="Century"/>
      <w:color w:val="000000"/>
    </w:rPr>
  </w:style>
  <w:style w:type="paragraph" w:styleId="Prrafodelista">
    <w:name w:val="List Paragraph"/>
    <w:basedOn w:val="Normal"/>
    <w:link w:val="PrrafodelistaCar"/>
    <w:uiPriority w:val="34"/>
    <w:qFormat/>
    <w:rsid w:val="004E31D5"/>
    <w:pPr>
      <w:spacing w:after="5" w:line="266" w:lineRule="auto"/>
      <w:ind w:left="720" w:firstLine="6"/>
      <w:contextualSpacing/>
      <w:jc w:val="both"/>
    </w:pPr>
    <w:rPr>
      <w:rFonts w:ascii="Century" w:eastAsia="Century" w:hAnsi="Century" w:cs="Century"/>
      <w:color w:val="000000"/>
    </w:rPr>
  </w:style>
  <w:style w:type="table" w:styleId="Tablaconcuadrcula">
    <w:name w:val="Table Grid"/>
    <w:basedOn w:val="Tablanormal"/>
    <w:uiPriority w:val="39"/>
    <w:rsid w:val="004E31D5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E31D5"/>
    <w:pPr>
      <w:spacing w:after="0" w:line="240" w:lineRule="auto"/>
      <w:ind w:left="16" w:firstLine="6"/>
      <w:jc w:val="both"/>
    </w:pPr>
    <w:rPr>
      <w:rFonts w:ascii="Century" w:eastAsia="Century" w:hAnsi="Century" w:cs="Century"/>
      <w:color w:val="000000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31D5"/>
    <w:rPr>
      <w:rFonts w:ascii="Century" w:eastAsia="Century" w:hAnsi="Century" w:cs="Century"/>
      <w:color w:val="000000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4E31D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343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2D04E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1338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Gustavo Carreón Luna</dc:creator>
  <cp:keywords/>
  <dc:description/>
  <cp:lastModifiedBy>Violeta Navarro Borayo</cp:lastModifiedBy>
  <cp:revision>21</cp:revision>
  <cp:lastPrinted>2022-11-07T15:49:00Z</cp:lastPrinted>
  <dcterms:created xsi:type="dcterms:W3CDTF">2022-10-19T17:02:00Z</dcterms:created>
  <dcterms:modified xsi:type="dcterms:W3CDTF">2022-11-07T16:10:00Z</dcterms:modified>
</cp:coreProperties>
</file>