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35E1A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b/>
          <w:sz w:val="24"/>
          <w:szCs w:val="24"/>
          <w:lang w:eastAsia="ar-SA"/>
        </w:rPr>
      </w:pPr>
      <w:bookmarkStart w:id="0" w:name="_GoBack"/>
      <w:bookmarkEnd w:id="0"/>
      <w:r w:rsidRPr="00641704">
        <w:rPr>
          <w:rFonts w:ascii="Trebuchet MS" w:hAnsi="Trebuchet MS"/>
          <w:b/>
          <w:sz w:val="24"/>
          <w:szCs w:val="24"/>
          <w:lang w:eastAsia="ar-SA"/>
        </w:rPr>
        <w:t xml:space="preserve">ACUERDO DE LA COMISIÓN DE ADQUISICIONES Y ENAJENACIONES DEL INSTITUTO ELECTORAL Y DE PARTICIPACIÓN CIUDADANA DEL ESTADO DE JALISCO, MEDIANTE EL CUAL SE </w:t>
      </w:r>
      <w:r w:rsidR="00E55AC7" w:rsidRPr="00641704">
        <w:rPr>
          <w:rFonts w:ascii="Trebuchet MS" w:hAnsi="Trebuchet MS"/>
          <w:b/>
          <w:sz w:val="24"/>
          <w:szCs w:val="24"/>
          <w:lang w:eastAsia="ar-SA"/>
        </w:rPr>
        <w:t>DECLARA DESIERTO EL PROCEDIMIENTO DE LA</w:t>
      </w:r>
      <w:r w:rsidR="00A96055" w:rsidRPr="00641704"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Pr="00641704">
        <w:rPr>
          <w:rFonts w:ascii="Trebuchet MS" w:hAnsi="Trebuchet MS"/>
          <w:b/>
          <w:sz w:val="24"/>
          <w:szCs w:val="24"/>
          <w:lang w:eastAsia="ar-SA"/>
        </w:rPr>
        <w:t xml:space="preserve">LICITACIÓN PÚBLICA LOCAL IDENTIFICADO CON LA CLAVE </w:t>
      </w:r>
      <w:r w:rsidR="005B31BC" w:rsidRPr="00641704">
        <w:rPr>
          <w:rFonts w:ascii="Trebuchet MS" w:hAnsi="Trebuchet MS" w:cs="Arial"/>
          <w:b/>
          <w:sz w:val="24"/>
          <w:szCs w:val="24"/>
          <w:lang w:eastAsia="ar-SA"/>
        </w:rPr>
        <w:t>IEPC-L-02</w:t>
      </w:r>
      <w:r w:rsidRPr="00641704">
        <w:rPr>
          <w:rFonts w:ascii="Trebuchet MS" w:hAnsi="Trebuchet MS" w:cs="Arial"/>
          <w:b/>
          <w:sz w:val="24"/>
          <w:szCs w:val="24"/>
          <w:lang w:eastAsia="ar-SA"/>
        </w:rPr>
        <w:t>/20</w:t>
      </w:r>
      <w:r w:rsidR="00706F53" w:rsidRPr="00641704">
        <w:rPr>
          <w:rFonts w:ascii="Trebuchet MS" w:hAnsi="Trebuchet MS" w:cs="Arial"/>
          <w:b/>
          <w:sz w:val="24"/>
          <w:szCs w:val="24"/>
          <w:lang w:eastAsia="ar-SA"/>
        </w:rPr>
        <w:t>20</w:t>
      </w:r>
      <w:r w:rsidR="00A96055" w:rsidRPr="00641704">
        <w:rPr>
          <w:rFonts w:ascii="Trebuchet MS" w:hAnsi="Trebuchet MS" w:cs="Arial"/>
          <w:b/>
          <w:sz w:val="24"/>
          <w:szCs w:val="24"/>
          <w:lang w:eastAsia="ar-SA"/>
        </w:rPr>
        <w:t>.</w:t>
      </w:r>
    </w:p>
    <w:p w14:paraId="00EDD986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bCs/>
          <w:color w:val="000000"/>
          <w:sz w:val="24"/>
          <w:szCs w:val="24"/>
          <w:lang w:eastAsia="es-ES"/>
        </w:rPr>
      </w:pPr>
    </w:p>
    <w:p w14:paraId="3FBEA77F" w14:textId="77777777" w:rsidR="0050261E" w:rsidRPr="00641704" w:rsidRDefault="0050261E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bCs/>
          <w:color w:val="000000"/>
          <w:sz w:val="24"/>
          <w:szCs w:val="24"/>
          <w:lang w:eastAsia="es-ES"/>
        </w:rPr>
      </w:pPr>
      <w:r w:rsidRPr="00641704">
        <w:rPr>
          <w:rFonts w:ascii="Trebuchet MS" w:hAnsi="Trebuchet MS" w:cs="Traditional Arabic"/>
          <w:b/>
          <w:bCs/>
          <w:color w:val="000000"/>
          <w:sz w:val="24"/>
          <w:szCs w:val="24"/>
          <w:lang w:eastAsia="es-ES"/>
        </w:rPr>
        <w:t>A N T E C E D E N T E S</w:t>
      </w:r>
    </w:p>
    <w:p w14:paraId="102C875C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eastAsia="ar-SA"/>
        </w:rPr>
      </w:pPr>
    </w:p>
    <w:p w14:paraId="175199A9" w14:textId="491A1EA8" w:rsidR="000A3015" w:rsidRPr="00641704" w:rsidRDefault="00F36EDE" w:rsidP="00A15900">
      <w:pPr>
        <w:pStyle w:val="Sinespaciado"/>
        <w:spacing w:line="360" w:lineRule="auto"/>
        <w:jc w:val="both"/>
        <w:rPr>
          <w:rFonts w:ascii="Trebuchet MS" w:hAnsi="Trebuchet MS" w:cs="Arial"/>
          <w:b/>
          <w:sz w:val="24"/>
          <w:szCs w:val="24"/>
          <w:lang w:eastAsia="ar-SA"/>
        </w:rPr>
      </w:pPr>
      <w:r w:rsidRPr="00641704">
        <w:rPr>
          <w:rFonts w:ascii="Trebuchet MS" w:hAnsi="Trebuchet MS" w:cs="Traditional Arabic"/>
          <w:b/>
          <w:bCs/>
          <w:spacing w:val="-2"/>
          <w:sz w:val="24"/>
          <w:szCs w:val="24"/>
          <w:lang w:eastAsia="ar-SA"/>
        </w:rPr>
        <w:t>1.</w:t>
      </w:r>
      <w:r w:rsidR="000A3015" w:rsidRPr="00641704">
        <w:rPr>
          <w:rFonts w:ascii="Trebuchet MS" w:hAnsi="Trebuchet MS"/>
          <w:b/>
          <w:sz w:val="24"/>
          <w:szCs w:val="24"/>
        </w:rPr>
        <w:t xml:space="preserve"> Reforma al código electoral.</w:t>
      </w:r>
      <w:r w:rsidR="005B31BC" w:rsidRPr="00641704">
        <w:rPr>
          <w:rFonts w:ascii="Trebuchet MS" w:hAnsi="Trebuchet MS"/>
          <w:sz w:val="24"/>
          <w:szCs w:val="24"/>
        </w:rPr>
        <w:t xml:space="preserve"> El nueve</w:t>
      </w:r>
      <w:r w:rsidR="000A3015" w:rsidRPr="00641704">
        <w:rPr>
          <w:rFonts w:ascii="Trebuchet MS" w:hAnsi="Trebuchet MS"/>
          <w:sz w:val="24"/>
          <w:szCs w:val="24"/>
        </w:rPr>
        <w:t xml:space="preserve"> de abril de</w:t>
      </w:r>
      <w:r w:rsidR="000A09C3" w:rsidRPr="00641704">
        <w:rPr>
          <w:rFonts w:ascii="Trebuchet MS" w:hAnsi="Trebuchet MS"/>
          <w:sz w:val="24"/>
          <w:szCs w:val="24"/>
        </w:rPr>
        <w:t xml:space="preserve"> </w:t>
      </w:r>
      <w:r w:rsidR="005B31BC" w:rsidRPr="00641704">
        <w:rPr>
          <w:rFonts w:ascii="Trebuchet MS" w:hAnsi="Trebuchet MS"/>
          <w:sz w:val="24"/>
          <w:szCs w:val="24"/>
        </w:rPr>
        <w:t>dos mil diecinueve</w:t>
      </w:r>
      <w:r w:rsidR="000A3015" w:rsidRPr="00641704">
        <w:rPr>
          <w:rFonts w:ascii="Trebuchet MS" w:hAnsi="Trebuchet MS"/>
          <w:sz w:val="24"/>
          <w:szCs w:val="24"/>
        </w:rPr>
        <w:t>, se publicó en el periódico oficial “El Estado de Jalisco”, el decreto</w:t>
      </w:r>
      <w:r w:rsidR="000A3015" w:rsidRPr="00641704">
        <w:rPr>
          <w:rFonts w:ascii="Trebuchet MS" w:hAnsi="Trebuchet MS"/>
          <w:b/>
          <w:sz w:val="24"/>
          <w:szCs w:val="24"/>
        </w:rPr>
        <w:t xml:space="preserve"> </w:t>
      </w:r>
      <w:r w:rsidR="000A3015" w:rsidRPr="00641704">
        <w:rPr>
          <w:rFonts w:ascii="Trebuchet MS" w:hAnsi="Trebuchet MS"/>
          <w:sz w:val="24"/>
          <w:szCs w:val="24"/>
        </w:rPr>
        <w:t>27261/LXII/19</w:t>
      </w:r>
      <w:r w:rsidR="000A3015" w:rsidRPr="00641704">
        <w:rPr>
          <w:rStyle w:val="Refdenotaalpie"/>
          <w:rFonts w:ascii="Trebuchet MS" w:hAnsi="Trebuchet MS"/>
          <w:sz w:val="24"/>
          <w:szCs w:val="24"/>
        </w:rPr>
        <w:footnoteReference w:id="1"/>
      </w:r>
      <w:r w:rsidR="00A15900" w:rsidRPr="00641704">
        <w:rPr>
          <w:rFonts w:ascii="Trebuchet MS" w:hAnsi="Trebuchet MS"/>
          <w:sz w:val="24"/>
          <w:szCs w:val="24"/>
        </w:rPr>
        <w:t>,</w:t>
      </w:r>
      <w:r w:rsidR="000A3015" w:rsidRPr="00641704">
        <w:rPr>
          <w:rFonts w:ascii="Trebuchet MS" w:hAnsi="Trebuchet MS"/>
          <w:sz w:val="24"/>
          <w:szCs w:val="24"/>
        </w:rPr>
        <w:t xml:space="preserve"> mediante el cual se cambia la denominación; reforma y deroga</w:t>
      </w:r>
      <w:r w:rsidR="00A15900" w:rsidRPr="00641704">
        <w:rPr>
          <w:rFonts w:ascii="Trebuchet MS" w:hAnsi="Trebuchet MS"/>
          <w:sz w:val="24"/>
          <w:szCs w:val="24"/>
        </w:rPr>
        <w:t>n</w:t>
      </w:r>
      <w:r w:rsidR="000A3015" w:rsidRPr="00641704">
        <w:rPr>
          <w:rFonts w:ascii="Trebuchet MS" w:hAnsi="Trebuchet MS"/>
          <w:sz w:val="24"/>
          <w:szCs w:val="24"/>
        </w:rPr>
        <w:t xml:space="preserve"> diversos artículos del Código Electoral y de Participación Social del Estado de Jalisco, para quedar como Código Electoral del Estado de Jalisco.</w:t>
      </w:r>
    </w:p>
    <w:p w14:paraId="30809594" w14:textId="77777777" w:rsidR="000A3015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 w:cs="Arial"/>
          <w:b/>
          <w:sz w:val="24"/>
          <w:szCs w:val="24"/>
          <w:lang w:eastAsia="ar-SA"/>
        </w:rPr>
      </w:pPr>
    </w:p>
    <w:p w14:paraId="4FF7168C" w14:textId="77777777" w:rsidR="0050261E" w:rsidRPr="00641704" w:rsidRDefault="00F36ED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 w:cs="Arial"/>
          <w:b/>
          <w:sz w:val="24"/>
          <w:szCs w:val="24"/>
          <w:lang w:eastAsia="ar-SA"/>
        </w:rPr>
        <w:t>2.</w:t>
      </w:r>
      <w:r w:rsidR="000A3015" w:rsidRPr="00641704">
        <w:rPr>
          <w:rFonts w:ascii="Trebuchet MS" w:hAnsi="Trebuchet MS" w:cs="Arial"/>
          <w:b/>
          <w:sz w:val="24"/>
          <w:szCs w:val="24"/>
          <w:lang w:eastAsia="ar-SA"/>
        </w:rPr>
        <w:t xml:space="preserve"> </w:t>
      </w:r>
      <w:r w:rsidR="0050261E" w:rsidRPr="00641704">
        <w:rPr>
          <w:rFonts w:ascii="Trebuchet MS" w:hAnsi="Trebuchet MS" w:cs="Arial"/>
          <w:b/>
          <w:sz w:val="24"/>
          <w:szCs w:val="24"/>
          <w:lang w:eastAsia="ar-SA"/>
        </w:rPr>
        <w:t>Requisición.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 xml:space="preserve"> El 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 xml:space="preserve">treinta y uno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de 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>julio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 de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 xml:space="preserve"> 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>dos mil veinte</w:t>
      </w:r>
      <w:r w:rsidR="000A09C3" w:rsidRPr="00641704">
        <w:rPr>
          <w:rFonts w:ascii="Trebuchet MS" w:hAnsi="Trebuchet MS" w:cs="Arial"/>
          <w:sz w:val="24"/>
          <w:szCs w:val="24"/>
          <w:lang w:eastAsia="ar-SA"/>
        </w:rPr>
        <w:t>,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 </w:t>
      </w:r>
      <w:r w:rsidR="008B6909" w:rsidRPr="00641704">
        <w:rPr>
          <w:rFonts w:ascii="Trebuchet MS" w:hAnsi="Trebuchet MS" w:cs="Arial"/>
          <w:sz w:val="24"/>
          <w:szCs w:val="24"/>
          <w:lang w:eastAsia="ar-SA"/>
        </w:rPr>
        <w:t xml:space="preserve">mediante correo electrónico,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>la Dirección de Administración y Finanzas de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>l Instituto E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>lectoral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 xml:space="preserve"> y de Participación Ciudadana del Estado de Jalisco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>, formuló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 la requisición ide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>ntificada con el número DAyF/071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>/20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>20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, 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 xml:space="preserve">en la cual solicita </w:t>
      </w:r>
      <w:r w:rsidR="008B6909" w:rsidRPr="00641704">
        <w:rPr>
          <w:rFonts w:ascii="Trebuchet MS" w:hAnsi="Trebuchet MS" w:cs="Arial"/>
          <w:sz w:val="24"/>
          <w:szCs w:val="24"/>
          <w:lang w:eastAsia="ar-SA"/>
        </w:rPr>
        <w:t xml:space="preserve">se inicie el procedimiento de licitación pública para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la adquisición de 81 pólizas de seguro de vida para el personal </w:t>
      </w:r>
      <w:r w:rsidR="00706F53" w:rsidRPr="00641704">
        <w:rPr>
          <w:rFonts w:ascii="Trebuchet MS" w:hAnsi="Trebuchet MS" w:cs="Arial"/>
          <w:sz w:val="24"/>
          <w:szCs w:val="24"/>
          <w:lang w:eastAsia="ar-SA"/>
        </w:rPr>
        <w:t xml:space="preserve">y funcionarios de este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Instituto Electoral, </w:t>
      </w:r>
      <w:r w:rsidR="008B6909" w:rsidRPr="00641704">
        <w:rPr>
          <w:rFonts w:ascii="Trebuchet MS" w:hAnsi="Trebuchet MS" w:cs="Arial"/>
          <w:sz w:val="24"/>
          <w:szCs w:val="24"/>
          <w:lang w:eastAsia="ar-SA"/>
        </w:rPr>
        <w:t xml:space="preserve">habiendo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>adjuntando especificaciones técnicas, justificación y estudio de mercado.</w:t>
      </w:r>
    </w:p>
    <w:p w14:paraId="5528D326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1A392DED" w14:textId="0A16E2FC" w:rsidR="0050261E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 w:cs="Arial"/>
          <w:b/>
          <w:sz w:val="24"/>
          <w:szCs w:val="24"/>
          <w:lang w:eastAsia="ar-SA"/>
        </w:rPr>
        <w:t>3</w:t>
      </w:r>
      <w:r w:rsidR="00F36EDE" w:rsidRPr="00641704">
        <w:rPr>
          <w:rFonts w:ascii="Trebuchet MS" w:hAnsi="Trebuchet MS" w:cs="Arial"/>
          <w:b/>
          <w:sz w:val="24"/>
          <w:szCs w:val="24"/>
          <w:lang w:eastAsia="ar-SA"/>
        </w:rPr>
        <w:t>.</w:t>
      </w:r>
      <w:r w:rsidR="0050261E" w:rsidRPr="00641704">
        <w:rPr>
          <w:rFonts w:ascii="Trebuchet MS" w:hAnsi="Trebuchet MS" w:cs="Arial"/>
          <w:b/>
          <w:sz w:val="24"/>
          <w:szCs w:val="24"/>
          <w:lang w:eastAsia="ar-SA"/>
        </w:rPr>
        <w:t xml:space="preserve"> Aprobación de la convocatoria.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 xml:space="preserve"> En </w:t>
      </w:r>
      <w:r w:rsidR="00A15900" w:rsidRPr="00641704">
        <w:rPr>
          <w:rFonts w:ascii="Trebuchet MS" w:hAnsi="Trebuchet MS" w:cs="Arial"/>
          <w:sz w:val="24"/>
          <w:szCs w:val="24"/>
          <w:lang w:eastAsia="ar-SA"/>
        </w:rPr>
        <w:t xml:space="preserve">la 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 xml:space="preserve">quinta sesión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 xml:space="preserve">ordinaria celebrada el </w:t>
      </w:r>
      <w:r w:rsidR="005B31BC" w:rsidRPr="00641704">
        <w:rPr>
          <w:rFonts w:ascii="Trebuchet MS" w:hAnsi="Trebuchet MS" w:cs="Arial"/>
          <w:sz w:val="24"/>
          <w:szCs w:val="24"/>
          <w:lang w:eastAsia="ar-SA"/>
        </w:rPr>
        <w:t>trece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de agosto </w:t>
      </w:r>
      <w:r w:rsidR="0050261E" w:rsidRPr="00641704">
        <w:rPr>
          <w:rFonts w:ascii="Trebuchet MS" w:hAnsi="Trebuchet MS" w:cs="Arial"/>
          <w:sz w:val="24"/>
          <w:szCs w:val="24"/>
          <w:lang w:eastAsia="ar-SA"/>
        </w:rPr>
        <w:t>de la presente anualidad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, esta Comisión aprobó la convocatoria para la contratación del servicio requerido por la Dirección de Administración y Finanzas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>.</w:t>
      </w:r>
    </w:p>
    <w:p w14:paraId="1EA39DC3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05E81251" w14:textId="77777777" w:rsidR="0050261E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lastRenderedPageBreak/>
        <w:t>4</w:t>
      </w:r>
      <w:r w:rsidR="00F36EDE" w:rsidRPr="00641704">
        <w:rPr>
          <w:rFonts w:ascii="Trebuchet MS" w:hAnsi="Trebuchet MS"/>
          <w:b/>
          <w:sz w:val="24"/>
          <w:szCs w:val="24"/>
          <w:lang w:eastAsia="ar-SA"/>
        </w:rPr>
        <w:t>.</w:t>
      </w:r>
      <w:r w:rsidR="0050261E" w:rsidRPr="00641704">
        <w:rPr>
          <w:rFonts w:ascii="Trebuchet MS" w:hAnsi="Trebuchet MS"/>
          <w:b/>
          <w:sz w:val="24"/>
          <w:szCs w:val="24"/>
          <w:lang w:eastAsia="ar-SA"/>
        </w:rPr>
        <w:t xml:space="preserve"> Publicación de la convocatoria.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 xml:space="preserve"> A partir del trece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de agosto del año en curso, se p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ublicó en el portal oficial de </w:t>
      </w:r>
      <w:r w:rsidR="00F36EDE" w:rsidRPr="00641704">
        <w:rPr>
          <w:rFonts w:ascii="Trebuchet MS" w:hAnsi="Trebuchet MS"/>
          <w:i/>
          <w:sz w:val="24"/>
          <w:szCs w:val="24"/>
          <w:lang w:eastAsia="ar-SA"/>
        </w:rPr>
        <w:t>I</w:t>
      </w:r>
      <w:r w:rsidR="0050261E" w:rsidRPr="00641704">
        <w:rPr>
          <w:rFonts w:ascii="Trebuchet MS" w:hAnsi="Trebuchet MS"/>
          <w:i/>
          <w:sz w:val="24"/>
          <w:szCs w:val="24"/>
          <w:lang w:eastAsia="ar-SA"/>
        </w:rPr>
        <w:t>nternet</w:t>
      </w:r>
      <w:r w:rsidR="0050261E" w:rsidRPr="00641704">
        <w:rPr>
          <w:rFonts w:ascii="Trebuchet MS" w:hAnsi="Trebuchet MS"/>
          <w:sz w:val="24"/>
          <w:szCs w:val="24"/>
          <w:vertAlign w:val="superscript"/>
          <w:lang w:eastAsia="ar-SA"/>
        </w:rPr>
        <w:footnoteReference w:id="2"/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de este organismo público, la convocatoria del procedimiento de licitación local identifi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>cado con la clave IEPC-L-02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>/2020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.</w:t>
      </w:r>
    </w:p>
    <w:p w14:paraId="3313640D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09F20A29" w14:textId="77777777" w:rsidR="0050261E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t>5</w:t>
      </w:r>
      <w:r w:rsidR="00F36EDE" w:rsidRPr="00641704">
        <w:rPr>
          <w:rFonts w:ascii="Trebuchet MS" w:hAnsi="Trebuchet MS"/>
          <w:b/>
          <w:sz w:val="24"/>
          <w:szCs w:val="24"/>
          <w:lang w:eastAsia="ar-SA"/>
        </w:rPr>
        <w:t>.</w:t>
      </w:r>
      <w:r w:rsidR="0050261E" w:rsidRPr="00641704">
        <w:rPr>
          <w:rFonts w:ascii="Trebuchet MS" w:hAnsi="Trebuchet MS"/>
          <w:b/>
          <w:sz w:val="24"/>
          <w:szCs w:val="24"/>
          <w:lang w:eastAsia="ar-SA"/>
        </w:rPr>
        <w:t xml:space="preserve"> Periodo de aclaraciones.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 xml:space="preserve"> Del trece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 al 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>diecisiete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de agosto de la presente anualidad, transcurrió el periodo de aclaraciones, en el que se recibieron las pregunta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>s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formulada</w:t>
      </w:r>
      <w:r w:rsidR="005B31BC" w:rsidRPr="00641704">
        <w:rPr>
          <w:rFonts w:ascii="Trebuchet MS" w:hAnsi="Trebuchet MS"/>
          <w:sz w:val="24"/>
          <w:szCs w:val="24"/>
          <w:lang w:eastAsia="ar-SA"/>
        </w:rPr>
        <w:t>s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por </w:t>
      </w:r>
      <w:r w:rsidR="00683EFB" w:rsidRPr="00641704">
        <w:rPr>
          <w:rFonts w:ascii="Trebuchet MS" w:hAnsi="Trebuchet MS"/>
          <w:sz w:val="24"/>
          <w:szCs w:val="24"/>
          <w:lang w:eastAsia="ar-SA"/>
        </w:rPr>
        <w:t xml:space="preserve">la compañía de seguros denominada </w:t>
      </w:r>
      <w:r w:rsidR="00683EFB" w:rsidRPr="00641704">
        <w:rPr>
          <w:rFonts w:ascii="Trebuchet MS" w:hAnsi="Trebuchet MS"/>
          <w:i/>
          <w:sz w:val="24"/>
          <w:szCs w:val="24"/>
          <w:lang w:eastAsia="ar-SA"/>
        </w:rPr>
        <w:t>Insignia Life,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las cuales fueron respondidas y publ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icadas en el portal oficial de </w:t>
      </w:r>
      <w:r w:rsidR="00F36EDE" w:rsidRPr="00641704">
        <w:rPr>
          <w:rFonts w:ascii="Trebuchet MS" w:hAnsi="Trebuchet MS"/>
          <w:i/>
          <w:sz w:val="24"/>
          <w:szCs w:val="24"/>
          <w:lang w:eastAsia="ar-SA"/>
        </w:rPr>
        <w:t>I</w:t>
      </w:r>
      <w:r w:rsidR="0050261E" w:rsidRPr="00641704">
        <w:rPr>
          <w:rFonts w:ascii="Trebuchet MS" w:hAnsi="Trebuchet MS"/>
          <w:i/>
          <w:sz w:val="24"/>
          <w:szCs w:val="24"/>
          <w:lang w:eastAsia="ar-SA"/>
        </w:rPr>
        <w:t>nternet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de este organismo electoral.</w:t>
      </w:r>
    </w:p>
    <w:p w14:paraId="257C8CA8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362CC0A1" w14:textId="67C79165" w:rsidR="0050261E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t>6</w:t>
      </w:r>
      <w:r w:rsidR="00F36EDE" w:rsidRPr="00641704">
        <w:rPr>
          <w:rFonts w:ascii="Trebuchet MS" w:hAnsi="Trebuchet MS"/>
          <w:b/>
          <w:sz w:val="24"/>
          <w:szCs w:val="24"/>
          <w:lang w:eastAsia="ar-SA"/>
        </w:rPr>
        <w:t>.</w:t>
      </w:r>
      <w:r w:rsidR="0050261E" w:rsidRPr="00641704">
        <w:rPr>
          <w:rFonts w:ascii="Trebuchet MS" w:hAnsi="Trebuchet MS"/>
          <w:b/>
          <w:sz w:val="24"/>
          <w:szCs w:val="24"/>
          <w:lang w:eastAsia="ar-SA"/>
        </w:rPr>
        <w:t xml:space="preserve"> Presentación de propuestas.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 xml:space="preserve"> A partir del tre</w:t>
      </w:r>
      <w:r w:rsidR="00683EFB" w:rsidRPr="00641704">
        <w:rPr>
          <w:rFonts w:ascii="Trebuchet MS" w:hAnsi="Trebuchet MS"/>
          <w:sz w:val="24"/>
          <w:szCs w:val="24"/>
          <w:lang w:eastAsia="ar-SA"/>
        </w:rPr>
        <w:t xml:space="preserve">ce 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de agosto</w:t>
      </w:r>
      <w:r w:rsidR="00683EFB" w:rsidRPr="00641704">
        <w:rPr>
          <w:rFonts w:ascii="Trebuchet MS" w:hAnsi="Trebuchet MS"/>
          <w:sz w:val="24"/>
          <w:szCs w:val="24"/>
          <w:lang w:eastAsia="ar-SA"/>
        </w:rPr>
        <w:t xml:space="preserve"> y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hasta las 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15:00 horas</w:t>
      </w:r>
      <w:r w:rsidR="00A15900" w:rsidRPr="00641704">
        <w:rPr>
          <w:rFonts w:ascii="Trebuchet MS" w:hAnsi="Trebuchet MS"/>
          <w:sz w:val="24"/>
          <w:szCs w:val="24"/>
          <w:lang w:eastAsia="ar-SA"/>
        </w:rPr>
        <w:t xml:space="preserve"> del diecinueve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 de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 xml:space="preserve"> agosto de dos mil veinte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, se recibieron</w:t>
      </w:r>
      <w:r w:rsidR="00F36EDE" w:rsidRPr="00641704">
        <w:rPr>
          <w:rFonts w:ascii="Trebuchet MS" w:hAnsi="Trebuchet MS"/>
          <w:sz w:val="24"/>
          <w:szCs w:val="24"/>
          <w:lang w:eastAsia="ar-SA"/>
        </w:rPr>
        <w:t xml:space="preserve"> en la Oficialía de Partes del I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nstituto, las propuestas siguientes:</w:t>
      </w:r>
    </w:p>
    <w:p w14:paraId="6DE6B1C8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121"/>
        <w:tblOverlap w:val="never"/>
        <w:tblW w:w="4506" w:type="pct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653"/>
        <w:gridCol w:w="907"/>
        <w:gridCol w:w="2853"/>
      </w:tblGrid>
      <w:tr w:rsidR="0050261E" w:rsidRPr="00641704" w14:paraId="04DDB54C" w14:textId="77777777" w:rsidTr="007F610D">
        <w:trPr>
          <w:trHeight w:val="454"/>
        </w:trPr>
        <w:tc>
          <w:tcPr>
            <w:tcW w:w="5000" w:type="pct"/>
            <w:gridSpan w:val="4"/>
            <w:shd w:val="clear" w:color="auto" w:fill="CCC0D9"/>
            <w:vAlign w:val="center"/>
            <w:hideMark/>
          </w:tcPr>
          <w:p w14:paraId="463F48EE" w14:textId="77777777" w:rsidR="0050261E" w:rsidRPr="00641704" w:rsidRDefault="0050261E" w:rsidP="00A15900">
            <w:pPr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LICITAC</w:t>
            </w:r>
            <w:r w:rsidR="00683EFB"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IÓN PÚBLICA LOCAL IEPC-L-02</w:t>
            </w:r>
            <w:r w:rsidR="00F36EDE"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/2020</w:t>
            </w:r>
          </w:p>
        </w:tc>
      </w:tr>
      <w:tr w:rsidR="000A09C3" w:rsidRPr="00641704" w14:paraId="42626110" w14:textId="77777777" w:rsidTr="00065986">
        <w:trPr>
          <w:trHeight w:val="454"/>
        </w:trPr>
        <w:tc>
          <w:tcPr>
            <w:tcW w:w="290" w:type="pct"/>
            <w:shd w:val="clear" w:color="auto" w:fill="CCC0D9"/>
            <w:vAlign w:val="center"/>
            <w:hideMark/>
          </w:tcPr>
          <w:p w14:paraId="4880C820" w14:textId="77777777" w:rsidR="0050261E" w:rsidRPr="00641704" w:rsidRDefault="0050261E" w:rsidP="00A15900">
            <w:pPr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ar-SA"/>
              </w:rPr>
              <w:t>No.</w:t>
            </w:r>
          </w:p>
        </w:tc>
        <w:tc>
          <w:tcPr>
            <w:tcW w:w="2315" w:type="pct"/>
            <w:shd w:val="clear" w:color="auto" w:fill="CCC0D9"/>
            <w:vAlign w:val="center"/>
            <w:hideMark/>
          </w:tcPr>
          <w:p w14:paraId="0F8A5137" w14:textId="77777777" w:rsidR="0050261E" w:rsidRPr="00641704" w:rsidRDefault="0050261E" w:rsidP="00A15900">
            <w:pPr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Empresa</w:t>
            </w:r>
          </w:p>
        </w:tc>
        <w:tc>
          <w:tcPr>
            <w:tcW w:w="585" w:type="pct"/>
            <w:shd w:val="clear" w:color="auto" w:fill="CCC0D9"/>
            <w:vAlign w:val="center"/>
            <w:hideMark/>
          </w:tcPr>
          <w:p w14:paraId="485A5970" w14:textId="77777777" w:rsidR="0050261E" w:rsidRPr="00641704" w:rsidRDefault="0050261E" w:rsidP="00A15900">
            <w:pPr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Folio</w:t>
            </w:r>
          </w:p>
        </w:tc>
        <w:tc>
          <w:tcPr>
            <w:tcW w:w="1810" w:type="pct"/>
            <w:shd w:val="clear" w:color="auto" w:fill="CCC0D9"/>
            <w:vAlign w:val="center"/>
            <w:hideMark/>
          </w:tcPr>
          <w:p w14:paraId="4D25E8D7" w14:textId="77777777" w:rsidR="0050261E" w:rsidRPr="00641704" w:rsidRDefault="0050261E" w:rsidP="00A15900">
            <w:pPr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Fecha y hora de recepción</w:t>
            </w:r>
          </w:p>
        </w:tc>
      </w:tr>
      <w:tr w:rsidR="008471B9" w:rsidRPr="00641704" w14:paraId="7EE5C627" w14:textId="77777777" w:rsidTr="00065986">
        <w:trPr>
          <w:trHeight w:val="454"/>
        </w:trPr>
        <w:tc>
          <w:tcPr>
            <w:tcW w:w="290" w:type="pct"/>
            <w:shd w:val="clear" w:color="auto" w:fill="E8DDFF"/>
            <w:vAlign w:val="center"/>
            <w:hideMark/>
          </w:tcPr>
          <w:p w14:paraId="53327E4D" w14:textId="77777777" w:rsidR="0050261E" w:rsidRPr="00641704" w:rsidRDefault="0050261E" w:rsidP="00A15900">
            <w:pPr>
              <w:suppressAutoHyphens/>
              <w:snapToGrid w:val="0"/>
              <w:spacing w:before="240" w:after="24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5" w:type="pct"/>
            <w:shd w:val="clear" w:color="auto" w:fill="E8DDFF"/>
            <w:vAlign w:val="center"/>
            <w:hideMark/>
          </w:tcPr>
          <w:p w14:paraId="5324217E" w14:textId="77777777" w:rsidR="0050261E" w:rsidRPr="00641704" w:rsidRDefault="0050261E" w:rsidP="00A15900">
            <w:pPr>
              <w:suppressAutoHyphens/>
              <w:spacing w:after="0" w:line="360" w:lineRule="auto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Mapfre México, S.A.</w:t>
            </w:r>
          </w:p>
        </w:tc>
        <w:tc>
          <w:tcPr>
            <w:tcW w:w="585" w:type="pct"/>
            <w:shd w:val="clear" w:color="auto" w:fill="E8DDFF"/>
            <w:vAlign w:val="center"/>
          </w:tcPr>
          <w:p w14:paraId="2C25D097" w14:textId="77777777" w:rsidR="0050261E" w:rsidRPr="00641704" w:rsidRDefault="00065986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707</w:t>
            </w:r>
          </w:p>
        </w:tc>
        <w:tc>
          <w:tcPr>
            <w:tcW w:w="1810" w:type="pct"/>
            <w:shd w:val="clear" w:color="auto" w:fill="E8DDFF"/>
            <w:vAlign w:val="center"/>
            <w:hideMark/>
          </w:tcPr>
          <w:p w14:paraId="41C00753" w14:textId="77777777" w:rsidR="0050261E" w:rsidRPr="00641704" w:rsidRDefault="00065986" w:rsidP="00A15900">
            <w:pPr>
              <w:suppressAutoHyphens/>
              <w:spacing w:after="0" w:line="360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14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de agosto de 20</w:t>
            </w: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20 a las 13:26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horas</w:t>
            </w:r>
          </w:p>
        </w:tc>
      </w:tr>
      <w:tr w:rsidR="008471B9" w:rsidRPr="00641704" w14:paraId="6418ECAD" w14:textId="77777777" w:rsidTr="00065986">
        <w:trPr>
          <w:trHeight w:val="454"/>
        </w:trPr>
        <w:tc>
          <w:tcPr>
            <w:tcW w:w="290" w:type="pct"/>
            <w:shd w:val="clear" w:color="auto" w:fill="D6C1FF"/>
            <w:vAlign w:val="center"/>
            <w:hideMark/>
          </w:tcPr>
          <w:p w14:paraId="4FEFBF8D" w14:textId="77777777" w:rsidR="0050261E" w:rsidRPr="00641704" w:rsidRDefault="0050261E" w:rsidP="00A15900">
            <w:pPr>
              <w:suppressAutoHyphens/>
              <w:snapToGrid w:val="0"/>
              <w:spacing w:before="240" w:after="24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5" w:type="pct"/>
            <w:shd w:val="clear" w:color="auto" w:fill="D6C1FF"/>
            <w:vAlign w:val="center"/>
            <w:hideMark/>
          </w:tcPr>
          <w:p w14:paraId="3B9467F4" w14:textId="77777777" w:rsidR="0050261E" w:rsidRPr="00641704" w:rsidRDefault="00065986" w:rsidP="00A15900">
            <w:pPr>
              <w:suppressAutoHyphens/>
              <w:spacing w:after="0" w:line="360" w:lineRule="auto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Axa Seguros, S.A. de C.V.</w:t>
            </w:r>
          </w:p>
        </w:tc>
        <w:tc>
          <w:tcPr>
            <w:tcW w:w="585" w:type="pct"/>
            <w:shd w:val="clear" w:color="auto" w:fill="D6C1FF"/>
            <w:vAlign w:val="center"/>
          </w:tcPr>
          <w:p w14:paraId="4764CC6A" w14:textId="77777777" w:rsidR="0050261E" w:rsidRPr="00641704" w:rsidRDefault="00065986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721</w:t>
            </w:r>
          </w:p>
        </w:tc>
        <w:tc>
          <w:tcPr>
            <w:tcW w:w="1810" w:type="pct"/>
            <w:shd w:val="clear" w:color="auto" w:fill="D6C1FF"/>
            <w:vAlign w:val="center"/>
            <w:hideMark/>
          </w:tcPr>
          <w:p w14:paraId="0102D102" w14:textId="77777777" w:rsidR="0050261E" w:rsidRPr="00641704" w:rsidRDefault="00065986" w:rsidP="00A15900">
            <w:pPr>
              <w:suppressAutoHyphens/>
              <w:spacing w:after="0" w:line="360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19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de agosto de 20</w:t>
            </w:r>
            <w:r w:rsidR="00F36ED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20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a las </w:t>
            </w: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11:49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horas</w:t>
            </w:r>
          </w:p>
        </w:tc>
      </w:tr>
      <w:tr w:rsidR="008471B9" w:rsidRPr="00641704" w14:paraId="41C9D8D3" w14:textId="77777777" w:rsidTr="00065986">
        <w:trPr>
          <w:trHeight w:val="454"/>
        </w:trPr>
        <w:tc>
          <w:tcPr>
            <w:tcW w:w="290" w:type="pct"/>
            <w:shd w:val="clear" w:color="auto" w:fill="E8DDFF"/>
            <w:vAlign w:val="center"/>
            <w:hideMark/>
          </w:tcPr>
          <w:p w14:paraId="2B3C9678" w14:textId="77777777" w:rsidR="0050261E" w:rsidRPr="00641704" w:rsidRDefault="0050261E" w:rsidP="00A15900">
            <w:pPr>
              <w:suppressAutoHyphens/>
              <w:snapToGrid w:val="0"/>
              <w:spacing w:before="240" w:after="24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5" w:type="pct"/>
            <w:shd w:val="clear" w:color="auto" w:fill="E8DDFF"/>
            <w:vAlign w:val="center"/>
            <w:hideMark/>
          </w:tcPr>
          <w:p w14:paraId="4E6554EE" w14:textId="77777777" w:rsidR="0050261E" w:rsidRPr="00641704" w:rsidRDefault="00065986" w:rsidP="00A15900">
            <w:pPr>
              <w:suppressAutoHyphens/>
              <w:spacing w:after="0" w:line="360" w:lineRule="auto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Seguros Sura, S.A. DE C.V.</w:t>
            </w:r>
          </w:p>
        </w:tc>
        <w:tc>
          <w:tcPr>
            <w:tcW w:w="585" w:type="pct"/>
            <w:shd w:val="clear" w:color="auto" w:fill="E8DDFF"/>
            <w:vAlign w:val="center"/>
          </w:tcPr>
          <w:p w14:paraId="20781869" w14:textId="77777777" w:rsidR="0050261E" w:rsidRPr="00641704" w:rsidRDefault="00065986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722</w:t>
            </w:r>
          </w:p>
        </w:tc>
        <w:tc>
          <w:tcPr>
            <w:tcW w:w="1810" w:type="pct"/>
            <w:shd w:val="clear" w:color="auto" w:fill="E8DDFF"/>
            <w:vAlign w:val="center"/>
            <w:hideMark/>
          </w:tcPr>
          <w:p w14:paraId="3A4D47D7" w14:textId="77777777" w:rsidR="0050261E" w:rsidRPr="00641704" w:rsidRDefault="00065986" w:rsidP="00A15900">
            <w:pPr>
              <w:suppressAutoHyphens/>
              <w:spacing w:after="0" w:line="360" w:lineRule="auto"/>
              <w:jc w:val="center"/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19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de agosto de 20</w:t>
            </w:r>
            <w:r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>20 a las 12:12</w:t>
            </w:r>
            <w:r w:rsidR="0050261E" w:rsidRPr="00641704">
              <w:rPr>
                <w:rFonts w:ascii="Trebuchet MS" w:eastAsia="Times New Roman" w:hAnsi="Trebuchet MS" w:cs="Calibri"/>
                <w:bCs/>
                <w:color w:val="000000"/>
                <w:sz w:val="24"/>
                <w:szCs w:val="24"/>
                <w:lang w:eastAsia="ar-SA"/>
              </w:rPr>
              <w:t xml:space="preserve"> horas</w:t>
            </w:r>
          </w:p>
        </w:tc>
      </w:tr>
    </w:tbl>
    <w:p w14:paraId="778FE8B2" w14:textId="77777777" w:rsidR="00684920" w:rsidRPr="00641704" w:rsidRDefault="00684920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66DEF0E5" w14:textId="6C3EB78F" w:rsidR="00065986" w:rsidRPr="00641704" w:rsidRDefault="000A3015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t>7</w:t>
      </w:r>
      <w:r w:rsidR="00F36EDE" w:rsidRPr="00641704">
        <w:rPr>
          <w:rFonts w:ascii="Trebuchet MS" w:hAnsi="Trebuchet MS"/>
          <w:b/>
          <w:sz w:val="24"/>
          <w:szCs w:val="24"/>
          <w:lang w:eastAsia="ar-SA"/>
        </w:rPr>
        <w:t>.</w:t>
      </w:r>
      <w:r w:rsidR="0050261E" w:rsidRPr="00641704">
        <w:rPr>
          <w:rFonts w:ascii="Trebuchet MS" w:hAnsi="Trebuchet MS"/>
          <w:b/>
          <w:sz w:val="24"/>
          <w:szCs w:val="24"/>
          <w:lang w:eastAsia="ar-SA"/>
        </w:rPr>
        <w:t xml:space="preserve"> </w:t>
      </w:r>
      <w:r w:rsidR="00065986" w:rsidRPr="00641704">
        <w:rPr>
          <w:rFonts w:ascii="Trebuchet MS" w:hAnsi="Trebuchet MS"/>
          <w:b/>
          <w:sz w:val="24"/>
          <w:szCs w:val="24"/>
          <w:lang w:eastAsia="ar-SA"/>
        </w:rPr>
        <w:t>Descalificación de Mapfre México, S.A.</w:t>
      </w:r>
      <w:r w:rsidR="001430E5" w:rsidRPr="00641704">
        <w:rPr>
          <w:rFonts w:ascii="Trebuchet MS" w:hAnsi="Trebuchet MS"/>
          <w:sz w:val="24"/>
          <w:szCs w:val="24"/>
          <w:lang w:eastAsia="ar-SA"/>
        </w:rPr>
        <w:t xml:space="preserve"> 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 xml:space="preserve">En la sexta sesión ordinaria celebrada el veinte de agosto de dos mil veinte, se descalificó de participar en el procedimiento de licitación, a la compañía de seguros denominada Mapfre México, S.A. de C.V., al no encontrarse inscrita en </w:t>
      </w:r>
      <w:r w:rsidR="001430E5" w:rsidRPr="00641704">
        <w:rPr>
          <w:rFonts w:ascii="Trebuchet MS" w:hAnsi="Trebuchet MS"/>
          <w:sz w:val="24"/>
          <w:szCs w:val="24"/>
          <w:lang w:eastAsia="ar-SA"/>
        </w:rPr>
        <w:t xml:space="preserve">el 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>Registro Único de Proveedores y Contratistas del Gobierno del Estado</w:t>
      </w:r>
      <w:r w:rsidR="001430E5" w:rsidRPr="00641704">
        <w:rPr>
          <w:rFonts w:ascii="Trebuchet MS" w:hAnsi="Trebuchet MS"/>
          <w:sz w:val="24"/>
          <w:szCs w:val="24"/>
          <w:lang w:eastAsia="ar-SA"/>
        </w:rPr>
        <w:t xml:space="preserve"> (RUPC)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 xml:space="preserve">, ni en el </w:t>
      </w:r>
      <w:r w:rsidR="00A15900" w:rsidRPr="00641704">
        <w:rPr>
          <w:rFonts w:ascii="Trebuchet MS" w:hAnsi="Trebuchet MS"/>
          <w:sz w:val="24"/>
          <w:szCs w:val="24"/>
          <w:lang w:eastAsia="ar-SA"/>
        </w:rPr>
        <w:t xml:space="preserve">Padrón de Proveedores </w:t>
      </w:r>
      <w:r w:rsidR="00065986" w:rsidRPr="00641704">
        <w:rPr>
          <w:rFonts w:ascii="Trebuchet MS" w:hAnsi="Trebuchet MS"/>
          <w:sz w:val="24"/>
          <w:szCs w:val="24"/>
          <w:lang w:eastAsia="ar-SA"/>
        </w:rPr>
        <w:t xml:space="preserve">del Instituto Electoral y de Participación Ciudadana del Estado de Jalisco. </w:t>
      </w:r>
    </w:p>
    <w:p w14:paraId="11CC6154" w14:textId="77777777" w:rsidR="00065986" w:rsidRPr="00641704" w:rsidRDefault="00065986" w:rsidP="00A15900">
      <w:pPr>
        <w:pStyle w:val="Sinespaciado"/>
        <w:spacing w:line="360" w:lineRule="auto"/>
        <w:jc w:val="both"/>
        <w:rPr>
          <w:rFonts w:ascii="Trebuchet MS" w:hAnsi="Trebuchet MS"/>
          <w:b/>
          <w:sz w:val="24"/>
          <w:szCs w:val="24"/>
          <w:lang w:eastAsia="ar-SA"/>
        </w:rPr>
      </w:pPr>
    </w:p>
    <w:p w14:paraId="68BE88B6" w14:textId="77777777" w:rsidR="0050261E" w:rsidRPr="00641704" w:rsidRDefault="00065986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t xml:space="preserve">8. </w:t>
      </w:r>
      <w:r w:rsidR="0050261E" w:rsidRPr="00641704">
        <w:rPr>
          <w:rFonts w:ascii="Trebuchet MS" w:hAnsi="Trebuchet MS"/>
          <w:b/>
          <w:sz w:val="24"/>
          <w:szCs w:val="24"/>
          <w:lang w:eastAsia="ar-SA"/>
        </w:rPr>
        <w:t>Apertura de sobres, rúbrica y evaluación de las propuestas.</w:t>
      </w:r>
      <w:r w:rsidRPr="00641704">
        <w:rPr>
          <w:rFonts w:ascii="Trebuchet MS" w:hAnsi="Trebuchet MS"/>
          <w:sz w:val="24"/>
          <w:szCs w:val="24"/>
          <w:lang w:eastAsia="ar-SA"/>
        </w:rPr>
        <w:t xml:space="preserve"> En la misma 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sesión ordinaria </w:t>
      </w:r>
      <w:r w:rsidRPr="00641704">
        <w:rPr>
          <w:rFonts w:ascii="Trebuchet MS" w:hAnsi="Trebuchet MS"/>
          <w:sz w:val="24"/>
          <w:szCs w:val="24"/>
          <w:lang w:eastAsia="ar-SA"/>
        </w:rPr>
        <w:t>mencionada en el punto anterior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, se abrieron los sobres presentados por los licitantes </w:t>
      </w:r>
      <w:r w:rsidRPr="00641704">
        <w:rPr>
          <w:rFonts w:ascii="Trebuchet MS" w:hAnsi="Trebuchet MS"/>
          <w:sz w:val="24"/>
          <w:szCs w:val="24"/>
          <w:lang w:eastAsia="ar-SA"/>
        </w:rPr>
        <w:t>que se encontraron inscritos en el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 xml:space="preserve"> </w:t>
      </w:r>
      <w:r w:rsidR="001430E5" w:rsidRPr="00641704">
        <w:rPr>
          <w:rFonts w:ascii="Trebuchet MS" w:hAnsi="Trebuchet MS"/>
          <w:sz w:val="24"/>
          <w:szCs w:val="24"/>
          <w:lang w:eastAsia="ar-SA"/>
        </w:rPr>
        <w:t xml:space="preserve">Registro Único de Proveedores y Contratistas del Gobierno del Estado, </w:t>
      </w:r>
      <w:r w:rsidR="0050261E" w:rsidRPr="00641704">
        <w:rPr>
          <w:rFonts w:ascii="Trebuchet MS" w:hAnsi="Trebuchet MS"/>
          <w:sz w:val="24"/>
          <w:szCs w:val="24"/>
          <w:lang w:eastAsia="ar-SA"/>
        </w:rPr>
        <w:t>se rubricaron las hojas de cada una de las propuestas, haciéndose constar el importe de cada una de ellas y, se turnaron al área requirente para la evaluación respectiva.</w:t>
      </w:r>
    </w:p>
    <w:p w14:paraId="708FACF8" w14:textId="77777777" w:rsidR="008B6909" w:rsidRPr="00641704" w:rsidRDefault="008B6909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sz w:val="24"/>
          <w:szCs w:val="24"/>
          <w:lang w:eastAsia="ar-SA"/>
        </w:rPr>
      </w:pPr>
    </w:p>
    <w:p w14:paraId="52EB93CA" w14:textId="77777777" w:rsidR="0050261E" w:rsidRPr="00641704" w:rsidRDefault="0050261E" w:rsidP="00A15900">
      <w:pPr>
        <w:pStyle w:val="Sinespaciado"/>
        <w:spacing w:line="360" w:lineRule="auto"/>
        <w:jc w:val="center"/>
        <w:rPr>
          <w:rFonts w:ascii="Trebuchet MS" w:hAnsi="Trebuchet MS"/>
          <w:b/>
          <w:sz w:val="24"/>
          <w:szCs w:val="24"/>
          <w:lang w:eastAsia="ar-SA"/>
        </w:rPr>
      </w:pPr>
      <w:r w:rsidRPr="00641704">
        <w:rPr>
          <w:rFonts w:ascii="Trebuchet MS" w:hAnsi="Trebuchet MS" w:cs="Traditional Arabic"/>
          <w:b/>
          <w:sz w:val="24"/>
          <w:szCs w:val="24"/>
          <w:lang w:eastAsia="ar-SA"/>
        </w:rPr>
        <w:t>C O N S I D E R A N D O</w:t>
      </w:r>
    </w:p>
    <w:p w14:paraId="3291833A" w14:textId="77777777" w:rsidR="00684920" w:rsidRPr="00641704" w:rsidRDefault="00684920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1BE371B9" w14:textId="77777777" w:rsidR="000C7F80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b/>
          <w:sz w:val="24"/>
          <w:szCs w:val="24"/>
          <w:lang w:eastAsia="ar-SA"/>
        </w:rPr>
        <w:t>I. Del Instituto Electoral y de Participación Ciudadana del Estado de Jalisco.</w:t>
      </w:r>
      <w:r w:rsidRPr="00641704">
        <w:rPr>
          <w:rFonts w:ascii="Trebuchet MS" w:hAnsi="Trebuchet MS"/>
          <w:sz w:val="24"/>
          <w:szCs w:val="24"/>
          <w:lang w:eastAsia="ar-SA"/>
        </w:rPr>
        <w:t xml:space="preserve"> Es un organismo público autónomo, depositario de la autoridad electoral, de carácter permanente, independiente en sus decisiones y funcionamiento, profesional en su desempeño, dotado de personalidad jurídica y patrimonio propio;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</w:t>
      </w:r>
    </w:p>
    <w:p w14:paraId="13640F8E" w14:textId="7F8E7C3A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sz w:val="24"/>
          <w:szCs w:val="24"/>
          <w:lang w:eastAsia="ar-SA"/>
        </w:rPr>
        <w:tab/>
      </w:r>
    </w:p>
    <w:p w14:paraId="00B57901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sz w:val="24"/>
          <w:szCs w:val="24"/>
          <w:lang w:eastAsia="ar-SA"/>
        </w:rPr>
        <w:lastRenderedPageBreak/>
        <w:t>Lo anterior de conformidad con los artículos 41, base V, apartado C; y 116, base IV, inciso c), de la Constitución Política de los Estados Unidos Mexicanos; 12, bases III y IV, de la Constitución Política del Estado de Jalisco; 115 y 116, párrafo 1, del Código Electoral del Estado de Jalisco.</w:t>
      </w:r>
    </w:p>
    <w:p w14:paraId="4CEFDA9A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28A22B7A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eastAsia="MS Mincho" w:hAnsi="Trebuchet MS"/>
          <w:sz w:val="24"/>
          <w:szCs w:val="24"/>
          <w:lang w:eastAsia="es-MX"/>
        </w:rPr>
      </w:pPr>
      <w:r w:rsidRPr="00641704">
        <w:rPr>
          <w:rFonts w:ascii="Trebuchet MS" w:hAnsi="Trebuchet MS"/>
          <w:b/>
          <w:bCs/>
          <w:sz w:val="24"/>
          <w:szCs w:val="24"/>
          <w:lang w:eastAsia="ar-SA"/>
        </w:rPr>
        <w:t xml:space="preserve">II. </w:t>
      </w:r>
      <w:r w:rsidRPr="00641704">
        <w:rPr>
          <w:rFonts w:ascii="Trebuchet MS" w:hAnsi="Trebuchet MS"/>
          <w:b/>
          <w:sz w:val="24"/>
          <w:szCs w:val="24"/>
          <w:lang w:eastAsia="ar-SA"/>
        </w:rPr>
        <w:t>De la Comisión de Adquisiciones y Enajenaciones.</w:t>
      </w:r>
      <w:r w:rsidRPr="00641704">
        <w:rPr>
          <w:rFonts w:ascii="Trebuchet MS" w:hAnsi="Trebuchet MS"/>
          <w:sz w:val="24"/>
          <w:szCs w:val="24"/>
          <w:lang w:eastAsia="ar-SA"/>
        </w:rPr>
        <w:t xml:space="preserve"> La Comisión de Adquisiciones y Enajenaciones funciona permanentemente y tiene, entre otras, la atribución de realizar </w:t>
      </w:r>
      <w:r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el procedimiento de licitación a cargo de la Unidad Centralizada de Compras, siempre y cuando el monto </w:t>
      </w:r>
      <w:r w:rsidR="00015DBB"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del bien o servicio a contratar </w:t>
      </w:r>
      <w:r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exceda </w:t>
      </w:r>
      <w:r w:rsidR="00015DBB"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de </w:t>
      </w:r>
      <w:r w:rsidR="001430E5"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las </w:t>
      </w:r>
      <w:r w:rsidRPr="00641704">
        <w:rPr>
          <w:rFonts w:ascii="Trebuchet MS" w:eastAsia="MS Mincho" w:hAnsi="Trebuchet MS"/>
          <w:sz w:val="24"/>
          <w:szCs w:val="24"/>
          <w:lang w:eastAsia="es-MX"/>
        </w:rPr>
        <w:t>1,990 (mil novecientas noventa) Unidades de Medida y Actualización (UMA)</w:t>
      </w:r>
      <w:r w:rsidR="00015DBB" w:rsidRPr="00641704">
        <w:rPr>
          <w:rFonts w:ascii="Trebuchet MS" w:eastAsia="MS Mincho" w:hAnsi="Trebuchet MS"/>
          <w:sz w:val="24"/>
          <w:szCs w:val="24"/>
          <w:lang w:eastAsia="es-MX"/>
        </w:rPr>
        <w:t>,</w:t>
      </w:r>
      <w:r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 pero no sobrepase el importe de 13,250 (trece mil doscientas cincuenta), hasta en tanto comience la operación del Sistema Electrónico de Compras Gubernamentales y Contratación de Obra Pública</w:t>
      </w:r>
      <w:r w:rsidR="001430E5"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 (SECG)</w:t>
      </w:r>
      <w:r w:rsidRPr="00641704">
        <w:rPr>
          <w:rFonts w:ascii="Trebuchet MS" w:eastAsia="MS Mincho" w:hAnsi="Trebuchet MS"/>
          <w:sz w:val="24"/>
          <w:szCs w:val="24"/>
          <w:lang w:eastAsia="es-MX"/>
        </w:rPr>
        <w:t xml:space="preserve"> contemplado en la </w:t>
      </w:r>
      <w:r w:rsidRPr="00641704">
        <w:rPr>
          <w:rFonts w:ascii="Trebuchet MS" w:hAnsi="Trebuchet MS"/>
          <w:sz w:val="24"/>
          <w:szCs w:val="24"/>
          <w:lang w:eastAsia="ar-SA"/>
        </w:rPr>
        <w:t>Ley de Compras Gubernamentales, Enajenaciones y Contratación de Servicios del Estado de Jalisco y sus Municipios.</w:t>
      </w:r>
    </w:p>
    <w:p w14:paraId="706AAAFA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eastAsia="ar-SA"/>
        </w:rPr>
      </w:pPr>
    </w:p>
    <w:p w14:paraId="472E39D9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eastAsia="ar-SA"/>
        </w:rPr>
      </w:pPr>
      <w:r w:rsidRPr="00641704">
        <w:rPr>
          <w:rFonts w:ascii="Trebuchet MS" w:hAnsi="Trebuchet MS" w:cs="Traditional Arabic"/>
          <w:sz w:val="24"/>
          <w:szCs w:val="24"/>
          <w:lang w:eastAsia="ar-SA"/>
        </w:rPr>
        <w:t xml:space="preserve">Lo anterior atento a lo dispuesto en los numerales 72 de la Ley de Compras Gubernamentales, Enajenaciones y Contratación de Servicios del Estado de Jalisco y sus Municipios; 136, párrafo 2 del Código Electoral del Estado de Jalisco; y, </w:t>
      </w:r>
      <w:r w:rsidRPr="00641704">
        <w:rPr>
          <w:rFonts w:ascii="Trebuchet MS" w:hAnsi="Trebuchet MS"/>
          <w:sz w:val="24"/>
          <w:szCs w:val="24"/>
          <w:lang w:eastAsia="ar-SA"/>
        </w:rPr>
        <w:t>quinto transitorio, fracción II del Reglamento en Materia de Adquisiciones y Enajenaciones del Instituto Electoral y de Participación Ciudadana del Estado de Jalisco.</w:t>
      </w:r>
    </w:p>
    <w:p w14:paraId="536E0B94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eastAsia="ar-SA"/>
        </w:rPr>
      </w:pPr>
    </w:p>
    <w:p w14:paraId="3FBF0D20" w14:textId="0DA7DD2B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eastAsia="ar-SA"/>
        </w:rPr>
      </w:pPr>
      <w:r w:rsidRPr="00641704">
        <w:rPr>
          <w:rFonts w:ascii="Trebuchet MS" w:hAnsi="Trebuchet MS" w:cs="Calibri"/>
          <w:b/>
          <w:sz w:val="24"/>
          <w:szCs w:val="24"/>
          <w:lang w:eastAsia="ar-SA"/>
        </w:rPr>
        <w:t>III. De la presentación y apertura de sobres.</w:t>
      </w:r>
      <w:r w:rsidRPr="00641704">
        <w:rPr>
          <w:rFonts w:ascii="Trebuchet MS" w:hAnsi="Trebuchet MS" w:cs="Calibri"/>
          <w:sz w:val="24"/>
          <w:szCs w:val="24"/>
          <w:lang w:eastAsia="ar-SA"/>
        </w:rPr>
        <w:t xml:space="preserve"> En la sesión ordinaria a que alude el antecedente </w:t>
      </w:r>
      <w:r w:rsidR="001430E5" w:rsidRPr="00641704">
        <w:rPr>
          <w:rFonts w:ascii="Trebuchet MS" w:hAnsi="Trebuchet MS" w:cs="Calibri"/>
          <w:b/>
          <w:sz w:val="24"/>
          <w:szCs w:val="24"/>
          <w:lang w:eastAsia="ar-SA"/>
        </w:rPr>
        <w:t>8</w:t>
      </w:r>
      <w:r w:rsidRPr="00641704">
        <w:rPr>
          <w:rFonts w:ascii="Trebuchet MS" w:hAnsi="Trebuchet MS" w:cs="Calibri"/>
          <w:sz w:val="24"/>
          <w:szCs w:val="24"/>
          <w:lang w:eastAsia="ar-SA"/>
        </w:rPr>
        <w:t xml:space="preserve"> del presente acuerdo, se presentaron los sobres cerrados exhibidos por los interesados y se llevó a cabo la apertura de aquellos con las propuestas presentadas por los p</w:t>
      </w:r>
      <w:r w:rsidR="00A15900" w:rsidRPr="00641704">
        <w:rPr>
          <w:rFonts w:ascii="Trebuchet MS" w:hAnsi="Trebuchet MS" w:cs="Calibri"/>
          <w:sz w:val="24"/>
          <w:szCs w:val="24"/>
          <w:lang w:eastAsia="ar-SA"/>
        </w:rPr>
        <w:t xml:space="preserve">articipantes inscritos </w:t>
      </w:r>
      <w:r w:rsidR="00015DBB" w:rsidRPr="00641704">
        <w:rPr>
          <w:rFonts w:ascii="Trebuchet MS" w:hAnsi="Trebuchet MS" w:cs="Calibri"/>
          <w:sz w:val="24"/>
          <w:szCs w:val="24"/>
          <w:lang w:eastAsia="ar-SA"/>
        </w:rPr>
        <w:t xml:space="preserve">en el </w:t>
      </w:r>
      <w:r w:rsidR="001430E5" w:rsidRPr="00641704">
        <w:rPr>
          <w:rFonts w:ascii="Trebuchet MS" w:hAnsi="Trebuchet MS" w:cs="Calibri"/>
          <w:sz w:val="24"/>
          <w:szCs w:val="24"/>
          <w:lang w:eastAsia="ar-SA"/>
        </w:rPr>
        <w:t>Registro Único de P</w:t>
      </w:r>
      <w:r w:rsidRPr="00641704">
        <w:rPr>
          <w:rFonts w:ascii="Trebuchet MS" w:hAnsi="Trebuchet MS" w:cs="Calibri"/>
          <w:sz w:val="24"/>
          <w:szCs w:val="24"/>
          <w:lang w:eastAsia="ar-SA"/>
        </w:rPr>
        <w:t xml:space="preserve">roveedores </w:t>
      </w:r>
      <w:r w:rsidR="001430E5" w:rsidRPr="00641704">
        <w:rPr>
          <w:rFonts w:ascii="Trebuchet MS" w:hAnsi="Trebuchet MS" w:cs="Calibri"/>
          <w:sz w:val="24"/>
          <w:szCs w:val="24"/>
          <w:lang w:eastAsia="ar-SA"/>
        </w:rPr>
        <w:t xml:space="preserve">y Contratistas </w:t>
      </w:r>
      <w:r w:rsidRPr="00641704">
        <w:rPr>
          <w:rFonts w:ascii="Trebuchet MS" w:hAnsi="Trebuchet MS" w:cs="Calibri"/>
          <w:sz w:val="24"/>
          <w:szCs w:val="24"/>
          <w:lang w:eastAsia="ar-SA"/>
        </w:rPr>
        <w:t>del Gobierno del Estado, que se indican a continuación:</w:t>
      </w:r>
    </w:p>
    <w:p w14:paraId="1F674EBB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eastAsia="ar-SA"/>
        </w:rPr>
      </w:pPr>
      <w:r w:rsidRPr="00641704">
        <w:rPr>
          <w:rFonts w:ascii="Trebuchet MS" w:hAnsi="Trebuchet MS" w:cs="Calibri"/>
          <w:sz w:val="24"/>
          <w:szCs w:val="24"/>
          <w:lang w:eastAsia="ar-SA"/>
        </w:rPr>
        <w:lastRenderedPageBreak/>
        <w:tab/>
      </w:r>
    </w:p>
    <w:tbl>
      <w:tblPr>
        <w:tblW w:w="5000" w:type="pct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630"/>
        <w:gridCol w:w="4459"/>
        <w:gridCol w:w="1843"/>
        <w:gridCol w:w="1876"/>
      </w:tblGrid>
      <w:tr w:rsidR="0050261E" w:rsidRPr="00641704" w14:paraId="26C1B645" w14:textId="77777777" w:rsidTr="00015DBB">
        <w:trPr>
          <w:trHeight w:val="454"/>
          <w:jc w:val="center"/>
        </w:trPr>
        <w:tc>
          <w:tcPr>
            <w:tcW w:w="5000" w:type="pct"/>
            <w:gridSpan w:val="4"/>
            <w:shd w:val="clear" w:color="auto" w:fill="CCC0D9"/>
            <w:vAlign w:val="center"/>
            <w:hideMark/>
          </w:tcPr>
          <w:p w14:paraId="5944280F" w14:textId="77777777" w:rsidR="0050261E" w:rsidRPr="00641704" w:rsidRDefault="0050261E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LICITAC</w:t>
            </w:r>
            <w:r w:rsidR="001430E5"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IÓN PÚBLICA LOCAL IEPC-L-02</w:t>
            </w:r>
            <w:r w:rsidR="00015DBB" w:rsidRPr="00641704">
              <w:rPr>
                <w:rFonts w:ascii="Trebuchet MS" w:eastAsia="Times New Roman" w:hAnsi="Trebuchet MS" w:cs="Arial"/>
                <w:b/>
                <w:sz w:val="24"/>
                <w:szCs w:val="24"/>
                <w:lang w:eastAsia="ar-SA"/>
              </w:rPr>
              <w:t>/2020</w:t>
            </w:r>
          </w:p>
        </w:tc>
      </w:tr>
      <w:tr w:rsidR="00015DBB" w:rsidRPr="00641704" w14:paraId="797C3634" w14:textId="77777777" w:rsidTr="00E97668">
        <w:trPr>
          <w:trHeight w:val="454"/>
          <w:jc w:val="center"/>
        </w:trPr>
        <w:tc>
          <w:tcPr>
            <w:tcW w:w="358" w:type="pct"/>
            <w:shd w:val="clear" w:color="auto" w:fill="CCC0D9"/>
            <w:vAlign w:val="center"/>
            <w:hideMark/>
          </w:tcPr>
          <w:p w14:paraId="707A4157" w14:textId="77777777" w:rsidR="00015DBB" w:rsidRPr="00641704" w:rsidRDefault="00015DBB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  <w:t>No.</w:t>
            </w:r>
          </w:p>
        </w:tc>
        <w:tc>
          <w:tcPr>
            <w:tcW w:w="2531" w:type="pct"/>
            <w:shd w:val="clear" w:color="auto" w:fill="CCC0D9"/>
            <w:vAlign w:val="center"/>
            <w:hideMark/>
          </w:tcPr>
          <w:p w14:paraId="1D29A35D" w14:textId="77777777" w:rsidR="00015DBB" w:rsidRPr="00641704" w:rsidRDefault="00015DBB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  <w:t>Empresa</w:t>
            </w:r>
          </w:p>
        </w:tc>
        <w:tc>
          <w:tcPr>
            <w:tcW w:w="1046" w:type="pct"/>
            <w:shd w:val="clear" w:color="auto" w:fill="CCC0D9"/>
            <w:vAlign w:val="center"/>
            <w:hideMark/>
          </w:tcPr>
          <w:p w14:paraId="616CEAE5" w14:textId="77777777" w:rsidR="00015DBB" w:rsidRPr="00641704" w:rsidRDefault="00015DBB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  <w:t>Registro en el padrón de proveedores del Gobierno del Estado</w:t>
            </w:r>
            <w:r w:rsidRPr="00641704">
              <w:rPr>
                <w:rStyle w:val="Refdenotaalpie"/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  <w:footnoteReference w:id="3"/>
            </w:r>
          </w:p>
        </w:tc>
        <w:tc>
          <w:tcPr>
            <w:tcW w:w="1065" w:type="pct"/>
            <w:shd w:val="clear" w:color="auto" w:fill="CCC0D9"/>
            <w:vAlign w:val="center"/>
          </w:tcPr>
          <w:p w14:paraId="2A7C314E" w14:textId="77777777" w:rsidR="00015DBB" w:rsidRPr="00641704" w:rsidRDefault="00015DBB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b/>
                <w:sz w:val="24"/>
                <w:szCs w:val="24"/>
                <w:lang w:eastAsia="ar-SA"/>
              </w:rPr>
              <w:t>Registro en el padrón de proveedores del IEPC</w:t>
            </w:r>
          </w:p>
        </w:tc>
      </w:tr>
      <w:tr w:rsidR="00015DBB" w:rsidRPr="00641704" w14:paraId="69E9573C" w14:textId="77777777" w:rsidTr="00E97668">
        <w:trPr>
          <w:trHeight w:val="454"/>
          <w:jc w:val="center"/>
        </w:trPr>
        <w:tc>
          <w:tcPr>
            <w:tcW w:w="358" w:type="pct"/>
            <w:shd w:val="clear" w:color="auto" w:fill="D6C1FF"/>
            <w:vAlign w:val="center"/>
            <w:hideMark/>
          </w:tcPr>
          <w:p w14:paraId="2D3863ED" w14:textId="77777777" w:rsidR="00015DBB" w:rsidRPr="00641704" w:rsidRDefault="00E55AC7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31" w:type="pct"/>
            <w:shd w:val="clear" w:color="auto" w:fill="D6C1FF"/>
            <w:vAlign w:val="center"/>
            <w:hideMark/>
          </w:tcPr>
          <w:p w14:paraId="675E3876" w14:textId="77777777" w:rsidR="00015DBB" w:rsidRPr="00641704" w:rsidRDefault="001430E5" w:rsidP="00A15900">
            <w:pPr>
              <w:suppressAutoHyphens/>
              <w:spacing w:after="0" w:line="360" w:lineRule="auto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Axa Seguros, S.A. de C.V.</w:t>
            </w:r>
          </w:p>
        </w:tc>
        <w:tc>
          <w:tcPr>
            <w:tcW w:w="1046" w:type="pct"/>
            <w:shd w:val="clear" w:color="auto" w:fill="D6C1FF"/>
            <w:vAlign w:val="center"/>
            <w:hideMark/>
          </w:tcPr>
          <w:p w14:paraId="24A8FE01" w14:textId="77777777" w:rsidR="00015DBB" w:rsidRPr="00641704" w:rsidRDefault="001430E5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P13604</w:t>
            </w:r>
          </w:p>
        </w:tc>
        <w:tc>
          <w:tcPr>
            <w:tcW w:w="1065" w:type="pct"/>
            <w:shd w:val="clear" w:color="auto" w:fill="D6C1FF"/>
            <w:vAlign w:val="center"/>
          </w:tcPr>
          <w:p w14:paraId="02253EDD" w14:textId="77777777" w:rsidR="00015DBB" w:rsidRPr="00641704" w:rsidRDefault="001430E5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-</w:t>
            </w:r>
          </w:p>
        </w:tc>
      </w:tr>
      <w:tr w:rsidR="00015DBB" w:rsidRPr="00641704" w14:paraId="6A17C26F" w14:textId="77777777" w:rsidTr="00E97668">
        <w:trPr>
          <w:trHeight w:val="454"/>
          <w:jc w:val="center"/>
        </w:trPr>
        <w:tc>
          <w:tcPr>
            <w:tcW w:w="358" w:type="pct"/>
            <w:shd w:val="clear" w:color="auto" w:fill="E8DDFF"/>
            <w:vAlign w:val="center"/>
            <w:hideMark/>
          </w:tcPr>
          <w:p w14:paraId="37C4866C" w14:textId="77777777" w:rsidR="00015DBB" w:rsidRPr="00641704" w:rsidRDefault="00E55AC7" w:rsidP="00A15900">
            <w:pPr>
              <w:tabs>
                <w:tab w:val="left" w:pos="990"/>
              </w:tabs>
              <w:suppressAutoHyphens/>
              <w:snapToGrid w:val="0"/>
              <w:spacing w:after="0" w:line="360" w:lineRule="auto"/>
              <w:jc w:val="center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31" w:type="pct"/>
            <w:shd w:val="clear" w:color="auto" w:fill="E8DDFF"/>
            <w:vAlign w:val="center"/>
            <w:hideMark/>
          </w:tcPr>
          <w:p w14:paraId="09659DC0" w14:textId="77777777" w:rsidR="00015DBB" w:rsidRPr="00641704" w:rsidRDefault="001430E5" w:rsidP="00A15900">
            <w:pPr>
              <w:suppressAutoHyphens/>
              <w:spacing w:after="0" w:line="360" w:lineRule="auto"/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</w:pPr>
            <w:r w:rsidRPr="00641704">
              <w:rPr>
                <w:rFonts w:ascii="Trebuchet MS" w:eastAsia="Times New Roman" w:hAnsi="Trebuchet MS" w:cs="Calibri"/>
                <w:sz w:val="24"/>
                <w:szCs w:val="24"/>
                <w:lang w:eastAsia="ar-SA"/>
              </w:rPr>
              <w:t>Seguros Sura, S.A. DE C.V.</w:t>
            </w:r>
          </w:p>
        </w:tc>
        <w:tc>
          <w:tcPr>
            <w:tcW w:w="1046" w:type="pct"/>
            <w:shd w:val="clear" w:color="auto" w:fill="E8DDFF"/>
            <w:vAlign w:val="center"/>
          </w:tcPr>
          <w:p w14:paraId="1A61914A" w14:textId="77777777" w:rsidR="00015DBB" w:rsidRPr="00641704" w:rsidRDefault="001430E5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P27269</w:t>
            </w:r>
          </w:p>
        </w:tc>
        <w:tc>
          <w:tcPr>
            <w:tcW w:w="1065" w:type="pct"/>
            <w:shd w:val="clear" w:color="auto" w:fill="E8DDFF"/>
            <w:vAlign w:val="center"/>
          </w:tcPr>
          <w:p w14:paraId="2C0F82C0" w14:textId="77777777" w:rsidR="00015DBB" w:rsidRPr="00641704" w:rsidRDefault="001430E5" w:rsidP="00A15900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</w:pPr>
            <w:r w:rsidRPr="00641704">
              <w:rPr>
                <w:rFonts w:ascii="Trebuchet MS" w:eastAsia="Times New Roman" w:hAnsi="Trebuchet MS" w:cs="Times New Roman"/>
                <w:sz w:val="24"/>
                <w:szCs w:val="24"/>
                <w:lang w:eastAsia="es-MX"/>
              </w:rPr>
              <w:t>-</w:t>
            </w:r>
          </w:p>
        </w:tc>
      </w:tr>
    </w:tbl>
    <w:p w14:paraId="2C8B0F7E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6DDE0F37" w14:textId="51527B05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b/>
          <w:sz w:val="24"/>
          <w:szCs w:val="24"/>
          <w:lang w:eastAsia="ar-SA"/>
        </w:rPr>
      </w:pPr>
      <w:r w:rsidRPr="00641704">
        <w:rPr>
          <w:rFonts w:ascii="Trebuchet MS" w:hAnsi="Trebuchet MS"/>
          <w:sz w:val="24"/>
          <w:szCs w:val="24"/>
          <w:lang w:eastAsia="ar-SA"/>
        </w:rPr>
        <w:t xml:space="preserve">La cotización del servicio materia de la licitación, formulada por el proveedor </w:t>
      </w:r>
      <w:r w:rsidR="00E55AC7" w:rsidRPr="00641704">
        <w:rPr>
          <w:rFonts w:ascii="Trebuchet MS" w:hAnsi="Trebuchet MS"/>
          <w:b/>
          <w:sz w:val="24"/>
          <w:szCs w:val="24"/>
          <w:lang w:eastAsia="ar-SA"/>
        </w:rPr>
        <w:t>Axa</w:t>
      </w:r>
      <w:r w:rsidR="00E55AC7" w:rsidRPr="00641704">
        <w:rPr>
          <w:rFonts w:ascii="Trebuchet MS" w:hAnsi="Trebuchet MS"/>
          <w:sz w:val="24"/>
          <w:szCs w:val="24"/>
          <w:lang w:eastAsia="ar-SA"/>
        </w:rPr>
        <w:t xml:space="preserve"> </w:t>
      </w:r>
      <w:r w:rsidR="00E55AC7" w:rsidRPr="00641704">
        <w:rPr>
          <w:rFonts w:ascii="Trebuchet MS" w:hAnsi="Trebuchet MS"/>
          <w:b/>
          <w:sz w:val="24"/>
          <w:szCs w:val="24"/>
          <w:lang w:eastAsia="ar-SA"/>
        </w:rPr>
        <w:t>Seguros, S.A. de C.V.</w:t>
      </w:r>
      <w:r w:rsidR="00E55AC7" w:rsidRPr="00641704">
        <w:rPr>
          <w:rFonts w:ascii="Trebuchet MS" w:hAnsi="Trebuchet MS"/>
          <w:sz w:val="24"/>
          <w:szCs w:val="24"/>
          <w:lang w:eastAsia="ar-SA"/>
        </w:rPr>
        <w:t xml:space="preserve">, </w:t>
      </w:r>
      <w:r w:rsidR="00A15900" w:rsidRPr="00641704">
        <w:rPr>
          <w:rFonts w:ascii="Trebuchet MS" w:hAnsi="Trebuchet MS"/>
          <w:sz w:val="24"/>
          <w:szCs w:val="24"/>
          <w:lang w:eastAsia="ar-SA"/>
        </w:rPr>
        <w:t xml:space="preserve">fue </w:t>
      </w:r>
      <w:r w:rsidR="00E55AC7" w:rsidRPr="00641704">
        <w:rPr>
          <w:rFonts w:ascii="Trebuchet MS" w:hAnsi="Trebuchet MS"/>
          <w:sz w:val="24"/>
          <w:szCs w:val="24"/>
          <w:lang w:eastAsia="ar-SA"/>
        </w:rPr>
        <w:t xml:space="preserve">por el importe de </w:t>
      </w:r>
      <w:r w:rsidR="00E55AC7" w:rsidRPr="00641704">
        <w:rPr>
          <w:rFonts w:ascii="Trebuchet MS" w:hAnsi="Trebuchet MS" w:cs="Calibri"/>
          <w:b/>
          <w:bCs/>
          <w:color w:val="000000"/>
          <w:sz w:val="24"/>
          <w:szCs w:val="24"/>
        </w:rPr>
        <w:t>$973,689.90</w:t>
      </w:r>
      <w:r w:rsidR="00E55AC7" w:rsidRPr="00641704">
        <w:rPr>
          <w:rFonts w:ascii="Trebuchet MS" w:hAnsi="Trebuchet MS"/>
          <w:b/>
          <w:sz w:val="24"/>
          <w:szCs w:val="24"/>
          <w:lang w:eastAsia="ar-SA"/>
        </w:rPr>
        <w:t xml:space="preserve"> (novecientos setenta y tres mil seiscientos ochenta y nueve pesos 90</w:t>
      </w:r>
      <w:r w:rsidR="00A15900"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>/100 M.N.)</w:t>
      </w:r>
      <w:r w:rsidR="00A15900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>, mientras que la propuesta de la compañía de</w:t>
      </w:r>
      <w:r w:rsidR="00E55AC7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 </w:t>
      </w:r>
      <w:r w:rsidR="00EA72E1" w:rsidRPr="00641704">
        <w:rPr>
          <w:rFonts w:ascii="Trebuchet MS" w:hAnsi="Trebuchet MS"/>
          <w:b/>
          <w:sz w:val="24"/>
          <w:szCs w:val="24"/>
          <w:lang w:eastAsia="ar-SA"/>
        </w:rPr>
        <w:t>Seguros de Vida Sura México, S.A. DE C.V.,</w:t>
      </w:r>
      <w:r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 </w:t>
      </w:r>
      <w:r w:rsidR="00A15900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fue </w:t>
      </w:r>
      <w:r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por el importe de </w:t>
      </w:r>
      <w:r w:rsidR="00E55AC7" w:rsidRPr="00641704">
        <w:rPr>
          <w:rFonts w:ascii="Trebuchet MS" w:hAnsi="Trebuchet MS" w:cs="Calibri"/>
          <w:b/>
          <w:bCs/>
          <w:color w:val="000000"/>
          <w:sz w:val="24"/>
          <w:szCs w:val="24"/>
        </w:rPr>
        <w:t>$432,570.16</w:t>
      </w:r>
      <w:r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 xml:space="preserve"> (</w:t>
      </w:r>
      <w:r w:rsidR="00165B53"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 xml:space="preserve">cuatrocientos treinta </w:t>
      </w:r>
      <w:r w:rsidR="00E55AC7"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 xml:space="preserve">y dos mil quinientos setenta </w:t>
      </w:r>
      <w:r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 xml:space="preserve">pesos </w:t>
      </w:r>
      <w:r w:rsidR="00E55AC7"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>16</w:t>
      </w:r>
      <w:r w:rsidRPr="00641704">
        <w:rPr>
          <w:rFonts w:ascii="Trebuchet MS" w:hAnsi="Trebuchet MS"/>
          <w:b/>
          <w:bCs/>
          <w:color w:val="000000"/>
          <w:sz w:val="24"/>
          <w:szCs w:val="24"/>
          <w:lang w:eastAsia="ar-SA"/>
        </w:rPr>
        <w:t>/100 M.N.)</w:t>
      </w:r>
      <w:r w:rsidR="00E55AC7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>.</w:t>
      </w:r>
      <w:r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 </w:t>
      </w:r>
    </w:p>
    <w:p w14:paraId="7AFAA4E4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7C94BF07" w14:textId="7E919B9E" w:rsidR="00A654A5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  <w:r w:rsidRPr="00641704">
        <w:rPr>
          <w:rFonts w:ascii="Trebuchet MS" w:hAnsi="Trebuchet MS"/>
          <w:sz w:val="24"/>
          <w:szCs w:val="24"/>
          <w:lang w:eastAsia="ar-SA"/>
        </w:rPr>
        <w:t xml:space="preserve">Luego, una vez que </w:t>
      </w:r>
      <w:r w:rsidRPr="00641704">
        <w:rPr>
          <w:rFonts w:ascii="Trebuchet MS" w:hAnsi="Trebuchet MS" w:cs="Arial"/>
          <w:sz w:val="24"/>
          <w:szCs w:val="24"/>
          <w:lang w:eastAsia="ar-SA"/>
        </w:rPr>
        <w:t>el área requirente</w:t>
      </w:r>
      <w:r w:rsidRPr="00641704">
        <w:rPr>
          <w:rFonts w:ascii="Trebuchet MS" w:hAnsi="Trebuchet MS"/>
          <w:sz w:val="24"/>
          <w:szCs w:val="24"/>
          <w:lang w:eastAsia="ar-SA"/>
        </w:rPr>
        <w:t xml:space="preserve"> realizó la </w:t>
      </w:r>
      <w:r w:rsidRPr="00641704">
        <w:rPr>
          <w:rFonts w:ascii="Trebuchet MS" w:hAnsi="Trebuchet MS" w:cs="Arial"/>
          <w:sz w:val="24"/>
          <w:szCs w:val="24"/>
          <w:lang w:eastAsia="ar-SA"/>
        </w:rPr>
        <w:t>evaluación de las propuestas,</w:t>
      </w:r>
      <w:r w:rsidRPr="00641704">
        <w:rPr>
          <w:rFonts w:ascii="Trebuchet MS" w:hAnsi="Trebuchet MS"/>
          <w:sz w:val="24"/>
          <w:szCs w:val="24"/>
          <w:lang w:eastAsia="ar-SA"/>
        </w:rPr>
        <w:t xml:space="preserve"> se determinó que</w:t>
      </w:r>
      <w:r w:rsidR="00EA72E1" w:rsidRPr="00641704">
        <w:rPr>
          <w:rFonts w:ascii="Trebuchet MS" w:hAnsi="Trebuchet MS"/>
          <w:sz w:val="24"/>
          <w:szCs w:val="24"/>
          <w:lang w:eastAsia="ar-SA"/>
        </w:rPr>
        <w:t xml:space="preserve"> las </w:t>
      </w:r>
      <w:r w:rsidR="00E55AC7" w:rsidRPr="00641704">
        <w:rPr>
          <w:rFonts w:ascii="Trebuchet MS" w:hAnsi="Trebuchet MS"/>
          <w:sz w:val="24"/>
          <w:szCs w:val="24"/>
          <w:lang w:eastAsia="ar-SA"/>
        </w:rPr>
        <w:t>dos excedieron</w:t>
      </w:r>
      <w:r w:rsidR="00A654A5" w:rsidRPr="00641704">
        <w:rPr>
          <w:rFonts w:ascii="Trebuchet MS" w:hAnsi="Trebuchet MS"/>
          <w:sz w:val="24"/>
          <w:szCs w:val="24"/>
          <w:lang w:eastAsia="ar-SA"/>
        </w:rPr>
        <w:t xml:space="preserve"> el techo presupuestal</w:t>
      </w:r>
      <w:r w:rsidR="008854EE" w:rsidRPr="00641704">
        <w:rPr>
          <w:rFonts w:ascii="Trebuchet MS" w:hAnsi="Trebuchet MS"/>
          <w:sz w:val="24"/>
          <w:szCs w:val="24"/>
          <w:lang w:eastAsia="ar-SA"/>
        </w:rPr>
        <w:t>,</w:t>
      </w:r>
      <w:r w:rsidR="00015DBB" w:rsidRPr="00641704">
        <w:rPr>
          <w:rFonts w:ascii="Trebuchet MS" w:hAnsi="Trebuchet MS"/>
          <w:sz w:val="24"/>
          <w:szCs w:val="24"/>
          <w:lang w:eastAsia="ar-SA"/>
        </w:rPr>
        <w:t xml:space="preserve"> que para la contratación del servicio licitado es de $293,887.00 (Doscientos noventa y tres mil ochocientos och</w:t>
      </w:r>
      <w:r w:rsidR="00A15900" w:rsidRPr="00641704">
        <w:rPr>
          <w:rFonts w:ascii="Trebuchet MS" w:hAnsi="Trebuchet MS"/>
          <w:sz w:val="24"/>
          <w:szCs w:val="24"/>
          <w:lang w:eastAsia="ar-SA"/>
        </w:rPr>
        <w:t xml:space="preserve">enta y siete pesos 00/100 M.N.), de acuerdo al contenido de la requisición que la Dirección de Administración y Finanzas dirigió a la Comisión.  </w:t>
      </w:r>
    </w:p>
    <w:p w14:paraId="717167A6" w14:textId="77777777" w:rsidR="00681766" w:rsidRPr="00641704" w:rsidRDefault="00681766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eastAsia="ar-SA"/>
        </w:rPr>
      </w:pPr>
    </w:p>
    <w:p w14:paraId="26A2521A" w14:textId="71DB197B" w:rsidR="009C45F3" w:rsidRPr="00641704" w:rsidRDefault="00681766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641704">
        <w:rPr>
          <w:rFonts w:ascii="Trebuchet MS" w:hAnsi="Trebuchet MS"/>
          <w:sz w:val="24"/>
          <w:szCs w:val="24"/>
          <w:lang w:eastAsia="ar-SA"/>
        </w:rPr>
        <w:t>Por lo tanto</w:t>
      </w:r>
      <w:r w:rsidR="0050261E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, tomando en consideración que en el procedimiento de licitación seguido </w:t>
      </w:r>
      <w:r w:rsidR="0050261E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para la adquisición de 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>8</w:t>
      </w:r>
      <w:r w:rsidR="0050261E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1 pólizas de seguro de vida para el personal y </w:t>
      </w:r>
      <w:r w:rsidR="0050261E" w:rsidRPr="00641704">
        <w:rPr>
          <w:rFonts w:ascii="Trebuchet MS" w:hAnsi="Trebuchet MS" w:cs="Times New Roman"/>
          <w:sz w:val="24"/>
          <w:szCs w:val="24"/>
          <w:lang w:eastAsia="ar-SA"/>
        </w:rPr>
        <w:lastRenderedPageBreak/>
        <w:t xml:space="preserve">funcionarios del Instituto Electoral y de Participación </w:t>
      </w:r>
      <w:r w:rsidR="00641704" w:rsidRPr="00641704">
        <w:rPr>
          <w:rFonts w:ascii="Trebuchet MS" w:hAnsi="Trebuchet MS" w:cs="Times New Roman"/>
          <w:sz w:val="24"/>
          <w:szCs w:val="24"/>
          <w:lang w:eastAsia="ar-SA"/>
        </w:rPr>
        <w:t>Ciudadana del Estado de Jalisco;</w:t>
      </w:r>
      <w:r w:rsidR="0050261E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 </w:t>
      </w:r>
      <w:r w:rsidR="00641704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servicio </w:t>
      </w:r>
      <w:r w:rsidR="0050261E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requerido por la Dirección de Administración y Finanzas, se </w:t>
      </w:r>
      <w:r w:rsidR="009C45F3" w:rsidRPr="00641704">
        <w:rPr>
          <w:rFonts w:ascii="Trebuchet MS" w:hAnsi="Trebuchet MS"/>
          <w:bCs/>
          <w:color w:val="000000"/>
          <w:sz w:val="24"/>
          <w:szCs w:val="24"/>
          <w:lang w:eastAsia="ar-SA"/>
        </w:rPr>
        <w:t xml:space="preserve">determinó que </w:t>
      </w:r>
      <w:r w:rsidR="009C45F3" w:rsidRPr="00641704">
        <w:rPr>
          <w:rFonts w:ascii="Trebuchet MS" w:hAnsi="Trebuchet MS"/>
          <w:sz w:val="24"/>
          <w:szCs w:val="24"/>
        </w:rPr>
        <w:t xml:space="preserve">las dos propuestas </w:t>
      </w:r>
      <w:r w:rsidR="00641704" w:rsidRPr="00641704">
        <w:rPr>
          <w:rFonts w:ascii="Trebuchet MS" w:hAnsi="Trebuchet MS"/>
          <w:sz w:val="24"/>
          <w:szCs w:val="24"/>
        </w:rPr>
        <w:t>formuladas</w:t>
      </w:r>
      <w:r w:rsidR="009C45F3" w:rsidRPr="00641704">
        <w:rPr>
          <w:rFonts w:ascii="Trebuchet MS" w:hAnsi="Trebuchet MS"/>
          <w:sz w:val="24"/>
          <w:szCs w:val="24"/>
        </w:rPr>
        <w:t xml:space="preserve"> en el presente procedimiento exceden la suficiencia presupuestal contemplada en la requisición que formuló la Dirección de Administración y Finanzas de </w:t>
      </w:r>
      <w:r w:rsidR="00165B53" w:rsidRPr="00641704">
        <w:rPr>
          <w:rFonts w:ascii="Trebuchet MS" w:hAnsi="Trebuchet MS"/>
          <w:sz w:val="24"/>
          <w:szCs w:val="24"/>
        </w:rPr>
        <w:t>e</w:t>
      </w:r>
      <w:r w:rsidR="009C45F3" w:rsidRPr="00641704">
        <w:rPr>
          <w:rFonts w:ascii="Trebuchet MS" w:hAnsi="Trebuchet MS"/>
          <w:sz w:val="24"/>
          <w:szCs w:val="24"/>
        </w:rPr>
        <w:t>ste organismo electoral</w:t>
      </w:r>
      <w:r w:rsidR="00641704" w:rsidRPr="00641704">
        <w:rPr>
          <w:rFonts w:ascii="Trebuchet MS" w:hAnsi="Trebuchet MS"/>
          <w:sz w:val="24"/>
          <w:szCs w:val="24"/>
        </w:rPr>
        <w:t xml:space="preserve">, en consecuencia deberá de </w:t>
      </w:r>
      <w:r w:rsidR="009C45F3" w:rsidRPr="00641704">
        <w:rPr>
          <w:rFonts w:ascii="Trebuchet MS" w:hAnsi="Trebuchet MS"/>
          <w:sz w:val="24"/>
          <w:szCs w:val="24"/>
        </w:rPr>
        <w:t>declara</w:t>
      </w:r>
      <w:r w:rsidR="00641704" w:rsidRPr="00641704">
        <w:rPr>
          <w:rFonts w:ascii="Trebuchet MS" w:hAnsi="Trebuchet MS"/>
          <w:sz w:val="24"/>
          <w:szCs w:val="24"/>
        </w:rPr>
        <w:t>rse</w:t>
      </w:r>
      <w:r w:rsidR="009C45F3" w:rsidRPr="00641704">
        <w:rPr>
          <w:rFonts w:ascii="Trebuchet MS" w:hAnsi="Trebuchet MS"/>
          <w:sz w:val="24"/>
          <w:szCs w:val="24"/>
        </w:rPr>
        <w:t xml:space="preserve"> </w:t>
      </w:r>
      <w:r w:rsidR="009C45F3" w:rsidRPr="00641704">
        <w:rPr>
          <w:rFonts w:ascii="Trebuchet MS" w:hAnsi="Trebuchet MS"/>
          <w:b/>
          <w:sz w:val="24"/>
          <w:szCs w:val="24"/>
        </w:rPr>
        <w:t>DESIERTO</w:t>
      </w:r>
      <w:r w:rsidR="009C45F3" w:rsidRPr="00641704">
        <w:rPr>
          <w:rFonts w:ascii="Trebuchet MS" w:hAnsi="Trebuchet MS"/>
          <w:sz w:val="24"/>
          <w:szCs w:val="24"/>
        </w:rPr>
        <w:t xml:space="preserve"> el procedimiento de Licitación Pública Local identificado con la clave  </w:t>
      </w:r>
      <w:r w:rsidR="009C45F3" w:rsidRPr="00641704">
        <w:rPr>
          <w:rFonts w:ascii="Trebuchet MS" w:hAnsi="Trebuchet MS" w:cs="Arial"/>
          <w:b/>
          <w:sz w:val="24"/>
          <w:szCs w:val="24"/>
          <w:lang w:eastAsia="ar-SA"/>
        </w:rPr>
        <w:t>IEPC-L-02/2020</w:t>
      </w:r>
      <w:r w:rsidR="009C45F3" w:rsidRPr="00641704">
        <w:rPr>
          <w:rFonts w:ascii="Trebuchet MS" w:hAnsi="Trebuchet MS"/>
          <w:sz w:val="24"/>
          <w:szCs w:val="24"/>
        </w:rPr>
        <w:t>.</w:t>
      </w:r>
    </w:p>
    <w:p w14:paraId="3C348098" w14:textId="77777777" w:rsidR="009C45F3" w:rsidRPr="00641704" w:rsidRDefault="009C45F3" w:rsidP="00A15900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45361631" w14:textId="230C5D25" w:rsidR="00227391" w:rsidRPr="00641704" w:rsidRDefault="007F610D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eastAsia="ar-SA"/>
        </w:rPr>
      </w:pPr>
      <w:r w:rsidRPr="00641704">
        <w:rPr>
          <w:rFonts w:ascii="Trebuchet MS" w:hAnsi="Trebuchet MS"/>
          <w:sz w:val="24"/>
          <w:szCs w:val="24"/>
        </w:rPr>
        <w:t xml:space="preserve">En consecuencia, </w:t>
      </w:r>
      <w:r w:rsidR="00641704" w:rsidRPr="00641704">
        <w:rPr>
          <w:rFonts w:ascii="Trebuchet MS" w:hAnsi="Trebuchet MS"/>
          <w:sz w:val="24"/>
          <w:szCs w:val="24"/>
        </w:rPr>
        <w:t xml:space="preserve">deberá de </w:t>
      </w:r>
      <w:r w:rsidR="009C45F3" w:rsidRPr="00641704">
        <w:rPr>
          <w:rFonts w:ascii="Trebuchet MS" w:hAnsi="Trebuchet MS"/>
          <w:sz w:val="24"/>
          <w:szCs w:val="24"/>
        </w:rPr>
        <w:t>remit</w:t>
      </w:r>
      <w:r w:rsidR="00641704" w:rsidRPr="00641704">
        <w:rPr>
          <w:rFonts w:ascii="Trebuchet MS" w:hAnsi="Trebuchet MS"/>
          <w:sz w:val="24"/>
          <w:szCs w:val="24"/>
        </w:rPr>
        <w:t>irs</w:t>
      </w:r>
      <w:r w:rsidR="009C45F3" w:rsidRPr="00641704">
        <w:rPr>
          <w:rFonts w:ascii="Trebuchet MS" w:hAnsi="Trebuchet MS"/>
          <w:sz w:val="24"/>
          <w:szCs w:val="24"/>
        </w:rPr>
        <w:t>e la requisición a la Unidad Centralizada de Compras para que realice, a la mayor brevedad posible, la ad</w:t>
      </w:r>
      <w:r w:rsidR="00641704" w:rsidRPr="00641704">
        <w:rPr>
          <w:rFonts w:ascii="Trebuchet MS" w:hAnsi="Trebuchet MS"/>
          <w:sz w:val="24"/>
          <w:szCs w:val="24"/>
        </w:rPr>
        <w:t xml:space="preserve">quisición del servicio </w:t>
      </w:r>
      <w:r w:rsidR="009C45F3" w:rsidRPr="00641704">
        <w:rPr>
          <w:rFonts w:ascii="Trebuchet MS" w:hAnsi="Trebuchet MS"/>
          <w:sz w:val="24"/>
          <w:szCs w:val="24"/>
        </w:rPr>
        <w:t>en forma directa</w:t>
      </w:r>
      <w:r w:rsidR="00227391" w:rsidRPr="00641704">
        <w:rPr>
          <w:rFonts w:ascii="Trebuchet MS" w:hAnsi="Trebuchet MS" w:cs="Times New Roman"/>
          <w:sz w:val="24"/>
          <w:szCs w:val="24"/>
          <w:lang w:eastAsia="ar-SA"/>
        </w:rPr>
        <w:t>.</w:t>
      </w:r>
    </w:p>
    <w:p w14:paraId="46FE40E0" w14:textId="77777777" w:rsidR="00227391" w:rsidRPr="00641704" w:rsidRDefault="00227391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val="es-ES_tradnl" w:eastAsia="ar-SA"/>
        </w:rPr>
      </w:pPr>
    </w:p>
    <w:p w14:paraId="230B9A82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eastAsia="ar-SA"/>
        </w:rPr>
      </w:pPr>
      <w:r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En </w:t>
      </w:r>
      <w:r w:rsidR="00927087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dichos 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términos </w:t>
      </w:r>
      <w:r w:rsidR="00927087" w:rsidRPr="00641704">
        <w:rPr>
          <w:rFonts w:ascii="Trebuchet MS" w:hAnsi="Trebuchet MS" w:cs="Times New Roman"/>
          <w:sz w:val="24"/>
          <w:szCs w:val="24"/>
          <w:lang w:eastAsia="ar-SA"/>
        </w:rPr>
        <w:t>y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, conforme lo dispuesto por los artículos </w:t>
      </w:r>
      <w:r w:rsidRPr="00641704">
        <w:rPr>
          <w:rFonts w:ascii="Trebuchet MS" w:hAnsi="Trebuchet MS" w:cs="Arial"/>
          <w:bCs/>
          <w:sz w:val="24"/>
          <w:szCs w:val="24"/>
          <w:lang w:eastAsia="ar-SA"/>
        </w:rPr>
        <w:t>116, fracción IV, inciso c), y 134  de la Constitución Política de los Estados Unidos Mexicanos; 98, párrafo 1 de la Ley General de Instituciones y Procedimientos Electorales; 12, bases III y IV de la Constitución Política del Estado de Jalisco; 116 y 136 del Código Electoral del Estado de Jalisco</w:t>
      </w:r>
      <w:r w:rsidRPr="00641704">
        <w:rPr>
          <w:rFonts w:ascii="Trebuchet MS" w:hAnsi="Trebuchet MS" w:cs="Arial"/>
          <w:sz w:val="24"/>
          <w:szCs w:val="24"/>
          <w:lang w:eastAsia="ar-SA"/>
        </w:rPr>
        <w:t>, así como el artículo quinto transitorio, fracción II del Reglamento en Materia de Adquisiciones y Enajenaciones del Instituto Electoral y de Participación Ciudadana del Estado de Jalisco, esta Comisión emite el siguiente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 </w:t>
      </w:r>
    </w:p>
    <w:p w14:paraId="0F332B7F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raditional Arabic"/>
          <w:b/>
          <w:sz w:val="24"/>
          <w:szCs w:val="24"/>
          <w:lang w:eastAsia="ar-SA"/>
        </w:rPr>
      </w:pPr>
    </w:p>
    <w:p w14:paraId="39185871" w14:textId="77777777" w:rsidR="0050261E" w:rsidRPr="00641704" w:rsidRDefault="0050261E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sz w:val="24"/>
          <w:szCs w:val="24"/>
          <w:lang w:eastAsia="ar-SA"/>
        </w:rPr>
      </w:pPr>
      <w:r w:rsidRPr="00641704">
        <w:rPr>
          <w:rFonts w:ascii="Trebuchet MS" w:hAnsi="Trebuchet MS" w:cs="Traditional Arabic"/>
          <w:b/>
          <w:sz w:val="24"/>
          <w:szCs w:val="24"/>
          <w:lang w:eastAsia="ar-SA"/>
        </w:rPr>
        <w:t>A C U E R D O</w:t>
      </w:r>
      <w:r w:rsidR="007F610D" w:rsidRPr="00641704">
        <w:rPr>
          <w:rFonts w:ascii="Trebuchet MS" w:hAnsi="Trebuchet MS" w:cs="Traditional Arabic"/>
          <w:b/>
          <w:sz w:val="24"/>
          <w:szCs w:val="24"/>
          <w:lang w:eastAsia="ar-SA"/>
        </w:rPr>
        <w:t>:</w:t>
      </w:r>
    </w:p>
    <w:p w14:paraId="7605AE74" w14:textId="77777777" w:rsidR="007F610D" w:rsidRPr="00641704" w:rsidRDefault="007F610D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sz w:val="24"/>
          <w:szCs w:val="24"/>
          <w:lang w:eastAsia="ar-SA"/>
        </w:rPr>
      </w:pPr>
    </w:p>
    <w:p w14:paraId="53029C50" w14:textId="4551A7E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eastAsia="ar-SA"/>
        </w:rPr>
      </w:pPr>
      <w:r w:rsidRPr="00641704">
        <w:rPr>
          <w:rFonts w:ascii="Trebuchet MS" w:hAnsi="Trebuchet MS" w:cs="Times New Roman"/>
          <w:b/>
          <w:sz w:val="24"/>
          <w:szCs w:val="24"/>
          <w:lang w:eastAsia="ar-SA"/>
        </w:rPr>
        <w:t>P</w:t>
      </w:r>
      <w:r w:rsidR="008854EE" w:rsidRPr="00641704">
        <w:rPr>
          <w:rFonts w:ascii="Trebuchet MS" w:hAnsi="Trebuchet MS" w:cs="Times New Roman"/>
          <w:b/>
          <w:sz w:val="24"/>
          <w:szCs w:val="24"/>
          <w:lang w:eastAsia="ar-SA"/>
        </w:rPr>
        <w:t>rimero</w:t>
      </w:r>
      <w:r w:rsidRPr="00641704">
        <w:rPr>
          <w:rFonts w:ascii="Trebuchet MS" w:hAnsi="Trebuchet MS" w:cs="Times New Roman"/>
          <w:b/>
          <w:sz w:val="24"/>
          <w:szCs w:val="24"/>
          <w:lang w:eastAsia="ar-SA"/>
        </w:rPr>
        <w:t>.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 </w:t>
      </w:r>
      <w:r w:rsidR="009C45F3" w:rsidRPr="00641704">
        <w:rPr>
          <w:rFonts w:ascii="Trebuchet MS" w:hAnsi="Trebuchet MS" w:cs="Times New Roman"/>
          <w:sz w:val="24"/>
          <w:szCs w:val="24"/>
          <w:lang w:eastAsia="ar-SA"/>
        </w:rPr>
        <w:t xml:space="preserve">En virtud </w:t>
      </w:r>
      <w:r w:rsidR="009C45F3" w:rsidRPr="00641704">
        <w:rPr>
          <w:rFonts w:ascii="Trebuchet MS" w:hAnsi="Trebuchet MS"/>
          <w:sz w:val="24"/>
          <w:szCs w:val="24"/>
        </w:rPr>
        <w:t xml:space="preserve">de que las dos propuestas </w:t>
      </w:r>
      <w:r w:rsidR="00641704" w:rsidRPr="00641704">
        <w:rPr>
          <w:rFonts w:ascii="Trebuchet MS" w:hAnsi="Trebuchet MS"/>
          <w:sz w:val="24"/>
          <w:szCs w:val="24"/>
        </w:rPr>
        <w:t xml:space="preserve">formuladas </w:t>
      </w:r>
      <w:r w:rsidR="009C45F3" w:rsidRPr="00641704">
        <w:rPr>
          <w:rFonts w:ascii="Trebuchet MS" w:hAnsi="Trebuchet MS"/>
          <w:sz w:val="24"/>
          <w:szCs w:val="24"/>
        </w:rPr>
        <w:t xml:space="preserve">en el presente procedimiento exceden la suficiencia presupuestal contemplada en la requisición que formuló la Dirección de Administración y Finanzas de </w:t>
      </w:r>
      <w:r w:rsidR="00165B53" w:rsidRPr="00641704">
        <w:rPr>
          <w:rFonts w:ascii="Trebuchet MS" w:hAnsi="Trebuchet MS"/>
          <w:sz w:val="24"/>
          <w:szCs w:val="24"/>
        </w:rPr>
        <w:t>e</w:t>
      </w:r>
      <w:r w:rsidR="009C45F3" w:rsidRPr="00641704">
        <w:rPr>
          <w:rFonts w:ascii="Trebuchet MS" w:hAnsi="Trebuchet MS"/>
          <w:sz w:val="24"/>
          <w:szCs w:val="24"/>
        </w:rPr>
        <w:t>ste organismo electoral</w:t>
      </w:r>
      <w:r w:rsidR="00641704" w:rsidRPr="00641704">
        <w:rPr>
          <w:rFonts w:ascii="Trebuchet MS" w:hAnsi="Trebuchet MS"/>
          <w:sz w:val="24"/>
          <w:szCs w:val="24"/>
        </w:rPr>
        <w:t>,</w:t>
      </w:r>
      <w:r w:rsidR="009C45F3" w:rsidRPr="00641704">
        <w:rPr>
          <w:rFonts w:ascii="Trebuchet MS" w:hAnsi="Trebuchet MS"/>
          <w:sz w:val="24"/>
          <w:szCs w:val="24"/>
        </w:rPr>
        <w:t xml:space="preserve"> </w:t>
      </w:r>
      <w:r w:rsidR="009C45F3" w:rsidRPr="00641704">
        <w:rPr>
          <w:rFonts w:ascii="Trebuchet MS" w:hAnsi="Trebuchet MS"/>
          <w:sz w:val="24"/>
          <w:szCs w:val="24"/>
        </w:rPr>
        <w:lastRenderedPageBreak/>
        <w:t xml:space="preserve">se declara desierto el procedimiento </w:t>
      </w:r>
      <w:r w:rsidR="00641704" w:rsidRPr="00641704">
        <w:rPr>
          <w:rFonts w:ascii="Trebuchet MS" w:hAnsi="Trebuchet MS"/>
          <w:sz w:val="24"/>
          <w:szCs w:val="24"/>
        </w:rPr>
        <w:t>Pública Local identificado con la clave  IEPC-L-02/2020</w:t>
      </w:r>
      <w:r w:rsidR="008854EE" w:rsidRPr="00641704">
        <w:rPr>
          <w:rFonts w:ascii="Trebuchet MS" w:hAnsi="Trebuchet MS" w:cs="Times New Roman"/>
          <w:sz w:val="24"/>
          <w:szCs w:val="24"/>
          <w:lang w:eastAsia="ar-SA"/>
        </w:rPr>
        <w:t>.</w:t>
      </w:r>
    </w:p>
    <w:p w14:paraId="263392CA" w14:textId="77777777" w:rsidR="000D0A53" w:rsidRPr="00641704" w:rsidRDefault="000D0A53" w:rsidP="00A15900">
      <w:pPr>
        <w:pStyle w:val="Sinespaciado"/>
        <w:spacing w:line="360" w:lineRule="auto"/>
        <w:jc w:val="both"/>
        <w:rPr>
          <w:rFonts w:ascii="Trebuchet MS" w:hAnsi="Trebuchet MS" w:cs="Times New Roman"/>
          <w:b/>
          <w:sz w:val="24"/>
          <w:szCs w:val="24"/>
          <w:lang w:eastAsia="ar-SA"/>
        </w:rPr>
      </w:pPr>
    </w:p>
    <w:p w14:paraId="5B939010" w14:textId="60ABF0F6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eastAsia="ar-SA"/>
        </w:rPr>
      </w:pPr>
      <w:r w:rsidRPr="00641704">
        <w:rPr>
          <w:rFonts w:ascii="Trebuchet MS" w:hAnsi="Trebuchet MS" w:cs="Times New Roman"/>
          <w:b/>
          <w:sz w:val="24"/>
          <w:szCs w:val="24"/>
          <w:lang w:eastAsia="ar-SA"/>
        </w:rPr>
        <w:t>S</w:t>
      </w:r>
      <w:r w:rsidR="008854EE" w:rsidRPr="00641704">
        <w:rPr>
          <w:rFonts w:ascii="Trebuchet MS" w:hAnsi="Trebuchet MS" w:cs="Times New Roman"/>
          <w:b/>
          <w:sz w:val="24"/>
          <w:szCs w:val="24"/>
          <w:lang w:eastAsia="ar-SA"/>
        </w:rPr>
        <w:t>egundo</w:t>
      </w:r>
      <w:r w:rsidRPr="00641704">
        <w:rPr>
          <w:rFonts w:ascii="Trebuchet MS" w:hAnsi="Trebuchet MS" w:cs="Times New Roman"/>
          <w:b/>
          <w:sz w:val="24"/>
          <w:szCs w:val="24"/>
          <w:lang w:eastAsia="ar-SA"/>
        </w:rPr>
        <w:t xml:space="preserve">. </w:t>
      </w:r>
      <w:r w:rsidR="009C45F3" w:rsidRPr="00641704">
        <w:rPr>
          <w:rFonts w:ascii="Trebuchet MS" w:hAnsi="Trebuchet MS"/>
          <w:sz w:val="24"/>
          <w:szCs w:val="24"/>
        </w:rPr>
        <w:t>Se remite la requisición a la Unidad Centralizada de Compras para que, a la brevedad posible, realice la ad</w:t>
      </w:r>
      <w:r w:rsidR="00641704" w:rsidRPr="00641704">
        <w:rPr>
          <w:rFonts w:ascii="Trebuchet MS" w:hAnsi="Trebuchet MS"/>
          <w:sz w:val="24"/>
          <w:szCs w:val="24"/>
        </w:rPr>
        <w:t>quisición del servicio,</w:t>
      </w:r>
      <w:r w:rsidR="009C45F3" w:rsidRPr="00641704">
        <w:rPr>
          <w:rFonts w:ascii="Trebuchet MS" w:hAnsi="Trebuchet MS"/>
          <w:sz w:val="24"/>
          <w:szCs w:val="24"/>
        </w:rPr>
        <w:t xml:space="preserve"> en forma directa</w:t>
      </w:r>
      <w:r w:rsidRPr="00641704">
        <w:rPr>
          <w:rFonts w:ascii="Trebuchet MS" w:hAnsi="Trebuchet MS" w:cs="Times New Roman"/>
          <w:sz w:val="24"/>
          <w:szCs w:val="24"/>
          <w:lang w:eastAsia="ar-SA"/>
        </w:rPr>
        <w:t>.</w:t>
      </w:r>
    </w:p>
    <w:p w14:paraId="470AAD19" w14:textId="77777777" w:rsidR="0050261E" w:rsidRPr="00641704" w:rsidRDefault="0050261E" w:rsidP="00A15900">
      <w:pPr>
        <w:pStyle w:val="Sinespaciado"/>
        <w:spacing w:line="360" w:lineRule="auto"/>
        <w:jc w:val="both"/>
        <w:rPr>
          <w:rFonts w:ascii="Trebuchet MS" w:hAnsi="Trebuchet MS" w:cs="Times New Roman"/>
          <w:sz w:val="24"/>
          <w:szCs w:val="24"/>
          <w:lang w:eastAsia="ar-SA"/>
        </w:rPr>
      </w:pPr>
    </w:p>
    <w:p w14:paraId="7F9F7883" w14:textId="77777777" w:rsidR="0050261E" w:rsidRPr="00641704" w:rsidRDefault="0050261E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bCs/>
          <w:sz w:val="24"/>
          <w:szCs w:val="24"/>
          <w:lang w:eastAsia="ar-SA"/>
        </w:rPr>
      </w:pPr>
      <w:r w:rsidRPr="00641704">
        <w:rPr>
          <w:rFonts w:ascii="Trebuchet MS" w:hAnsi="Trebuchet MS" w:cs="Traditional Arabic"/>
          <w:b/>
          <w:bCs/>
          <w:sz w:val="24"/>
          <w:szCs w:val="24"/>
          <w:lang w:eastAsia="ar-SA"/>
        </w:rPr>
        <w:t>Por la Comisión de Adquisiciones y Enajenaciones</w:t>
      </w:r>
    </w:p>
    <w:p w14:paraId="23DF3107" w14:textId="77777777" w:rsidR="0050261E" w:rsidRPr="00641704" w:rsidRDefault="000D0A53" w:rsidP="00A15900">
      <w:pPr>
        <w:pStyle w:val="Sinespaciado"/>
        <w:spacing w:line="360" w:lineRule="auto"/>
        <w:jc w:val="center"/>
        <w:rPr>
          <w:rFonts w:ascii="Trebuchet MS" w:hAnsi="Trebuchet MS" w:cs="Traditional Arabic"/>
          <w:bCs/>
          <w:color w:val="000000"/>
          <w:sz w:val="24"/>
          <w:szCs w:val="24"/>
          <w:lang w:eastAsia="es-ES"/>
        </w:rPr>
      </w:pPr>
      <w:r w:rsidRPr="00641704">
        <w:rPr>
          <w:rFonts w:ascii="Trebuchet MS" w:hAnsi="Trebuchet MS" w:cs="Traditional Arabic"/>
          <w:bCs/>
          <w:color w:val="000000"/>
          <w:sz w:val="24"/>
          <w:szCs w:val="24"/>
          <w:lang w:eastAsia="es-ES"/>
        </w:rPr>
        <w:t>Guadalajara, Jalisco a 20</w:t>
      </w:r>
      <w:r w:rsidR="0050261E" w:rsidRPr="00641704">
        <w:rPr>
          <w:rFonts w:ascii="Trebuchet MS" w:hAnsi="Trebuchet MS" w:cs="Traditional Arabic"/>
          <w:bCs/>
          <w:color w:val="000000"/>
          <w:sz w:val="24"/>
          <w:szCs w:val="24"/>
          <w:lang w:eastAsia="es-ES"/>
        </w:rPr>
        <w:t xml:space="preserve"> de agosto de 20</w:t>
      </w:r>
      <w:r w:rsidR="00927087" w:rsidRPr="00641704">
        <w:rPr>
          <w:rFonts w:ascii="Trebuchet MS" w:hAnsi="Trebuchet MS" w:cs="Traditional Arabic"/>
          <w:bCs/>
          <w:color w:val="000000"/>
          <w:sz w:val="24"/>
          <w:szCs w:val="24"/>
          <w:lang w:eastAsia="es-ES"/>
        </w:rPr>
        <w:t>20</w:t>
      </w:r>
    </w:p>
    <w:tbl>
      <w:tblPr>
        <w:tblW w:w="5263" w:type="pct"/>
        <w:jc w:val="center"/>
        <w:tblLayout w:type="fixed"/>
        <w:tblLook w:val="04A0" w:firstRow="1" w:lastRow="0" w:firstColumn="1" w:lastColumn="0" w:noHBand="0" w:noVBand="1"/>
      </w:tblPr>
      <w:tblGrid>
        <w:gridCol w:w="4653"/>
        <w:gridCol w:w="4650"/>
      </w:tblGrid>
      <w:tr w:rsidR="0050261E" w:rsidRPr="00641704" w14:paraId="4AF78491" w14:textId="77777777" w:rsidTr="00E97668">
        <w:trPr>
          <w:jc w:val="center"/>
        </w:trPr>
        <w:tc>
          <w:tcPr>
            <w:tcW w:w="5000" w:type="pct"/>
            <w:gridSpan w:val="2"/>
            <w:hideMark/>
          </w:tcPr>
          <w:p w14:paraId="4468A1B3" w14:textId="77777777" w:rsidR="00C446CF" w:rsidRPr="00641704" w:rsidRDefault="00C446CF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7D1026CA" w14:textId="77777777" w:rsidR="0050261E" w:rsidRPr="00641704" w:rsidRDefault="0050261E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6FAD209F" w14:textId="77777777" w:rsidR="0050261E" w:rsidRPr="00641704" w:rsidRDefault="0092708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Moisés Pérez Vega</w:t>
            </w:r>
          </w:p>
          <w:p w14:paraId="5FC95CBC" w14:textId="77777777" w:rsidR="0050261E" w:rsidRPr="00641704" w:rsidRDefault="0092708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raditional Arabic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Consejero electoral presidente</w:t>
            </w:r>
          </w:p>
        </w:tc>
      </w:tr>
      <w:tr w:rsidR="00927087" w:rsidRPr="00641704" w14:paraId="6FE98726" w14:textId="77777777" w:rsidTr="00E97668">
        <w:trPr>
          <w:jc w:val="center"/>
        </w:trPr>
        <w:tc>
          <w:tcPr>
            <w:tcW w:w="2501" w:type="pct"/>
          </w:tcPr>
          <w:p w14:paraId="14A59A93" w14:textId="77777777" w:rsidR="00927087" w:rsidRPr="00641704" w:rsidRDefault="00927087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3027C275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005BE02B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Brenda Judith Serafín Morfín</w:t>
            </w:r>
          </w:p>
          <w:p w14:paraId="5FB3870B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Consejera electoral integrante</w:t>
            </w:r>
          </w:p>
        </w:tc>
        <w:tc>
          <w:tcPr>
            <w:tcW w:w="2499" w:type="pct"/>
          </w:tcPr>
          <w:p w14:paraId="05509E66" w14:textId="77777777" w:rsidR="00927087" w:rsidRPr="00641704" w:rsidRDefault="0092708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00D9520D" w14:textId="77777777" w:rsidR="000B7617" w:rsidRPr="00641704" w:rsidRDefault="000B7617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2C2D6988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Miguel Godínez Terríquez</w:t>
            </w:r>
          </w:p>
          <w:p w14:paraId="653651B5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Consejero electoral integrante</w:t>
            </w:r>
          </w:p>
        </w:tc>
      </w:tr>
      <w:tr w:rsidR="00C446CF" w:rsidRPr="00641704" w14:paraId="02C93486" w14:textId="77777777" w:rsidTr="00E97668">
        <w:trPr>
          <w:jc w:val="center"/>
        </w:trPr>
        <w:tc>
          <w:tcPr>
            <w:tcW w:w="2501" w:type="pct"/>
          </w:tcPr>
          <w:p w14:paraId="6CF29EA9" w14:textId="77777777" w:rsidR="00C446CF" w:rsidRPr="00641704" w:rsidRDefault="00C446CF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32BD9BED" w14:textId="77777777" w:rsidR="00C446CF" w:rsidRPr="00641704" w:rsidRDefault="00C446CF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2F13A78B" w14:textId="77777777" w:rsidR="00C446CF" w:rsidRPr="00641704" w:rsidRDefault="00C446CF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Hugo Pulido Maciel</w:t>
            </w:r>
          </w:p>
          <w:p w14:paraId="200F4E2C" w14:textId="77777777" w:rsidR="00C446CF" w:rsidRPr="00641704" w:rsidRDefault="00C446CF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imes New Roman"/>
                <w:b/>
                <w:sz w:val="24"/>
                <w:szCs w:val="24"/>
              </w:rPr>
              <w:t>Titular de la Unidad Centralizada de Compras y Director de Administración y Fianzas (área requirente)</w:t>
            </w:r>
          </w:p>
          <w:p w14:paraId="0636BD30" w14:textId="77777777" w:rsidR="000B7617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2499" w:type="pct"/>
          </w:tcPr>
          <w:p w14:paraId="7D048DAF" w14:textId="77777777" w:rsidR="00C446CF" w:rsidRPr="00641704" w:rsidRDefault="00C446CF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32BC7C12" w14:textId="77777777" w:rsidR="00C446CF" w:rsidRPr="00641704" w:rsidRDefault="00C446CF" w:rsidP="00A15900">
            <w:pPr>
              <w:pStyle w:val="Sinespaciado"/>
              <w:spacing w:line="360" w:lineRule="auto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</w:p>
          <w:p w14:paraId="03F07E02" w14:textId="77777777" w:rsidR="00C446CF" w:rsidRPr="00641704" w:rsidRDefault="00C446CF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raditional Arabic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raditional Arabic"/>
                <w:b/>
                <w:sz w:val="24"/>
                <w:szCs w:val="24"/>
              </w:rPr>
              <w:t>Luis Alfonso Campos Guzmán</w:t>
            </w:r>
          </w:p>
          <w:p w14:paraId="3C1EC06F" w14:textId="77777777" w:rsidR="00C446CF" w:rsidRPr="00641704" w:rsidRDefault="000B7617" w:rsidP="00A15900">
            <w:pPr>
              <w:pStyle w:val="Sinespaciado"/>
              <w:spacing w:line="360" w:lineRule="auto"/>
              <w:jc w:val="center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641704">
              <w:rPr>
                <w:rFonts w:ascii="Trebuchet MS" w:eastAsia="Calibri" w:hAnsi="Trebuchet MS" w:cs="Traditional Arabic"/>
                <w:b/>
                <w:sz w:val="24"/>
                <w:szCs w:val="24"/>
              </w:rPr>
              <w:t>Secretario Técnico</w:t>
            </w:r>
          </w:p>
        </w:tc>
      </w:tr>
      <w:tr w:rsidR="00C446CF" w:rsidRPr="008854EE" w14:paraId="5C879B01" w14:textId="77777777" w:rsidTr="000C7F80">
        <w:trPr>
          <w:trHeight w:val="1246"/>
          <w:jc w:val="center"/>
        </w:trPr>
        <w:tc>
          <w:tcPr>
            <w:tcW w:w="5000" w:type="pct"/>
            <w:gridSpan w:val="2"/>
          </w:tcPr>
          <w:p w14:paraId="7BF0B61E" w14:textId="35BF3759" w:rsidR="00C446CF" w:rsidRDefault="00C446CF" w:rsidP="00A15900">
            <w:pPr>
              <w:pStyle w:val="Sinespaciado"/>
              <w:spacing w:line="360" w:lineRule="auto"/>
              <w:jc w:val="both"/>
              <w:rPr>
                <w:rFonts w:ascii="Trebuchet MS" w:eastAsia="Calibri" w:hAnsi="Trebuchet MS" w:cs="Times New Roman"/>
                <w:b/>
                <w:sz w:val="24"/>
                <w:szCs w:val="24"/>
              </w:rPr>
            </w:pPr>
            <w:r w:rsidRPr="00165B53">
              <w:rPr>
                <w:rFonts w:ascii="Trebuchet MS" w:hAnsi="Trebuchet MS"/>
                <w:sz w:val="15"/>
                <w:szCs w:val="15"/>
              </w:rPr>
              <w:t xml:space="preserve">La presente foja corresponde al </w:t>
            </w:r>
            <w:r w:rsidR="00165B53" w:rsidRPr="00165B53">
              <w:rPr>
                <w:rFonts w:ascii="Trebuchet MS" w:hAnsi="Trebuchet MS"/>
                <w:b/>
                <w:sz w:val="15"/>
                <w:szCs w:val="15"/>
                <w:lang w:eastAsia="ar-SA"/>
              </w:rPr>
              <w:t xml:space="preserve">ACUERDO DE LA COMISIÓN DE ADQUISICIONES Y ENAJENACIONES DEL INSTITUTO ELECTORAL Y DE PARTICIPACIÓN CIUDADANA DEL ESTADO DE JALISCO, MEDIANTE EL CUAL SE DECLARA DESIERTO EL PROCEDIMIENTO DE LA LICITACIÓN PÚBLICA LOCAL IDENTIFICADO CON LA CLAVE </w:t>
            </w:r>
            <w:r w:rsidR="00165B53" w:rsidRPr="00165B53">
              <w:rPr>
                <w:rFonts w:ascii="Trebuchet MS" w:hAnsi="Trebuchet MS" w:cs="Arial"/>
                <w:b/>
                <w:sz w:val="15"/>
                <w:szCs w:val="15"/>
                <w:lang w:eastAsia="ar-SA"/>
              </w:rPr>
              <w:t>IEPC-L-02/2020</w:t>
            </w:r>
            <w:r w:rsidR="00641704">
              <w:rPr>
                <w:rFonts w:ascii="Trebuchet MS" w:hAnsi="Trebuchet MS" w:cs="Arial"/>
                <w:b/>
                <w:sz w:val="15"/>
                <w:szCs w:val="15"/>
                <w:lang w:eastAsia="ar-SA"/>
              </w:rPr>
              <w:t>,</w:t>
            </w:r>
            <w:r w:rsidR="00165B53" w:rsidRPr="00165B53">
              <w:rPr>
                <w:rFonts w:ascii="Trebuchet MS" w:hAnsi="Trebuchet MS" w:cs="Arial"/>
                <w:b/>
                <w:sz w:val="15"/>
                <w:szCs w:val="15"/>
                <w:lang w:eastAsia="ar-SA"/>
              </w:rPr>
              <w:t xml:space="preserve"> </w:t>
            </w:r>
            <w:r w:rsidR="00165B53">
              <w:rPr>
                <w:rFonts w:ascii="Trebuchet MS" w:hAnsi="Trebuchet MS" w:cs="Arial"/>
                <w:sz w:val="15"/>
                <w:szCs w:val="15"/>
                <w:lang w:eastAsia="ar-SA"/>
              </w:rPr>
              <w:t>a</w:t>
            </w:r>
            <w:r w:rsidRPr="00165B53">
              <w:rPr>
                <w:rFonts w:ascii="Trebuchet MS" w:hAnsi="Trebuchet MS"/>
                <w:sz w:val="15"/>
                <w:szCs w:val="15"/>
              </w:rPr>
              <w:t xml:space="preserve">probado en </w:t>
            </w:r>
            <w:r w:rsidR="000D0A53" w:rsidRPr="00165B53">
              <w:rPr>
                <w:rFonts w:ascii="Trebuchet MS" w:hAnsi="Trebuchet MS"/>
                <w:sz w:val="15"/>
                <w:szCs w:val="15"/>
              </w:rPr>
              <w:t xml:space="preserve">la sexta </w:t>
            </w:r>
            <w:r w:rsidRPr="00165B53">
              <w:rPr>
                <w:rFonts w:ascii="Trebuchet MS" w:hAnsi="Trebuchet MS"/>
                <w:sz w:val="15"/>
                <w:szCs w:val="15"/>
              </w:rPr>
              <w:t xml:space="preserve">sesión </w:t>
            </w:r>
            <w:r w:rsidR="000D0A53" w:rsidRPr="00165B53">
              <w:rPr>
                <w:rFonts w:ascii="Trebuchet MS" w:hAnsi="Trebuchet MS"/>
                <w:sz w:val="15"/>
                <w:szCs w:val="15"/>
              </w:rPr>
              <w:t>ordinaria celebrada el 20</w:t>
            </w:r>
            <w:r w:rsidRPr="00165B53">
              <w:rPr>
                <w:rFonts w:ascii="Trebuchet MS" w:hAnsi="Trebuchet MS"/>
                <w:sz w:val="15"/>
                <w:szCs w:val="15"/>
              </w:rPr>
              <w:t xml:space="preserve"> de agosto de 20</w:t>
            </w:r>
            <w:r w:rsidR="00927087" w:rsidRPr="00165B53">
              <w:rPr>
                <w:rFonts w:ascii="Trebuchet MS" w:hAnsi="Trebuchet MS"/>
                <w:sz w:val="15"/>
                <w:szCs w:val="15"/>
              </w:rPr>
              <w:t>20</w:t>
            </w:r>
            <w:r w:rsidRPr="00165B53">
              <w:rPr>
                <w:rFonts w:ascii="Trebuchet MS" w:hAnsi="Trebuchet MS"/>
                <w:sz w:val="15"/>
                <w:szCs w:val="15"/>
              </w:rPr>
              <w:t>.---------------------</w:t>
            </w:r>
            <w:r w:rsidRPr="00C9283B">
              <w:rPr>
                <w:rFonts w:ascii="Trebuchet MS" w:hAnsi="Trebuchet MS"/>
                <w:sz w:val="14"/>
                <w:szCs w:val="14"/>
              </w:rPr>
              <w:t>------------------------------------------</w:t>
            </w:r>
            <w:r w:rsidR="00165B53">
              <w:rPr>
                <w:rFonts w:ascii="Trebuchet MS" w:hAnsi="Trebuchet MS"/>
                <w:sz w:val="14"/>
                <w:szCs w:val="14"/>
              </w:rPr>
              <w:t>-------------------------------------------------------------------------------------------</w:t>
            </w:r>
          </w:p>
        </w:tc>
      </w:tr>
    </w:tbl>
    <w:p w14:paraId="59525ABD" w14:textId="77777777" w:rsidR="004B69FE" w:rsidRPr="0050261E" w:rsidRDefault="004B69FE" w:rsidP="00A15900">
      <w:pPr>
        <w:spacing w:line="360" w:lineRule="auto"/>
      </w:pPr>
    </w:p>
    <w:sectPr w:rsidR="004B69FE" w:rsidRPr="0050261E" w:rsidSect="00E97668">
      <w:headerReference w:type="default" r:id="rId8"/>
      <w:footerReference w:type="default" r:id="rId9"/>
      <w:pgSz w:w="12240" w:h="15840" w:code="1"/>
      <w:pgMar w:top="2835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5CC34" w14:textId="77777777" w:rsidR="004D43A1" w:rsidRDefault="004D43A1" w:rsidP="0050261E">
      <w:pPr>
        <w:spacing w:after="0" w:line="240" w:lineRule="auto"/>
      </w:pPr>
      <w:r>
        <w:separator/>
      </w:r>
    </w:p>
  </w:endnote>
  <w:endnote w:type="continuationSeparator" w:id="0">
    <w:p w14:paraId="2C0BE024" w14:textId="77777777" w:rsidR="004D43A1" w:rsidRDefault="004D43A1" w:rsidP="0050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B96388" w14:paraId="02396061" w14:textId="77777777" w:rsidTr="00E97668">
      <w:tc>
        <w:tcPr>
          <w:tcW w:w="8828" w:type="dxa"/>
        </w:tcPr>
        <w:p w14:paraId="19304176" w14:textId="77777777" w:rsidR="00B96388" w:rsidRPr="00B96388" w:rsidRDefault="00B96388" w:rsidP="00B96388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</w:pPr>
          <w:r w:rsidRPr="00B96388"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  <w:t>Parque de las Estrellas 2764, colonia Jardines del Bosque</w:t>
          </w:r>
          <w:r w:rsidR="0054246B"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  <w:t xml:space="preserve"> Centro</w:t>
          </w:r>
          <w:r w:rsidRPr="00B96388"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  <w:t>, Guadalajara, Jalisco, México. C.P.44520</w:t>
          </w:r>
        </w:p>
        <w:p w14:paraId="6B4C027D" w14:textId="77777777" w:rsidR="00B96388" w:rsidRPr="00B96388" w:rsidRDefault="004D43A1" w:rsidP="00B96388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</w:pPr>
          <w:r>
            <w:rPr>
              <w:rFonts w:ascii="Trebuchet MS" w:eastAsia="Times New Roman" w:hAnsi="Trebuchet MS" w:cs="Tahoma"/>
              <w:bCs/>
              <w:color w:val="A6A6A6"/>
              <w:sz w:val="18"/>
              <w:szCs w:val="18"/>
              <w:lang w:val="es-ES" w:eastAsia="ar-SA"/>
            </w:rPr>
            <w:pict w14:anchorId="477E6477">
              <v:rect id="_x0000_i1025" style="width:425.45pt;height:1.25pt" o:hrpct="988" o:hralign="center" o:hrstd="t" o:hr="t" fillcolor="#a0a0a0" stroked="f"/>
            </w:pict>
          </w:r>
        </w:p>
        <w:p w14:paraId="5E085F35" w14:textId="77777777" w:rsidR="00B96388" w:rsidRDefault="00B96388" w:rsidP="00E97668">
          <w:pPr>
            <w:pStyle w:val="Piedepgina"/>
            <w:jc w:val="center"/>
          </w:pPr>
          <w:r w:rsidRPr="00B96388">
            <w:rPr>
              <w:rFonts w:ascii="Trebuchet MS" w:eastAsia="Times New Roman" w:hAnsi="Trebuchet MS" w:cs="Tahoma"/>
              <w:b/>
              <w:bCs/>
              <w:color w:val="7030A0"/>
              <w:sz w:val="18"/>
              <w:szCs w:val="18"/>
              <w:lang w:val="en-US" w:eastAsia="ar-SA"/>
            </w:rPr>
            <w:t>www.iepcjalisco.org.mx</w:t>
          </w:r>
        </w:p>
      </w:tc>
    </w:tr>
    <w:tr w:rsidR="00B96388" w14:paraId="3A7F830B" w14:textId="77777777" w:rsidTr="00E97668">
      <w:tc>
        <w:tcPr>
          <w:tcW w:w="8828" w:type="dxa"/>
        </w:tcPr>
        <w:p w14:paraId="6E3320D5" w14:textId="77777777" w:rsidR="00B96388" w:rsidRDefault="00B96388" w:rsidP="00C446CF">
          <w:pPr>
            <w:pStyle w:val="Piedepgina"/>
            <w:jc w:val="right"/>
          </w:pPr>
          <w:r w:rsidRPr="00B96388">
            <w:rPr>
              <w:rFonts w:ascii="Trebuchet MS" w:eastAsia="Calibri" w:hAnsi="Trebuchet MS" w:cs="Arial"/>
              <w:sz w:val="16"/>
              <w:szCs w:val="16"/>
            </w:rPr>
            <w:t xml:space="preserve">Página </w: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begin"/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instrText xml:space="preserve"> PAGE </w:instrTex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separate"/>
          </w:r>
          <w:r w:rsidR="00721F0C">
            <w:rPr>
              <w:rFonts w:ascii="Trebuchet MS" w:eastAsia="Calibri" w:hAnsi="Trebuchet MS" w:cs="Arial"/>
              <w:noProof/>
              <w:sz w:val="16"/>
              <w:szCs w:val="16"/>
            </w:rPr>
            <w:t>1</w: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end"/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t xml:space="preserve"> de </w: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begin"/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instrText xml:space="preserve"> NUMPAGES </w:instrTex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separate"/>
          </w:r>
          <w:r w:rsidR="00721F0C">
            <w:rPr>
              <w:rFonts w:ascii="Trebuchet MS" w:eastAsia="Calibri" w:hAnsi="Trebuchet MS" w:cs="Arial"/>
              <w:noProof/>
              <w:sz w:val="16"/>
              <w:szCs w:val="16"/>
            </w:rPr>
            <w:t>7</w:t>
          </w:r>
          <w:r w:rsidRPr="00B96388">
            <w:rPr>
              <w:rFonts w:ascii="Trebuchet MS" w:eastAsia="Calibri" w:hAnsi="Trebuchet MS" w:cs="Arial"/>
              <w:sz w:val="16"/>
              <w:szCs w:val="16"/>
            </w:rPr>
            <w:fldChar w:fldCharType="end"/>
          </w:r>
        </w:p>
      </w:tc>
    </w:tr>
  </w:tbl>
  <w:p w14:paraId="48D30A8C" w14:textId="77777777" w:rsidR="00C446CF" w:rsidRDefault="00C446CF" w:rsidP="00C446C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E1C10" w14:textId="77777777" w:rsidR="004D43A1" w:rsidRDefault="004D43A1" w:rsidP="0050261E">
      <w:pPr>
        <w:spacing w:after="0" w:line="240" w:lineRule="auto"/>
      </w:pPr>
      <w:r>
        <w:separator/>
      </w:r>
    </w:p>
  </w:footnote>
  <w:footnote w:type="continuationSeparator" w:id="0">
    <w:p w14:paraId="556C8CCF" w14:textId="77777777" w:rsidR="004D43A1" w:rsidRDefault="004D43A1" w:rsidP="0050261E">
      <w:pPr>
        <w:spacing w:after="0" w:line="240" w:lineRule="auto"/>
      </w:pPr>
      <w:r>
        <w:continuationSeparator/>
      </w:r>
    </w:p>
  </w:footnote>
  <w:footnote w:id="1">
    <w:p w14:paraId="56E109D0" w14:textId="77777777" w:rsidR="000A3015" w:rsidRPr="000A3015" w:rsidRDefault="000A3015" w:rsidP="00F36EDE">
      <w:pPr>
        <w:pStyle w:val="Textonotapie"/>
        <w:jc w:val="both"/>
        <w:rPr>
          <w:rFonts w:ascii="Trebuchet MS" w:hAnsi="Trebuchet MS"/>
          <w:sz w:val="14"/>
          <w:szCs w:val="14"/>
          <w:lang w:val="es-MX"/>
        </w:rPr>
      </w:pPr>
      <w:r w:rsidRPr="000A3015">
        <w:rPr>
          <w:rStyle w:val="Refdenotaalpie"/>
          <w:rFonts w:ascii="Trebuchet MS" w:hAnsi="Trebuchet MS"/>
          <w:sz w:val="14"/>
          <w:szCs w:val="14"/>
        </w:rPr>
        <w:footnoteRef/>
      </w:r>
      <w:r w:rsidRPr="000A3015">
        <w:rPr>
          <w:rFonts w:ascii="Trebuchet MS" w:hAnsi="Trebuchet MS"/>
          <w:sz w:val="14"/>
          <w:szCs w:val="14"/>
        </w:rPr>
        <w:t xml:space="preserve"> El decreto citado puede ser consultado en el enlace siguiente: https://periodicooficial.jalisco.gob.mx/peri%C3%B3dicos/periodico-oficial?combine=c%C3%B3digo+electoral+&amp;field_fecha2_value%5Bvalue%5D%5Bmonth%5D=4&amp;field_fecha2_value%5Bvalue%5D%5Bday%5D=9&amp;field_fecha2_value%5Bvalue%5D%5Byear%5D=2019.</w:t>
      </w:r>
    </w:p>
  </w:footnote>
  <w:footnote w:id="2">
    <w:p w14:paraId="12424F93" w14:textId="77777777" w:rsidR="0050261E" w:rsidRDefault="0050261E" w:rsidP="0050261E">
      <w:pPr>
        <w:pStyle w:val="Textonotapie"/>
        <w:rPr>
          <w:rFonts w:ascii="Trebuchet MS" w:hAnsi="Trebuchet MS"/>
          <w:sz w:val="18"/>
          <w:szCs w:val="18"/>
          <w:lang w:val="es-MX"/>
        </w:rPr>
      </w:pPr>
      <w:r w:rsidRPr="000A3015">
        <w:rPr>
          <w:rStyle w:val="Refdenotaalpie"/>
          <w:rFonts w:ascii="Trebuchet MS" w:hAnsi="Trebuchet MS"/>
          <w:sz w:val="14"/>
          <w:szCs w:val="14"/>
        </w:rPr>
        <w:footnoteRef/>
      </w:r>
      <w:r w:rsidRPr="000A3015">
        <w:rPr>
          <w:rFonts w:ascii="Trebuchet MS" w:hAnsi="Trebuchet MS"/>
          <w:sz w:val="14"/>
          <w:szCs w:val="14"/>
        </w:rPr>
        <w:t xml:space="preserve">  </w:t>
      </w:r>
      <w:r w:rsidR="005B31BC" w:rsidRPr="005B31BC">
        <w:rPr>
          <w:rFonts w:ascii="Trebuchet MS" w:hAnsi="Trebuchet MS"/>
          <w:sz w:val="14"/>
          <w:szCs w:val="14"/>
        </w:rPr>
        <w:t>http://www.iepcjalisco.org.mx/licitaciones</w:t>
      </w:r>
    </w:p>
  </w:footnote>
  <w:footnote w:id="3">
    <w:p w14:paraId="14F37A2B" w14:textId="77777777" w:rsidR="00015DBB" w:rsidRPr="000A3015" w:rsidRDefault="00015DBB">
      <w:pPr>
        <w:pStyle w:val="Textonotapie"/>
        <w:rPr>
          <w:rFonts w:ascii="Trebuchet MS" w:hAnsi="Trebuchet MS"/>
          <w:lang w:val="es-MX"/>
        </w:rPr>
      </w:pPr>
      <w:r w:rsidRPr="000A3015">
        <w:rPr>
          <w:rStyle w:val="Refdenotaalpie"/>
          <w:rFonts w:ascii="Trebuchet MS" w:hAnsi="Trebuchet MS"/>
        </w:rPr>
        <w:footnoteRef/>
      </w:r>
      <w:r w:rsidRPr="000A3015">
        <w:rPr>
          <w:rFonts w:ascii="Trebuchet MS" w:hAnsi="Trebuchet MS"/>
        </w:rPr>
        <w:t xml:space="preserve"> </w:t>
      </w:r>
      <w:r w:rsidRPr="000A3015">
        <w:rPr>
          <w:rFonts w:ascii="Trebuchet MS" w:hAnsi="Trebuchet MS"/>
          <w:sz w:val="14"/>
          <w:szCs w:val="14"/>
        </w:rPr>
        <w:t>Los datos de</w:t>
      </w:r>
      <w:r>
        <w:rPr>
          <w:rFonts w:ascii="Trebuchet MS" w:hAnsi="Trebuchet MS"/>
          <w:sz w:val="14"/>
          <w:szCs w:val="14"/>
        </w:rPr>
        <w:t xml:space="preserve"> </w:t>
      </w:r>
      <w:r w:rsidRPr="000A3015">
        <w:rPr>
          <w:rFonts w:ascii="Trebuchet MS" w:hAnsi="Trebuchet MS"/>
          <w:sz w:val="14"/>
          <w:szCs w:val="14"/>
        </w:rPr>
        <w:t>l</w:t>
      </w:r>
      <w:r>
        <w:rPr>
          <w:rFonts w:ascii="Trebuchet MS" w:hAnsi="Trebuchet MS"/>
          <w:sz w:val="14"/>
          <w:szCs w:val="14"/>
        </w:rPr>
        <w:t>os</w:t>
      </w:r>
      <w:r w:rsidRPr="000A3015">
        <w:rPr>
          <w:rFonts w:ascii="Trebuchet MS" w:hAnsi="Trebuchet MS"/>
          <w:sz w:val="14"/>
          <w:szCs w:val="14"/>
        </w:rPr>
        <w:t xml:space="preserve"> proveedor</w:t>
      </w:r>
      <w:r>
        <w:rPr>
          <w:rFonts w:ascii="Trebuchet MS" w:hAnsi="Trebuchet MS"/>
          <w:sz w:val="14"/>
          <w:szCs w:val="14"/>
        </w:rPr>
        <w:t>es</w:t>
      </w:r>
      <w:r w:rsidRPr="000A3015">
        <w:rPr>
          <w:rFonts w:ascii="Trebuchet MS" w:hAnsi="Trebuchet MS"/>
          <w:sz w:val="14"/>
          <w:szCs w:val="14"/>
        </w:rPr>
        <w:t xml:space="preserve"> se pueden consultar en el enlace siguiente: https://proveedores.jalisco.gob.mx/padron</w:t>
      </w:r>
      <w:r>
        <w:rPr>
          <w:rFonts w:ascii="Trebuchet MS" w:hAnsi="Trebuchet MS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F9269" w14:textId="77777777" w:rsidR="000B7617" w:rsidRDefault="000B7617">
    <w:pPr>
      <w:pStyle w:val="Encabezado"/>
    </w:pPr>
    <w:r>
      <w:rPr>
        <w:noProof/>
        <w:lang w:eastAsia="es-MX"/>
      </w:rPr>
      <w:drawing>
        <wp:inline distT="0" distB="0" distL="0" distR="0" wp14:anchorId="69A27C86" wp14:editId="199014E5">
          <wp:extent cx="1402080" cy="73152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203"/>
    <w:multiLevelType w:val="hybridMultilevel"/>
    <w:tmpl w:val="AB624D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0"/>
    <w:rsid w:val="00015DBB"/>
    <w:rsid w:val="00065986"/>
    <w:rsid w:val="00081BC5"/>
    <w:rsid w:val="000A09C3"/>
    <w:rsid w:val="000A3015"/>
    <w:rsid w:val="000B7617"/>
    <w:rsid w:val="000C7F80"/>
    <w:rsid w:val="000D0A53"/>
    <w:rsid w:val="001430E5"/>
    <w:rsid w:val="00165B53"/>
    <w:rsid w:val="00214998"/>
    <w:rsid w:val="00227391"/>
    <w:rsid w:val="00496A26"/>
    <w:rsid w:val="004B69FE"/>
    <w:rsid w:val="004D43A1"/>
    <w:rsid w:val="004E190A"/>
    <w:rsid w:val="0050261E"/>
    <w:rsid w:val="0054246B"/>
    <w:rsid w:val="005B31BC"/>
    <w:rsid w:val="00635DA3"/>
    <w:rsid w:val="00641704"/>
    <w:rsid w:val="00681766"/>
    <w:rsid w:val="00683EFB"/>
    <w:rsid w:val="00684920"/>
    <w:rsid w:val="00706F53"/>
    <w:rsid w:val="00721F0C"/>
    <w:rsid w:val="007562B0"/>
    <w:rsid w:val="007F610D"/>
    <w:rsid w:val="008471B9"/>
    <w:rsid w:val="008854EE"/>
    <w:rsid w:val="008B6909"/>
    <w:rsid w:val="00927087"/>
    <w:rsid w:val="00977B1C"/>
    <w:rsid w:val="009C45F3"/>
    <w:rsid w:val="00A15900"/>
    <w:rsid w:val="00A334CD"/>
    <w:rsid w:val="00A654A5"/>
    <w:rsid w:val="00A96055"/>
    <w:rsid w:val="00AB18B0"/>
    <w:rsid w:val="00B86A1A"/>
    <w:rsid w:val="00B96388"/>
    <w:rsid w:val="00C446CF"/>
    <w:rsid w:val="00C9283B"/>
    <w:rsid w:val="00E55AC7"/>
    <w:rsid w:val="00E97668"/>
    <w:rsid w:val="00EA72E1"/>
    <w:rsid w:val="00EB3E6C"/>
    <w:rsid w:val="00F11640"/>
    <w:rsid w:val="00F22000"/>
    <w:rsid w:val="00F3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9A0F7"/>
  <w15:chartTrackingRefBased/>
  <w15:docId w15:val="{E7A496A9-E46C-4624-BEF5-CFDB3670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50261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5026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50261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semiHidden/>
    <w:unhideWhenUsed/>
    <w:rsid w:val="0050261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8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8854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4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6CF"/>
  </w:style>
  <w:style w:type="paragraph" w:styleId="Piedepgina">
    <w:name w:val="footer"/>
    <w:basedOn w:val="Normal"/>
    <w:link w:val="PiedepginaCar"/>
    <w:uiPriority w:val="99"/>
    <w:unhideWhenUsed/>
    <w:rsid w:val="00C446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6CF"/>
  </w:style>
  <w:style w:type="paragraph" w:styleId="Textodeglobo">
    <w:name w:val="Balloon Text"/>
    <w:basedOn w:val="Normal"/>
    <w:link w:val="TextodegloboCar"/>
    <w:uiPriority w:val="99"/>
    <w:semiHidden/>
    <w:unhideWhenUsed/>
    <w:rsid w:val="00AB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8B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B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81D4-F9A7-48D5-9F03-E5447A78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1537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IEPC-USUARIO</cp:lastModifiedBy>
  <cp:revision>5</cp:revision>
  <cp:lastPrinted>2019-08-19T17:55:00Z</cp:lastPrinted>
  <dcterms:created xsi:type="dcterms:W3CDTF">2020-08-21T22:10:00Z</dcterms:created>
  <dcterms:modified xsi:type="dcterms:W3CDTF">2020-11-04T16:47:00Z</dcterms:modified>
</cp:coreProperties>
</file>