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54273437"/>
        <w:docPartObj>
          <w:docPartGallery w:val="Cover Pages"/>
          <w:docPartUnique/>
        </w:docPartObj>
      </w:sdtPr>
      <w:sdtEndPr>
        <w:rPr>
          <w:rFonts w:ascii="Lucida Sans Unicode" w:hAnsi="Lucida Sans Unicode" w:cs="Lucida Sans Unicode"/>
          <w:b/>
          <w:bCs/>
          <w:sz w:val="21"/>
          <w:szCs w:val="21"/>
        </w:rPr>
      </w:sdtEndPr>
      <w:sdtContent>
        <w:p w14:paraId="45902828" w14:textId="3D3064D6" w:rsidR="006C39A3" w:rsidRDefault="006C39A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6616996" wp14:editId="1CD3EB2E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7766050" cy="10045700"/>
                    <wp:effectExtent l="0" t="0" r="6350" b="0"/>
                    <wp:wrapNone/>
                    <wp:docPr id="119" name="Grupo 12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66050" cy="1004570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tángulo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ángulo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788E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00788E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00788E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8F4E1" w14:textId="3341CAF4" w:rsidR="006C39A3" w:rsidRDefault="00000000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alias w:val="Autor"/>
                                      <w:tag w:val=""/>
                                      <w:id w:val="884141857"/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Content>
                                      <w:r w:rsidR="006C39A3"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  <w:p w14:paraId="69D70625" w14:textId="30B44183" w:rsidR="006C39A3" w:rsidRPr="003429EA" w:rsidRDefault="00000000">
                                  <w:pPr>
                                    <w:pStyle w:val="Sinespaciado"/>
                                    <w:rPr>
                                      <w:rFonts w:ascii="Lucida Sans Unicode" w:hAnsi="Lucida Sans Unicode" w:cs="Lucida Sans Unicode"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Lucida Sans Unicode" w:hAnsi="Lucida Sans Unicode" w:cs="Lucida Sans Unicode"/>
                                        <w:cap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alias w:val="Dirección"/>
                                      <w:tag w:val=""/>
                                      <w:id w:val="2113163453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="006C39A3" w:rsidRPr="003429EA">
                                        <w:rPr>
                                          <w:rFonts w:ascii="Lucida Sans Unicode" w:hAnsi="Lucida Sans Unicode" w:cs="Lucida Sans Unicode"/>
                                          <w:caps/>
                                          <w:color w:val="FFFFFF" w:themeColor="background1"/>
                                          <w:sz w:val="20"/>
                                          <w:szCs w:val="20"/>
                                        </w:rPr>
                                        <w:t>iNSTITUTO ELECTORAL Y DE PARTICIPACIÓN CIUDAD</w:t>
                                      </w:r>
                                      <w:r w:rsidR="003429EA" w:rsidRPr="003429EA">
                                        <w:rPr>
                                          <w:rFonts w:ascii="Lucida Sans Unicode" w:hAnsi="Lucida Sans Unicode" w:cs="Lucida Sans Unicode"/>
                                          <w:caps/>
                                          <w:color w:val="FFFFFF" w:themeColor="background1"/>
                                          <w:sz w:val="20"/>
                                          <w:szCs w:val="20"/>
                                        </w:rPr>
                                        <w:t>A</w:t>
                                      </w:r>
                                      <w:r w:rsidR="006C39A3" w:rsidRPr="003429EA">
                                        <w:rPr>
                                          <w:rFonts w:ascii="Lucida Sans Unicode" w:hAnsi="Lucida Sans Unicode" w:cs="Lucida Sans Unicode"/>
                                          <w:caps/>
                                          <w:color w:val="FFFFFF" w:themeColor="background1"/>
                                          <w:sz w:val="20"/>
                                          <w:szCs w:val="20"/>
                                        </w:rPr>
                                        <w:t>NA DEL ESTADO DE JALISCO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Cuadro de texto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DBBB8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Lucida Sans Unicode" w:eastAsiaTheme="majorEastAsia" w:hAnsi="Lucida Sans Unicode" w:cs="Lucida Sans Unicode"/>
                                      <w:color w:val="000000" w:themeColor="text1"/>
                                      <w:sz w:val="108"/>
                                      <w:szCs w:val="10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Título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03AC18C1" w14:textId="277E0195" w:rsidR="006C39A3" w:rsidRPr="009E05C4" w:rsidRDefault="001B23BF">
                                      <w:pPr>
                                        <w:pStyle w:val="Sinespaciado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000000" w:themeColor="text1"/>
                                          <w:sz w:val="108"/>
                                          <w:szCs w:val="108"/>
                                          <w14:shadow w14:blurRad="50800" w14:dist="3810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E05C4">
                                        <w:rPr>
                                          <w:rFonts w:ascii="Lucida Sans Unicode" w:eastAsiaTheme="majorEastAsia" w:hAnsi="Lucida Sans Unicode" w:cs="Lucida Sans Unicode"/>
                                          <w:color w:val="000000" w:themeColor="text1"/>
                                          <w:sz w:val="108"/>
                                          <w:szCs w:val="108"/>
                                          <w14:shadow w14:blurRad="50800" w14:dist="3810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Programa Anual de Trabajo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Lucida Sans Unicode" w:hAnsi="Lucida Sans Unicode" w:cs="Lucida Sans Unicode"/>
                                      <w:caps/>
                                      <w:color w:val="44546A" w:themeColor="text2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7C3E636D" w14:textId="6755460B" w:rsidR="006C39A3" w:rsidRPr="003429EA" w:rsidRDefault="006C39A3">
                                      <w:pPr>
                                        <w:pStyle w:val="Sinespaciado"/>
                                        <w:spacing w:before="240"/>
                                        <w:rPr>
                                          <w:rFonts w:ascii="Lucida Sans Unicode" w:hAnsi="Lucida Sans Unicode" w:cs="Lucida Sans Unicode"/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3429EA">
                                        <w:rPr>
                                          <w:rFonts w:ascii="Lucida Sans Unicode" w:hAnsi="Lucida Sans Unicode" w:cs="Lucida Sans Unicode"/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  <w:t>comisión de mejora regulatoria interna                               octubre 2024-septiembre 2025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616996" id="Grupo 121" o:spid="_x0000_s1026" style="position:absolute;margin-left:560.3pt;margin-top:0;width:611.5pt;height:791pt;z-index:-251657216;mso-position-horizontal:right;mso-position-horizontal-relative:page;mso-position-vertical:bottom;mso-position-vertical-relative:page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DqZAQAAH0QAAAOAAAAZHJzL2Uyb0RvYy54bWzsWNtu2zgQfV9g/4HQe2PJV8WIU+TSBAtk&#10;26BJkWeaoi5YitSSdOz0b/Zb9sd2hhTlS9009RZBgd0XmRTnwjmcORz55O2qFuSRa1MpOYuSozgi&#10;XDKVVbKYRZ/ur96kETGWyowKJfkseuImenv66y8ny2bK+6pUIuOagBFppstmFpXWNtNez7CS19Qc&#10;qYZLWMyVrqmFqS56maZLsF6LXj+Ox72l0lmjFePGwNtLvxidOvt5zpn9kOeGWyJmEezNuqd2zzk+&#10;e6cndFpo2pQVa7dBD9hFTSsJTjtTl9RSstDVF6bqimllVG6PmKp7Ks8rxl0MEE0S70RzrdWicbEU&#10;02XRdDABtDs4HWyWvX+81s1dc6sBiWVTABZuhrGscl3jL+ySrBxkTx1kfGUJg5eTyXgcjwBZBmtJ&#10;HA9Hk7hFlZUA/ReKrHzXqo7TURqDsFM97k+SCdiBXfSC597WfpYNZIhZg2D+HQh3JW24w9ZMAYRb&#10;TaoMIujDfiStIVM/Qu78/ZcsFkIRfO3wcbIdWmZqALivQjUZJCPIUZ9jAbCtqJPhIEn7W0HTaaON&#10;veaqJjiYRRr24VKLPt4Y6/EJIujaKFFlV5UQboJ1wy+EJo8UMn5eJK3xLSkhUVYq1PIG8Q3AHQJy&#10;I/skOMoJ+ZHngA6cdt9txBXn2glljEub+KWSZtz7HsHZhvPsNNzpOoNoOQf/ne3WwHYAwbbfZSuP&#10;qtzVdqccP7cxr9xpOM9K2k65rqTS+wwIiKr17OUDSB4aRGmusifIHa08s5iGXVVwbDfU2FuqgUog&#10;n4Ae7Qd45EItZ5FqRxEplf687z3KQ3LDakSWQE2zyPy5oJpHRPwmIe2Pk+EQzFo3gYLDnNWbK/PN&#10;FbmoLxTkQgJE3DA3RHkrwjDXqn4AFj1Dr7BEJQPfs4hZHSYX1lMm8DDjZ2dODPirofZG3jUMjSOq&#10;mJb3qweqmzZ3LWT9exVKjU53UtjLoqZUZwur8srl9xrXFm8oeySnV6l/gGlf/btEwC0AV7y4/oeD&#10;47g/eq7+00F/4iU61vtuAoDby9U/yUUFuSLhnoXzVfahsqWDPhxPYYBAEO3CkEZBIrVVo4t5xxhx&#10;PEnTd7u1PAi1DHRD7e8q8yWeJFjkgWG8GVfhhdl045kA35hvuxrDLdBS5gGu4AbCHb3QVysNJf4d&#10;ccFBdUBCAZQEH1AtlWYCLxRPa/cK7w/sN1onBCpo7Q+MoBpK20pwJws1+iYIQ28Sxp6AwiGjxv/0&#10;nf8o+rar+QoAXjPO6zK5I++OyqEVSNOOy8PaBpnD2sFsPv8Pcnk/cPnFgmZaEWhN8EbCfs41XRt8&#10;TuzqXEGH0/H8s53dcz3dRtd3OKdvtWtbrDm8PD8/TwPnbvZ+QhJoL8YD6KKRJXbbu9AztU0kxu5j&#10;dKM9zd4Leqr9ndwLFF+7k8v++GYnh1TgvwEQ3J+DEQIH+O4uzH4QI9ifiRHctx584/r2wX+P40f0&#10;5tx1g+t/DU7/AQAA//8DAFBLAwQUAAYACAAAACEAFaREZtwAAAAHAQAADwAAAGRycy9kb3ducmV2&#10;LnhtbEyPQUvDQBCF74L/YRnBm90kpVJiNqUU9VQEW0G8TZNpEpqdDdltkv57p17sZZjHG958L1tN&#10;tlUD9b5xbCCeRaCIC1c2XBn42r89LUH5gFxi65gMXMjDKr+/yzAt3cifNOxCpSSEfYoG6hC6VGtf&#10;1GTRz1xHLN7R9RaDyL7SZY+jhNtWJ1H0rC02LB9q7GhTU3Hana2B9xHH9Tx+Hban4+bys198fG9j&#10;MubxYVq/gAo0hf9juOILOuTCdHBnLr1qDUiR8DevXpLMRR9kWyyTCHSe6Vv+/BcAAP//AwBQSwEC&#10;LQAUAAYACAAAACEAtoM4kv4AAADhAQAAEwAAAAAAAAAAAAAAAAAAAAAAW0NvbnRlbnRfVHlwZXNd&#10;LnhtbFBLAQItABQABgAIAAAAIQA4/SH/1gAAAJQBAAALAAAAAAAAAAAAAAAAAC8BAABfcmVscy8u&#10;cmVsc1BLAQItABQABgAIAAAAIQANrJDqZAQAAH0QAAAOAAAAAAAAAAAAAAAAAC4CAABkcnMvZTJv&#10;RG9jLnhtbFBLAQItABQABgAIAAAAIQAVpERm3AAAAAcBAAAPAAAAAAAAAAAAAAAAAL4GAABkcnMv&#10;ZG93bnJldi54bWxQSwUGAAAAAAQABADzAAAAxwcAAAAA&#10;">
                    <v:rect id="Rectángulo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7jxgAAANwAAAAPAAAAZHJzL2Rvd25yZXYueG1sRI9Ba8Mw&#10;DIXvg/0Ho8EuY3XWwChZ3dIWBr3ssK6UHkWsxqaxHGIvSffrp8NgN4n39N6n5XoKrRqoTz6ygZdZ&#10;AYq4jtZzY+D49f68AJUyssU2Mhm4UYL16v5uiZWNI3/ScMiNkhBOFRpwOXeV1ql2FDDNYkcs2iX2&#10;AbOsfaNtj6OEh1bPi+JVB/QsDQ472jmqr4fvYODjVpb74am8jkdfNv5Hn7cnF415fJg2b6AyTfnf&#10;/He9t4I/F3x5RibQq18AAAD//wMAUEsBAi0AFAAGAAgAAAAhANvh9svuAAAAhQEAABMAAAAAAAAA&#10;AAAAAAAAAAAAAFtDb250ZW50X1R5cGVzXS54bWxQSwECLQAUAAYACAAAACEAWvQsW78AAAAVAQAA&#10;CwAAAAAAAAAAAAAAAAAfAQAAX3JlbHMvLnJlbHNQSwECLQAUAAYACAAAACEANn7e48YAAADcAAAA&#10;DwAAAAAAAAAAAAAAAAAHAgAAZHJzL2Rvd25yZXYueG1sUEsFBgAAAAADAAMAtwAAAPoCAAAAAA==&#10;" fillcolor="white [3212]" stroked="f" strokeweight="1pt"/>
                    <v:rect id="Rectángulo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9k1xAAAANwAAAAPAAAAZHJzL2Rvd25yZXYueG1sRE9Na8JA&#10;EL0X/A/LCN7qJsFWTbOKKEIPLVqbg8cxO02C2dmYXTX9991Cobd5vM/Jlr1pxI06V1tWEI8jEMSF&#10;1TWXCvLP7eMMhPPIGhvLpOCbHCwXg4cMU23v/EG3gy9FCGGXooLK+zaV0hUVGXRj2xIH7st2Bn2A&#10;XSl1h/cQbhqZRNGzNFhzaKiwpXVFxflwNQrwfTrbJZsL7bf525Hzyck9zU9KjYb96gWEp97/i//c&#10;rzrMT2L4fSZcIBc/AAAA//8DAFBLAQItABQABgAIAAAAIQDb4fbL7gAAAIUBAAATAAAAAAAAAAAA&#10;AAAAAAAAAABbQ29udGVudF9UeXBlc10ueG1sUEsBAi0AFAAGAAgAAAAhAFr0LFu/AAAAFQEAAAsA&#10;AAAAAAAAAAAAAAAAHwEAAF9yZWxzLy5yZWxzUEsBAi0AFAAGAAgAAAAhAESz2TXEAAAA3AAAAA8A&#10;AAAAAAAAAAAAAAAABwIAAGRycy9kb3ducmV2LnhtbFBLBQYAAAAAAwADALcAAAD4AgAAAAA=&#10;" fillcolor="#004756" stroked="f" strokeweight="1pt">
                      <v:fill color2="#007f99" rotate="t" focusposition=",1" focussize="" colors="0 #004756;.5 #006a7f;1 #007f99" focus="100%" type="gradientRadial"/>
                      <v:textbox inset="36pt,14.4pt,36pt,36pt">
                        <w:txbxContent>
                          <w:p w14:paraId="00F8F4E1" w14:textId="3341CAF4" w:rsidR="006C39A3" w:rsidRDefault="00000000">
                            <w:pPr>
                              <w:pStyle w:val="Sinespaciad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alias w:val="Autor"/>
                                <w:tag w:val=""/>
                                <w:id w:val="88414185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6C39A3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69D70625" w14:textId="30B44183" w:rsidR="006C39A3" w:rsidRPr="003429EA" w:rsidRDefault="00000000">
                            <w:pPr>
                              <w:pStyle w:val="Sinespaciado"/>
                              <w:rPr>
                                <w:rFonts w:ascii="Lucida Sans Unicode" w:hAnsi="Lucida Sans Unicode" w:cs="Lucida Sans Unicode"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Lucida Sans Unicode" w:hAnsi="Lucida Sans Unicode" w:cs="Lucida Sans Unicode"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alias w:val="Dirección"/>
                                <w:tag w:val=""/>
                                <w:id w:val="2113163453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6C39A3" w:rsidRPr="003429EA">
                                  <w:rPr>
                                    <w:rFonts w:ascii="Lucida Sans Unicode" w:hAnsi="Lucida Sans Unicode" w:cs="Lucida Sans Unicode"/>
                                    <w:cap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iNSTITUTO ELECTORAL Y DE PARTICIPACIÓN CIUDAD</w:t>
                                </w:r>
                                <w:r w:rsidR="003429EA" w:rsidRPr="003429EA">
                                  <w:rPr>
                                    <w:rFonts w:ascii="Lucida Sans Unicode" w:hAnsi="Lucida Sans Unicode" w:cs="Lucida Sans Unicode"/>
                                    <w:cap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="006C39A3" w:rsidRPr="003429EA">
                                  <w:rPr>
                                    <w:rFonts w:ascii="Lucida Sans Unicode" w:hAnsi="Lucida Sans Unicode" w:cs="Lucida Sans Unicode"/>
                                    <w:cap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NA DEL ESTADO DE JALISCO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2" o:spid="_x0000_s1029" type="#_x0000_t202" style="position:absolute;width:68580;height:73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7lwQAAANwAAAAPAAAAZHJzL2Rvd25yZXYueG1sRE89b8Iw&#10;EN2R+A/WIXUDpxkQDRhEK1UqQ4dSFrZTfMSB+JzaVwj/vq5Uqds9vc9bbQbfqSvF1AY28DgrQBHX&#10;wbbcGDh8vk4XoJIgW+wCk4E7Jdisx6MVVjbc+IOue2lUDuFUoQEn0ldap9qRxzQLPXHmTiF6lAxj&#10;o23EWw73nS6LYq49tpwbHPb04qi+7L+9Af18/3I7En6P5+3RFr3MF7snYx4mw3YJSmiQf/Gf+83m&#10;+WUJv8/kC/T6BwAA//8DAFBLAQItABQABgAIAAAAIQDb4fbL7gAAAIUBAAATAAAAAAAAAAAAAAAA&#10;AAAAAABbQ29udGVudF9UeXBlc10ueG1sUEsBAi0AFAAGAAgAAAAhAFr0LFu/AAAAFQEAAAsAAAAA&#10;AAAAAAAAAAAAHwEAAF9yZWxzLy5yZWxzUEsBAi0AFAAGAAgAAAAhAG/BDuXBAAAA3AAAAA8AAAAA&#10;AAAAAAAAAAAABwIAAGRycy9kb3ducmV2LnhtbFBLBQYAAAAAAwADALcAAAD1AgAAAAA=&#10;" fillcolor="#4dbbb8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Lucida Sans Unicode" w:eastAsiaTheme="majorEastAsia" w:hAnsi="Lucida Sans Unicode" w:cs="Lucida Sans Unicode"/>
                                <w:color w:val="000000" w:themeColor="text1"/>
                                <w:sz w:val="108"/>
                                <w:szCs w:val="10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Título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03AC18C1" w14:textId="277E0195" w:rsidR="006C39A3" w:rsidRPr="009E05C4" w:rsidRDefault="001B23BF">
                                <w:pPr>
                                  <w:pStyle w:val="Sinespaciado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000000" w:themeColor="text1"/>
                                    <w:sz w:val="108"/>
                                    <w:szCs w:val="10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E05C4">
                                  <w:rPr>
                                    <w:rFonts w:ascii="Lucida Sans Unicode" w:eastAsiaTheme="majorEastAsia" w:hAnsi="Lucida Sans Unicode" w:cs="Lucida Sans Unicode"/>
                                    <w:color w:val="000000" w:themeColor="text1"/>
                                    <w:sz w:val="108"/>
                                    <w:szCs w:val="10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Programa Anual de Trabajo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Lucida Sans Unicode" w:hAnsi="Lucida Sans Unicode" w:cs="Lucida Sans Unicode"/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7C3E636D" w14:textId="6755460B" w:rsidR="006C39A3" w:rsidRPr="003429EA" w:rsidRDefault="006C39A3">
                                <w:pPr>
                                  <w:pStyle w:val="Sinespaciado"/>
                                  <w:spacing w:before="240"/>
                                  <w:rPr>
                                    <w:rFonts w:ascii="Lucida Sans Unicode" w:hAnsi="Lucida Sans Unicode" w:cs="Lucida Sans Unicode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 w:rsidRPr="003429EA">
                                  <w:rPr>
                                    <w:rFonts w:ascii="Lucida Sans Unicode" w:hAnsi="Lucida Sans Unicode" w:cs="Lucida Sans Unicode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comisión de mejora regulatoria interna                               octubre 2024-septiembre 2025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01EB4CEA" w14:textId="4A21FC50" w:rsidR="006C39A3" w:rsidRDefault="006C39A3">
          <w:pPr>
            <w:rPr>
              <w:rFonts w:ascii="Lucida Sans Unicode" w:hAnsi="Lucida Sans Unicode" w:cs="Lucida Sans Unicode"/>
              <w:b/>
              <w:bCs/>
              <w:sz w:val="21"/>
              <w:szCs w:val="21"/>
            </w:rPr>
          </w:pPr>
          <w:r>
            <w:rPr>
              <w:rFonts w:ascii="Lucida Sans Unicode" w:hAnsi="Lucida Sans Unicode" w:cs="Lucida Sans Unicode"/>
              <w:b/>
              <w:bCs/>
              <w:sz w:val="21"/>
              <w:szCs w:val="21"/>
            </w:rPr>
            <w:br w:type="page"/>
          </w:r>
        </w:p>
      </w:sdtContent>
    </w:sdt>
    <w:p w14:paraId="11C58285" w14:textId="6469709D" w:rsidR="00886D25" w:rsidRPr="003429EA" w:rsidRDefault="00420BDD" w:rsidP="001C28EC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3429EA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1. P</w:t>
      </w:r>
      <w:r w:rsidR="003429EA" w:rsidRPr="003429EA">
        <w:rPr>
          <w:rFonts w:ascii="Lucida Sans Unicode" w:hAnsi="Lucida Sans Unicode" w:cs="Lucida Sans Unicode"/>
          <w:b/>
          <w:bCs/>
          <w:sz w:val="20"/>
          <w:szCs w:val="20"/>
        </w:rPr>
        <w:t>resentación</w:t>
      </w:r>
    </w:p>
    <w:p w14:paraId="4131F8F1" w14:textId="77777777" w:rsidR="00E60E71" w:rsidRPr="003429EA" w:rsidRDefault="00E60E71" w:rsidP="001C28EC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7269ACC2" w14:textId="77777777" w:rsidR="00932295" w:rsidRDefault="002C7072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Con la finalidad de revisar la normatividad interna del Instituto Electoral y de Participación Ciudadana el Estado de Jalisco</w:t>
      </w:r>
      <w:r w:rsidR="00685468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generar normas claras, trámites y procedimientos s</w:t>
      </w:r>
      <w:r w:rsidR="00685468">
        <w:rPr>
          <w:rFonts w:ascii="Lucida Sans Unicode" w:hAnsi="Lucida Sans Unicode" w:cs="Lucida Sans Unicode"/>
          <w:sz w:val="20"/>
          <w:szCs w:val="20"/>
        </w:rPr>
        <w:t xml:space="preserve">encillos, simplificar y actualizar la regulación interna, </w:t>
      </w:r>
      <w:r w:rsidR="00DF66E3">
        <w:rPr>
          <w:rFonts w:ascii="Lucida Sans Unicode" w:hAnsi="Lucida Sans Unicode" w:cs="Lucida Sans Unicode"/>
          <w:sz w:val="20"/>
          <w:szCs w:val="20"/>
        </w:rPr>
        <w:t>el Consejo General ha determinado la creación e integración de la Comisión de Mejora Regulatoria Interna, de carácter temporal</w:t>
      </w:r>
      <w:r w:rsidR="00932295">
        <w:rPr>
          <w:rFonts w:ascii="Lucida Sans Unicode" w:hAnsi="Lucida Sans Unicode" w:cs="Lucida Sans Unicode"/>
          <w:sz w:val="20"/>
          <w:szCs w:val="20"/>
        </w:rPr>
        <w:t>.</w:t>
      </w:r>
    </w:p>
    <w:p w14:paraId="65C492E2" w14:textId="77777777" w:rsidR="00932295" w:rsidRDefault="00932295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C10AC00" w14:textId="20905AE9" w:rsidR="00195FFB" w:rsidRDefault="00932295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Dicho órgano técnico,</w:t>
      </w:r>
      <w:r w:rsidR="00DF66E3">
        <w:rPr>
          <w:rFonts w:ascii="Lucida Sans Unicode" w:hAnsi="Lucida Sans Unicode" w:cs="Lucida Sans Unicode"/>
          <w:sz w:val="20"/>
          <w:szCs w:val="20"/>
        </w:rPr>
        <w:t xml:space="preserve"> será la </w:t>
      </w:r>
      <w:r w:rsidR="008965A5">
        <w:rPr>
          <w:rFonts w:ascii="Lucida Sans Unicode" w:hAnsi="Lucida Sans Unicode" w:cs="Lucida Sans Unicode"/>
          <w:sz w:val="20"/>
          <w:szCs w:val="20"/>
        </w:rPr>
        <w:t xml:space="preserve">instancia </w:t>
      </w:r>
      <w:r w:rsidR="00DF66E3">
        <w:rPr>
          <w:rFonts w:ascii="Lucida Sans Unicode" w:hAnsi="Lucida Sans Unicode" w:cs="Lucida Sans Unicode"/>
          <w:sz w:val="20"/>
          <w:szCs w:val="20"/>
        </w:rPr>
        <w:t>encargada de revisar la reglamentación existente, para proponer, en su caso, la modificación o reforma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F66E3">
        <w:rPr>
          <w:rFonts w:ascii="Lucida Sans Unicode" w:hAnsi="Lucida Sans Unicode" w:cs="Lucida Sans Unicode"/>
          <w:sz w:val="20"/>
          <w:szCs w:val="20"/>
        </w:rPr>
        <w:t xml:space="preserve"> incluso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F66E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B1F7B">
        <w:rPr>
          <w:rFonts w:ascii="Lucida Sans Unicode" w:hAnsi="Lucida Sans Unicode" w:cs="Lucida Sans Unicode"/>
          <w:sz w:val="20"/>
          <w:szCs w:val="20"/>
        </w:rPr>
        <w:t>la</w:t>
      </w:r>
      <w:r w:rsidR="00DF66E3">
        <w:rPr>
          <w:rFonts w:ascii="Lucida Sans Unicode" w:hAnsi="Lucida Sans Unicode" w:cs="Lucida Sans Unicode"/>
          <w:sz w:val="20"/>
          <w:szCs w:val="20"/>
        </w:rPr>
        <w:t xml:space="preserve"> derogación</w:t>
      </w:r>
      <w:r w:rsidR="008965A5">
        <w:rPr>
          <w:rFonts w:ascii="Lucida Sans Unicode" w:hAnsi="Lucida Sans Unicode" w:cs="Lucida Sans Unicode"/>
          <w:sz w:val="20"/>
          <w:szCs w:val="20"/>
        </w:rPr>
        <w:t xml:space="preserve"> y, en consecuencia, </w:t>
      </w:r>
      <w:r w:rsidR="00DF66E3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685468">
        <w:rPr>
          <w:rFonts w:ascii="Lucida Sans Unicode" w:hAnsi="Lucida Sans Unicode" w:cs="Lucida Sans Unicode"/>
          <w:sz w:val="20"/>
          <w:szCs w:val="20"/>
        </w:rPr>
        <w:t xml:space="preserve">creación o </w:t>
      </w:r>
      <w:r w:rsidR="00DF66E3">
        <w:rPr>
          <w:rFonts w:ascii="Lucida Sans Unicode" w:hAnsi="Lucida Sans Unicode" w:cs="Lucida Sans Unicode"/>
          <w:sz w:val="20"/>
          <w:szCs w:val="20"/>
        </w:rPr>
        <w:t>expedición de nuevos reglamentos</w:t>
      </w:r>
      <w:r w:rsidR="003A4DF8">
        <w:rPr>
          <w:rFonts w:ascii="Lucida Sans Unicode" w:hAnsi="Lucida Sans Unicode" w:cs="Lucida Sans Unicode"/>
          <w:sz w:val="20"/>
          <w:szCs w:val="20"/>
        </w:rPr>
        <w:t xml:space="preserve">, coadyuvando de esta forma con el máximo órgano de dirección en el desempeño de </w:t>
      </w:r>
      <w:r w:rsidR="002B1F7B">
        <w:rPr>
          <w:rFonts w:ascii="Lucida Sans Unicode" w:hAnsi="Lucida Sans Unicode" w:cs="Lucida Sans Unicode"/>
          <w:sz w:val="20"/>
          <w:szCs w:val="20"/>
        </w:rPr>
        <w:t>su</w:t>
      </w:r>
      <w:r w:rsidR="003A4DF8">
        <w:rPr>
          <w:rFonts w:ascii="Lucida Sans Unicode" w:hAnsi="Lucida Sans Unicode" w:cs="Lucida Sans Unicode"/>
          <w:sz w:val="20"/>
          <w:szCs w:val="20"/>
        </w:rPr>
        <w:t xml:space="preserve"> atribución reglamentaria.</w:t>
      </w:r>
      <w:r w:rsidR="00DF66E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14:paraId="6B4C1432" w14:textId="77777777" w:rsidR="00195FFB" w:rsidRDefault="00195FFB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F2D6D3E" w14:textId="0738DF6B" w:rsidR="008965A5" w:rsidRDefault="002B1F7B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bookmarkStart w:id="0" w:name="_Hlk180422104"/>
      <w:r>
        <w:rPr>
          <w:rFonts w:ascii="Lucida Sans Unicode" w:hAnsi="Lucida Sans Unicode" w:cs="Lucida Sans Unicode"/>
          <w:sz w:val="20"/>
          <w:szCs w:val="20"/>
        </w:rPr>
        <w:t>Al respecto</w:t>
      </w:r>
      <w:r w:rsidR="008965A5">
        <w:rPr>
          <w:rFonts w:ascii="Lucida Sans Unicode" w:hAnsi="Lucida Sans Unicode" w:cs="Lucida Sans Unicode"/>
          <w:sz w:val="20"/>
          <w:szCs w:val="20"/>
        </w:rPr>
        <w:t xml:space="preserve">, resulta trascendente establecer que </w:t>
      </w:r>
      <w:r w:rsidR="0085779E">
        <w:rPr>
          <w:rFonts w:ascii="Lucida Sans Unicode" w:hAnsi="Lucida Sans Unicode" w:cs="Lucida Sans Unicode"/>
          <w:sz w:val="20"/>
          <w:szCs w:val="20"/>
        </w:rPr>
        <w:t xml:space="preserve">la Comisión se abstendrá de analizar y realizar propuestas de mejora sobre </w:t>
      </w:r>
      <w:r w:rsidR="008965A5">
        <w:rPr>
          <w:rFonts w:ascii="Lucida Sans Unicode" w:hAnsi="Lucida Sans Unicode" w:cs="Lucida Sans Unicode"/>
          <w:sz w:val="20"/>
          <w:szCs w:val="20"/>
        </w:rPr>
        <w:t xml:space="preserve">aquellos instrumentos normativos cuya </w:t>
      </w:r>
      <w:r>
        <w:rPr>
          <w:rFonts w:ascii="Lucida Sans Unicode" w:hAnsi="Lucida Sans Unicode" w:cs="Lucida Sans Unicode"/>
          <w:sz w:val="20"/>
          <w:szCs w:val="20"/>
        </w:rPr>
        <w:t>revisión, elaboración</w:t>
      </w:r>
      <w:r w:rsidR="008965A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o expedición </w:t>
      </w:r>
      <w:r w:rsidR="008965A5">
        <w:rPr>
          <w:rFonts w:ascii="Lucida Sans Unicode" w:hAnsi="Lucida Sans Unicode" w:cs="Lucida Sans Unicode"/>
          <w:sz w:val="20"/>
          <w:szCs w:val="20"/>
        </w:rPr>
        <w:t>se encuentre expresamente encargada a un área espec</w:t>
      </w:r>
      <w:r w:rsidR="0085779E">
        <w:rPr>
          <w:rFonts w:ascii="Lucida Sans Unicode" w:hAnsi="Lucida Sans Unicode" w:cs="Lucida Sans Unicode"/>
          <w:sz w:val="20"/>
          <w:szCs w:val="20"/>
        </w:rPr>
        <w:t>í</w:t>
      </w:r>
      <w:r w:rsidR="008965A5">
        <w:rPr>
          <w:rFonts w:ascii="Lucida Sans Unicode" w:hAnsi="Lucida Sans Unicode" w:cs="Lucida Sans Unicode"/>
          <w:sz w:val="20"/>
          <w:szCs w:val="20"/>
        </w:rPr>
        <w:t>fica del Instituto</w:t>
      </w:r>
      <w:r w:rsidR="0085779E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8965A5">
        <w:rPr>
          <w:rFonts w:ascii="Lucida Sans Unicode" w:hAnsi="Lucida Sans Unicode" w:cs="Lucida Sans Unicode"/>
          <w:sz w:val="20"/>
          <w:szCs w:val="20"/>
        </w:rPr>
        <w:t xml:space="preserve"> </w:t>
      </w:r>
    </w:p>
    <w:bookmarkEnd w:id="0"/>
    <w:p w14:paraId="5C0289A5" w14:textId="77777777" w:rsidR="00690EED" w:rsidRDefault="00690EED" w:rsidP="001C28EC">
      <w:pPr>
        <w:spacing w:after="0"/>
        <w:jc w:val="both"/>
        <w:rPr>
          <w:rFonts w:ascii="Lucida Sans Unicode" w:eastAsia="Lucida Sans Unicode" w:hAnsi="Lucida Sans Unicode" w:cs="Lucida Sans Unicode"/>
          <w:color w:val="09090A"/>
          <w:sz w:val="20"/>
          <w:szCs w:val="20"/>
          <w:lang w:val="es-ES"/>
        </w:rPr>
      </w:pPr>
    </w:p>
    <w:p w14:paraId="3315DFD5" w14:textId="65BE76FC" w:rsidR="008965A5" w:rsidRDefault="00690EED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3466A127">
        <w:rPr>
          <w:rFonts w:ascii="Lucida Sans Unicode" w:eastAsia="Lucida Sans Unicode" w:hAnsi="Lucida Sans Unicode" w:cs="Lucida Sans Unicode"/>
          <w:color w:val="09090A"/>
          <w:sz w:val="20"/>
          <w:szCs w:val="20"/>
          <w:lang w:val="es-ES"/>
        </w:rPr>
        <w:t xml:space="preserve">No obstante, a solicitud de la dirección o comisión responsable de la expedición o modificación de los instrumentos normativos, la Comisión de Mejora Regulatoria Interna, podrá emitir opinión sobre el contenido de las propuestas que se realicen sobre </w:t>
      </w:r>
      <w:r>
        <w:rPr>
          <w:rFonts w:ascii="Lucida Sans Unicode" w:eastAsia="Lucida Sans Unicode" w:hAnsi="Lucida Sans Unicode" w:cs="Lucida Sans Unicode"/>
          <w:color w:val="09090A"/>
          <w:sz w:val="20"/>
          <w:szCs w:val="20"/>
          <w:lang w:val="es-ES"/>
        </w:rPr>
        <w:t>los instrumentos reservados para estas</w:t>
      </w:r>
      <w:r w:rsidRPr="3466A127">
        <w:rPr>
          <w:rFonts w:ascii="Lucida Sans Unicode" w:eastAsia="Lucida Sans Unicode" w:hAnsi="Lucida Sans Unicode" w:cs="Lucida Sans Unicode"/>
          <w:color w:val="09090A"/>
          <w:sz w:val="20"/>
          <w:szCs w:val="20"/>
          <w:lang w:val="es-ES"/>
        </w:rPr>
        <w:t xml:space="preserve">. </w:t>
      </w:r>
      <w:r w:rsidRPr="3466A127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</w:p>
    <w:p w14:paraId="64A54A33" w14:textId="77777777" w:rsidR="00690EED" w:rsidRDefault="00690EED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403672" w14:textId="6867794C" w:rsidR="00DF66E3" w:rsidRDefault="00DF66E3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En ese sentido, el presente documento tiene como finalidad, presentar a las personas integrantes </w:t>
      </w:r>
      <w:r w:rsidR="00690EED">
        <w:rPr>
          <w:rFonts w:ascii="Lucida Sans Unicode" w:hAnsi="Lucida Sans Unicode" w:cs="Lucida Sans Unicode"/>
          <w:sz w:val="20"/>
          <w:szCs w:val="20"/>
        </w:rPr>
        <w:t>d</w:t>
      </w:r>
      <w:r>
        <w:rPr>
          <w:rFonts w:ascii="Lucida Sans Unicode" w:hAnsi="Lucida Sans Unicode" w:cs="Lucida Sans Unicode"/>
          <w:sz w:val="20"/>
          <w:szCs w:val="20"/>
        </w:rPr>
        <w:t>el Consejo General, las actividades que la Comisión desarrollará durante el periodo comprendido de octubre de 2024 a septiembre de 2025</w:t>
      </w:r>
      <w:r w:rsidR="0056180C">
        <w:rPr>
          <w:rFonts w:ascii="Lucida Sans Unicode" w:hAnsi="Lucida Sans Unicode" w:cs="Lucida Sans Unicode"/>
          <w:sz w:val="20"/>
          <w:szCs w:val="20"/>
        </w:rPr>
        <w:t xml:space="preserve">, así como </w:t>
      </w:r>
      <w:r w:rsidR="002B1F7B">
        <w:rPr>
          <w:rFonts w:ascii="Lucida Sans Unicode" w:hAnsi="Lucida Sans Unicode" w:cs="Lucida Sans Unicode"/>
          <w:sz w:val="20"/>
          <w:szCs w:val="20"/>
        </w:rPr>
        <w:t xml:space="preserve">la gestión de </w:t>
      </w:r>
      <w:r w:rsidR="005B6681">
        <w:rPr>
          <w:rFonts w:ascii="Lucida Sans Unicode" w:hAnsi="Lucida Sans Unicode" w:cs="Lucida Sans Unicode"/>
          <w:sz w:val="20"/>
          <w:szCs w:val="20"/>
        </w:rPr>
        <w:t>estas</w:t>
      </w:r>
      <w:r w:rsidR="002B1F7B">
        <w:rPr>
          <w:rFonts w:ascii="Lucida Sans Unicode" w:hAnsi="Lucida Sans Unicode" w:cs="Lucida Sans Unicode"/>
          <w:sz w:val="20"/>
          <w:szCs w:val="20"/>
        </w:rPr>
        <w:t xml:space="preserve"> a través de un </w:t>
      </w:r>
      <w:r w:rsidR="0056180C">
        <w:rPr>
          <w:rFonts w:ascii="Lucida Sans Unicode" w:hAnsi="Lucida Sans Unicode" w:cs="Lucida Sans Unicode"/>
          <w:sz w:val="20"/>
          <w:szCs w:val="20"/>
        </w:rPr>
        <w:t>cronograma</w:t>
      </w:r>
      <w:r>
        <w:rPr>
          <w:rFonts w:ascii="Lucida Sans Unicode" w:hAnsi="Lucida Sans Unicode" w:cs="Lucida Sans Unicode"/>
          <w:sz w:val="20"/>
          <w:szCs w:val="20"/>
        </w:rPr>
        <w:t xml:space="preserve">.  </w:t>
      </w:r>
    </w:p>
    <w:p w14:paraId="7CA74EA8" w14:textId="77777777" w:rsidR="00DF66E3" w:rsidRDefault="00DF66E3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DE5BA7F" w14:textId="77777777" w:rsidR="00C24668" w:rsidRDefault="0056180C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Por lo </w:t>
      </w:r>
      <w:r w:rsidR="00BC58BE">
        <w:rPr>
          <w:rFonts w:ascii="Lucida Sans Unicode" w:hAnsi="Lucida Sans Unicode" w:cs="Lucida Sans Unicode"/>
          <w:sz w:val="20"/>
          <w:szCs w:val="20"/>
        </w:rPr>
        <w:t>tanto</w:t>
      </w:r>
      <w:r>
        <w:rPr>
          <w:rFonts w:ascii="Lucida Sans Unicode" w:hAnsi="Lucida Sans Unicode" w:cs="Lucida Sans Unicode"/>
          <w:sz w:val="20"/>
          <w:szCs w:val="20"/>
        </w:rPr>
        <w:t xml:space="preserve">, en cumplimiento a la obligación contenida en el artículo </w:t>
      </w:r>
      <w:r w:rsidR="00D6769B">
        <w:rPr>
          <w:rFonts w:ascii="Lucida Sans Unicode" w:hAnsi="Lucida Sans Unicode" w:cs="Lucida Sans Unicode"/>
          <w:sz w:val="20"/>
          <w:szCs w:val="20"/>
        </w:rPr>
        <w:t>28, numeral 1, fracción I</w:t>
      </w:r>
      <w:r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BC58BE">
        <w:rPr>
          <w:rFonts w:ascii="Lucida Sans Unicode" w:hAnsi="Lucida Sans Unicode" w:cs="Lucida Sans Unicode"/>
          <w:sz w:val="20"/>
          <w:szCs w:val="20"/>
        </w:rPr>
        <w:t>R</w:t>
      </w:r>
      <w:r>
        <w:rPr>
          <w:rFonts w:ascii="Lucida Sans Unicode" w:hAnsi="Lucida Sans Unicode" w:cs="Lucida Sans Unicode"/>
          <w:sz w:val="20"/>
          <w:szCs w:val="20"/>
        </w:rPr>
        <w:t>eglamento Interior de este organismo electoral, se pone a consideración del Consejo General, el presente Programa</w:t>
      </w:r>
      <w:r w:rsidR="00D6769B">
        <w:rPr>
          <w:rFonts w:ascii="Lucida Sans Unicode" w:hAnsi="Lucida Sans Unicode" w:cs="Lucida Sans Unicode"/>
          <w:sz w:val="20"/>
          <w:szCs w:val="20"/>
        </w:rPr>
        <w:t xml:space="preserve"> Anual </w:t>
      </w:r>
      <w:r>
        <w:rPr>
          <w:rFonts w:ascii="Lucida Sans Unicode" w:hAnsi="Lucida Sans Unicode" w:cs="Lucida Sans Unicode"/>
          <w:sz w:val="20"/>
          <w:szCs w:val="20"/>
        </w:rPr>
        <w:t>de Trabajo.</w:t>
      </w:r>
    </w:p>
    <w:p w14:paraId="5252D549" w14:textId="77777777" w:rsidR="005B6681" w:rsidRDefault="005B6681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0EA903" w14:textId="7B8E531A" w:rsidR="008A2BFA" w:rsidRDefault="0056180C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24D1D29" w14:textId="77777777" w:rsidR="00685468" w:rsidRDefault="00685468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br w:type="page"/>
      </w:r>
    </w:p>
    <w:p w14:paraId="0A129382" w14:textId="03313865" w:rsidR="00420BDD" w:rsidRPr="003429EA" w:rsidRDefault="00420BDD" w:rsidP="001C28EC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3429EA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II. M</w:t>
      </w:r>
      <w:r w:rsidR="003429EA" w:rsidRPr="003429EA">
        <w:rPr>
          <w:rFonts w:ascii="Lucida Sans Unicode" w:hAnsi="Lucida Sans Unicode" w:cs="Lucida Sans Unicode"/>
          <w:b/>
          <w:bCs/>
          <w:sz w:val="20"/>
          <w:szCs w:val="20"/>
        </w:rPr>
        <w:t>arco normativo</w:t>
      </w:r>
    </w:p>
    <w:p w14:paraId="3EDEAC14" w14:textId="77777777" w:rsidR="00E60E71" w:rsidRPr="003429EA" w:rsidRDefault="00E60E71" w:rsidP="001C28EC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0E2AA811" w14:textId="524026DC" w:rsidR="00EC19BE" w:rsidRDefault="00EC19BE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De conformidad con lo dispuesto en el artículo 134, numeral 1, fracción I del Código Electoral del Estado de Jalisco, el Consejo General del Instituto tiene la atribución de aprobar y expedir los reglamentos interiores necesarios para el debido ejercicio de sus facultades y atribuciones. </w:t>
      </w:r>
    </w:p>
    <w:p w14:paraId="7E51B05B" w14:textId="77777777" w:rsidR="00EC19BE" w:rsidRDefault="00EC19BE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1CB1226" w14:textId="561817E5" w:rsidR="00D84DF6" w:rsidRDefault="00D84DF6" w:rsidP="00D84DF6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Por su parte el a</w:t>
      </w:r>
      <w:r w:rsidRPr="00D84DF6">
        <w:rPr>
          <w:rFonts w:ascii="Lucida Sans Unicode" w:hAnsi="Lucida Sans Unicode" w:cs="Lucida Sans Unicode"/>
          <w:sz w:val="20"/>
          <w:szCs w:val="20"/>
        </w:rPr>
        <w:t>rtículo 136</w:t>
      </w:r>
      <w:r>
        <w:rPr>
          <w:rFonts w:ascii="Lucida Sans Unicode" w:hAnsi="Lucida Sans Unicode" w:cs="Lucida Sans Unicode"/>
          <w:sz w:val="20"/>
          <w:szCs w:val="20"/>
        </w:rPr>
        <w:t xml:space="preserve">, numeral </w:t>
      </w:r>
      <w:r w:rsidRPr="00D84DF6">
        <w:rPr>
          <w:rFonts w:ascii="Lucida Sans Unicode" w:hAnsi="Lucida Sans Unicode" w:cs="Lucida Sans Unicode"/>
          <w:sz w:val="20"/>
          <w:szCs w:val="20"/>
        </w:rPr>
        <w:t>1</w:t>
      </w:r>
      <w:r>
        <w:rPr>
          <w:rFonts w:ascii="Lucida Sans Unicode" w:hAnsi="Lucida Sans Unicode" w:cs="Lucida Sans Unicode"/>
          <w:sz w:val="20"/>
          <w:szCs w:val="20"/>
        </w:rPr>
        <w:t xml:space="preserve"> del</w:t>
      </w:r>
      <w:r w:rsidRPr="00D84DF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ordenamiento antes citado, señala que el </w:t>
      </w:r>
      <w:r w:rsidRPr="00D84DF6">
        <w:rPr>
          <w:rFonts w:ascii="Lucida Sans Unicode" w:hAnsi="Lucida Sans Unicode" w:cs="Lucida Sans Unicode"/>
          <w:sz w:val="20"/>
          <w:szCs w:val="20"/>
        </w:rPr>
        <w:t>Consejo General integrará las comisiones temporales que considere necesarias para el desempeño de sus atribuciones.</w:t>
      </w:r>
    </w:p>
    <w:p w14:paraId="3B8D5BA2" w14:textId="77777777" w:rsidR="00D84DF6" w:rsidRDefault="00D84DF6" w:rsidP="00D84DF6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1215A73" w14:textId="20E3A499" w:rsidR="00EC19BE" w:rsidRDefault="00EC19BE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Así mismo, como lo establece el artículo 27 </w:t>
      </w:r>
      <w:r w:rsidR="00D84DF6">
        <w:rPr>
          <w:rFonts w:ascii="Lucida Sans Unicode" w:hAnsi="Lucida Sans Unicode" w:cs="Lucida Sans Unicode"/>
          <w:sz w:val="20"/>
          <w:szCs w:val="20"/>
        </w:rPr>
        <w:t xml:space="preserve">del Reglamento Interior de este organismo electoral, las comisiones contribuyen al desempeño de las atribuciones del Consejo General y ejercen las facultades que les confiere dicho reglamento, el Código Electoral del Estado de Jalisco, los acuerdos y resoluciones que emita el Consejo General. </w:t>
      </w:r>
    </w:p>
    <w:p w14:paraId="2A0C99F5" w14:textId="77777777" w:rsidR="00D84DF6" w:rsidRDefault="00D84DF6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826AE6B" w14:textId="0A0D2AA9" w:rsidR="00A94753" w:rsidRDefault="00D84DF6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En este sentido, </w:t>
      </w:r>
      <w:r w:rsidR="00FA78A4">
        <w:rPr>
          <w:rFonts w:ascii="Lucida Sans Unicode" w:hAnsi="Lucida Sans Unicode" w:cs="Lucida Sans Unicode"/>
          <w:sz w:val="20"/>
          <w:szCs w:val="20"/>
        </w:rPr>
        <w:t>como se advierte del considerando VIII del acuerdo IEPC-ACG-349/2024, emitido por el Consejo General, en la vigésima séptima sesión extraordinaria celebrada el 10 de octubre de 2024</w:t>
      </w:r>
      <w:r w:rsidR="00A94753">
        <w:rPr>
          <w:rFonts w:ascii="Lucida Sans Unicode" w:hAnsi="Lucida Sans Unicode" w:cs="Lucida Sans Unicode"/>
          <w:sz w:val="20"/>
          <w:szCs w:val="20"/>
        </w:rPr>
        <w:t>;</w:t>
      </w:r>
      <w:r w:rsidR="00FA78A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94753">
        <w:rPr>
          <w:rFonts w:ascii="Lucida Sans Unicode" w:hAnsi="Lucida Sans Unicode" w:cs="Lucida Sans Unicode"/>
          <w:sz w:val="20"/>
          <w:szCs w:val="20"/>
        </w:rPr>
        <w:t xml:space="preserve">el máximo órgano de dirección de este Instituto </w:t>
      </w:r>
      <w:r w:rsidR="00F23498">
        <w:rPr>
          <w:rFonts w:ascii="Lucida Sans Unicode" w:hAnsi="Lucida Sans Unicode" w:cs="Lucida Sans Unicode"/>
          <w:sz w:val="20"/>
          <w:szCs w:val="20"/>
        </w:rPr>
        <w:t xml:space="preserve">confirió </w:t>
      </w:r>
      <w:r w:rsidR="00A94753">
        <w:rPr>
          <w:rFonts w:ascii="Lucida Sans Unicode" w:hAnsi="Lucida Sans Unicode" w:cs="Lucida Sans Unicode"/>
          <w:sz w:val="20"/>
          <w:szCs w:val="20"/>
        </w:rPr>
        <w:t>a la Comisión de Mejora Regulatoria Interna</w:t>
      </w:r>
      <w:r w:rsidR="00F23498">
        <w:rPr>
          <w:rFonts w:ascii="Lucida Sans Unicode" w:hAnsi="Lucida Sans Unicode" w:cs="Lucida Sans Unicode"/>
          <w:sz w:val="20"/>
          <w:szCs w:val="20"/>
        </w:rPr>
        <w:t>,</w:t>
      </w:r>
      <w:r w:rsidR="00A94753">
        <w:rPr>
          <w:rFonts w:ascii="Lucida Sans Unicode" w:hAnsi="Lucida Sans Unicode" w:cs="Lucida Sans Unicode"/>
          <w:sz w:val="20"/>
          <w:szCs w:val="20"/>
        </w:rPr>
        <w:t xml:space="preserve"> las atribuciones siguientes:</w:t>
      </w:r>
    </w:p>
    <w:p w14:paraId="0FBCECB4" w14:textId="77777777" w:rsidR="00A94753" w:rsidRDefault="00A94753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4A3197" w14:textId="5CFC5836" w:rsidR="00A94753" w:rsidRPr="00F23498" w:rsidRDefault="00A94753" w:rsidP="00F23498">
      <w:pPr>
        <w:pStyle w:val="Prrafodelista"/>
        <w:numPr>
          <w:ilvl w:val="0"/>
          <w:numId w:val="4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F23498">
        <w:rPr>
          <w:rFonts w:ascii="Lucida Sans Unicode" w:hAnsi="Lucida Sans Unicode" w:cs="Lucida Sans Unicode"/>
          <w:sz w:val="20"/>
          <w:szCs w:val="20"/>
        </w:rPr>
        <w:t>Elaborar las propuestas de reglamentos que requiera el Instituto</w:t>
      </w:r>
      <w:r w:rsidR="00F23498">
        <w:rPr>
          <w:rFonts w:ascii="Lucida Sans Unicode" w:hAnsi="Lucida Sans Unicode" w:cs="Lucida Sans Unicode"/>
          <w:sz w:val="20"/>
          <w:szCs w:val="20"/>
        </w:rPr>
        <w:t>;</w:t>
      </w:r>
    </w:p>
    <w:p w14:paraId="785D534E" w14:textId="77777777" w:rsidR="00A94753" w:rsidRPr="00A94753" w:rsidRDefault="00A94753" w:rsidP="00A94753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51D54B" w14:textId="55C90CDB" w:rsidR="00A94753" w:rsidRPr="00F23498" w:rsidRDefault="00A94753" w:rsidP="00F23498">
      <w:pPr>
        <w:pStyle w:val="Prrafodelista"/>
        <w:numPr>
          <w:ilvl w:val="0"/>
          <w:numId w:val="4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F23498">
        <w:rPr>
          <w:rFonts w:ascii="Lucida Sans Unicode" w:hAnsi="Lucida Sans Unicode" w:cs="Lucida Sans Unicode"/>
          <w:sz w:val="20"/>
          <w:szCs w:val="20"/>
        </w:rPr>
        <w:t>Proponer al Consejo General los proyectos de reglamentos, así como la actualización de los ya existentes</w:t>
      </w:r>
      <w:r w:rsidR="00F23498">
        <w:rPr>
          <w:rFonts w:ascii="Lucida Sans Unicode" w:hAnsi="Lucida Sans Unicode" w:cs="Lucida Sans Unicode"/>
          <w:sz w:val="20"/>
          <w:szCs w:val="20"/>
        </w:rPr>
        <w:t>;</w:t>
      </w:r>
    </w:p>
    <w:p w14:paraId="71705EC2" w14:textId="77777777" w:rsidR="00A94753" w:rsidRPr="00A94753" w:rsidRDefault="00A94753" w:rsidP="00A94753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F0215F" w14:textId="1CFF1F9A" w:rsidR="00A94753" w:rsidRPr="00F23498" w:rsidRDefault="00A94753" w:rsidP="00F23498">
      <w:pPr>
        <w:pStyle w:val="Prrafodelista"/>
        <w:numPr>
          <w:ilvl w:val="0"/>
          <w:numId w:val="4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F23498">
        <w:rPr>
          <w:rFonts w:ascii="Lucida Sans Unicode" w:hAnsi="Lucida Sans Unicode" w:cs="Lucida Sans Unicode"/>
          <w:sz w:val="20"/>
          <w:szCs w:val="20"/>
        </w:rPr>
        <w:t>Revisión a los reglamentos para adaptarlos a nuevas circunstancias o necesidades que así se requiera</w:t>
      </w:r>
      <w:r w:rsidR="00F23498">
        <w:rPr>
          <w:rFonts w:ascii="Lucida Sans Unicode" w:hAnsi="Lucida Sans Unicode" w:cs="Lucida Sans Unicode"/>
          <w:sz w:val="20"/>
          <w:szCs w:val="20"/>
        </w:rPr>
        <w:t>; y</w:t>
      </w:r>
    </w:p>
    <w:p w14:paraId="5D3D451A" w14:textId="77777777" w:rsidR="00A94753" w:rsidRPr="00A94753" w:rsidRDefault="00A94753" w:rsidP="00A94753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ED09DBF" w14:textId="2163619E" w:rsidR="00EC19BE" w:rsidRPr="00F23498" w:rsidRDefault="00A94753" w:rsidP="00F23498">
      <w:pPr>
        <w:pStyle w:val="Prrafodelista"/>
        <w:numPr>
          <w:ilvl w:val="0"/>
          <w:numId w:val="4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F23498">
        <w:rPr>
          <w:rFonts w:ascii="Lucida Sans Unicode" w:hAnsi="Lucida Sans Unicode" w:cs="Lucida Sans Unicode"/>
          <w:sz w:val="20"/>
          <w:szCs w:val="20"/>
        </w:rPr>
        <w:t xml:space="preserve">Las demás que se consideren necesarias para la mejora reglamentaria interna.   </w:t>
      </w:r>
      <w:r w:rsidR="00FA78A4" w:rsidRPr="00F2349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4C680CC" w14:textId="77777777" w:rsidR="00D84DF6" w:rsidRDefault="00D84DF6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67ED3EA" w14:textId="336476A7" w:rsidR="00685468" w:rsidRDefault="0068546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br w:type="page"/>
      </w:r>
    </w:p>
    <w:p w14:paraId="3028BD76" w14:textId="77777777" w:rsidR="005B6681" w:rsidRDefault="005B6681" w:rsidP="001C28EC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CE8F86F" w14:textId="72C481AF" w:rsidR="00420BDD" w:rsidRPr="003429EA" w:rsidRDefault="00A6360E" w:rsidP="001C28EC">
      <w:pPr>
        <w:spacing w:after="0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I</w:t>
      </w:r>
      <w:r w:rsidR="001B23BF">
        <w:rPr>
          <w:rFonts w:ascii="Lucida Sans Unicode" w:hAnsi="Lucida Sans Unicode" w:cs="Lucida Sans Unicode"/>
          <w:b/>
          <w:bCs/>
          <w:sz w:val="20"/>
          <w:szCs w:val="20"/>
        </w:rPr>
        <w:t>II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420BDD" w:rsidRPr="003429EA">
        <w:rPr>
          <w:rFonts w:ascii="Lucida Sans Unicode" w:hAnsi="Lucida Sans Unicode" w:cs="Lucida Sans Unicode"/>
          <w:b/>
          <w:bCs/>
          <w:sz w:val="20"/>
          <w:szCs w:val="20"/>
        </w:rPr>
        <w:t>O</w:t>
      </w:r>
      <w:r w:rsidRPr="003429EA">
        <w:rPr>
          <w:rFonts w:ascii="Lucida Sans Unicode" w:hAnsi="Lucida Sans Unicode" w:cs="Lucida Sans Unicode"/>
          <w:b/>
          <w:bCs/>
          <w:sz w:val="20"/>
          <w:szCs w:val="20"/>
        </w:rPr>
        <w:t>bjetivo general</w:t>
      </w:r>
    </w:p>
    <w:p w14:paraId="7822B0FC" w14:textId="77777777" w:rsidR="00FA011A" w:rsidRPr="003429EA" w:rsidRDefault="00FA011A" w:rsidP="003F345A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7CAA3E27" w14:textId="087944A6" w:rsidR="00420BDD" w:rsidRPr="003429EA" w:rsidRDefault="003F345A" w:rsidP="003F345A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</w:t>
      </w:r>
      <w:r w:rsidRPr="003F345A">
        <w:rPr>
          <w:rFonts w:ascii="Lucida Sans Unicode" w:hAnsi="Lucida Sans Unicode" w:cs="Lucida Sans Unicode"/>
          <w:sz w:val="20"/>
          <w:szCs w:val="20"/>
        </w:rPr>
        <w:t xml:space="preserve">oordinar los trabajos para proponer al Consejo General </w:t>
      </w:r>
      <w:r>
        <w:rPr>
          <w:rFonts w:ascii="Lucida Sans Unicode" w:hAnsi="Lucida Sans Unicode" w:cs="Lucida Sans Unicode"/>
          <w:sz w:val="20"/>
          <w:szCs w:val="20"/>
        </w:rPr>
        <w:t xml:space="preserve">los proyectos </w:t>
      </w:r>
      <w:r w:rsidR="00DA49A9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A6360E">
        <w:rPr>
          <w:rFonts w:ascii="Lucida Sans Unicode" w:hAnsi="Lucida Sans Unicode" w:cs="Lucida Sans Unicode"/>
          <w:sz w:val="20"/>
          <w:szCs w:val="20"/>
        </w:rPr>
        <w:t xml:space="preserve">expedición de </w:t>
      </w:r>
      <w:r w:rsidRPr="003F345A">
        <w:rPr>
          <w:rFonts w:ascii="Lucida Sans Unicode" w:hAnsi="Lucida Sans Unicode" w:cs="Lucida Sans Unicode"/>
          <w:sz w:val="20"/>
          <w:szCs w:val="20"/>
        </w:rPr>
        <w:t>reglamentos que se requ</w:t>
      </w:r>
      <w:r>
        <w:rPr>
          <w:rFonts w:ascii="Lucida Sans Unicode" w:hAnsi="Lucida Sans Unicode" w:cs="Lucida Sans Unicode"/>
          <w:sz w:val="20"/>
          <w:szCs w:val="20"/>
        </w:rPr>
        <w:t>ieran</w:t>
      </w:r>
      <w:r w:rsidRPr="003F345A">
        <w:rPr>
          <w:rFonts w:ascii="Lucida Sans Unicode" w:hAnsi="Lucida Sans Unicode" w:cs="Lucida Sans Unicode"/>
          <w:sz w:val="20"/>
          <w:szCs w:val="20"/>
        </w:rPr>
        <w:t xml:space="preserve"> para el mejor funcionamiento de</w:t>
      </w:r>
      <w:r>
        <w:rPr>
          <w:rFonts w:ascii="Lucida Sans Unicode" w:hAnsi="Lucida Sans Unicode" w:cs="Lucida Sans Unicode"/>
          <w:sz w:val="20"/>
          <w:szCs w:val="20"/>
        </w:rPr>
        <w:t>l Instituto</w:t>
      </w:r>
      <w:r w:rsidRPr="003F345A">
        <w:rPr>
          <w:rFonts w:ascii="Lucida Sans Unicode" w:hAnsi="Lucida Sans Unicode" w:cs="Lucida Sans Unicode"/>
          <w:sz w:val="20"/>
          <w:szCs w:val="20"/>
        </w:rPr>
        <w:t>, así como la revisión</w:t>
      </w:r>
      <w:r w:rsidR="00DA49A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6360E">
        <w:rPr>
          <w:rFonts w:ascii="Lucida Sans Unicode" w:hAnsi="Lucida Sans Unicode" w:cs="Lucida Sans Unicode"/>
          <w:sz w:val="20"/>
          <w:szCs w:val="20"/>
        </w:rPr>
        <w:t xml:space="preserve">en su caso, </w:t>
      </w:r>
      <w:r w:rsidR="00DA49A9">
        <w:rPr>
          <w:rFonts w:ascii="Lucida Sans Unicode" w:hAnsi="Lucida Sans Unicode" w:cs="Lucida Sans Unicode"/>
          <w:sz w:val="20"/>
          <w:szCs w:val="20"/>
        </w:rPr>
        <w:t>reforma o derogación</w:t>
      </w:r>
      <w:r w:rsidRPr="003F345A">
        <w:rPr>
          <w:rFonts w:ascii="Lucida Sans Unicode" w:hAnsi="Lucida Sans Unicode" w:cs="Lucida Sans Unicode"/>
          <w:sz w:val="20"/>
          <w:szCs w:val="20"/>
        </w:rPr>
        <w:t xml:space="preserve"> de los reglamentos ya existentes.</w:t>
      </w:r>
    </w:p>
    <w:p w14:paraId="2C0627CA" w14:textId="77777777" w:rsidR="00685468" w:rsidRPr="003429EA" w:rsidRDefault="00685468" w:rsidP="003F345A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1FB22AC" w14:textId="77B01460" w:rsidR="00420BDD" w:rsidRPr="00932295" w:rsidRDefault="001B23BF" w:rsidP="001C28EC">
      <w:pPr>
        <w:spacing w:after="0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932295">
        <w:rPr>
          <w:rFonts w:ascii="Lucida Sans Unicode" w:hAnsi="Lucida Sans Unicode" w:cs="Lucida Sans Unicode"/>
          <w:b/>
          <w:bCs/>
          <w:sz w:val="20"/>
          <w:szCs w:val="20"/>
        </w:rPr>
        <w:t>I</w:t>
      </w:r>
      <w:r w:rsidR="00A6360E" w:rsidRPr="00932295">
        <w:rPr>
          <w:rFonts w:ascii="Lucida Sans Unicode" w:hAnsi="Lucida Sans Unicode" w:cs="Lucida Sans Unicode"/>
          <w:b/>
          <w:bCs/>
          <w:sz w:val="20"/>
          <w:szCs w:val="20"/>
        </w:rPr>
        <w:t xml:space="preserve">V. </w:t>
      </w:r>
      <w:r w:rsidR="00420BDD" w:rsidRPr="00932295">
        <w:rPr>
          <w:rFonts w:ascii="Lucida Sans Unicode" w:hAnsi="Lucida Sans Unicode" w:cs="Lucida Sans Unicode"/>
          <w:b/>
          <w:bCs/>
          <w:sz w:val="20"/>
          <w:szCs w:val="20"/>
        </w:rPr>
        <w:t>O</w:t>
      </w:r>
      <w:r w:rsidR="00A6360E" w:rsidRPr="00932295">
        <w:rPr>
          <w:rFonts w:ascii="Lucida Sans Unicode" w:hAnsi="Lucida Sans Unicode" w:cs="Lucida Sans Unicode"/>
          <w:b/>
          <w:bCs/>
          <w:sz w:val="20"/>
          <w:szCs w:val="20"/>
        </w:rPr>
        <w:t>bjetivos específicos</w:t>
      </w:r>
    </w:p>
    <w:p w14:paraId="0980BEAD" w14:textId="77777777" w:rsidR="00FA011A" w:rsidRPr="00932295" w:rsidRDefault="00FA011A" w:rsidP="001C28EC">
      <w:pPr>
        <w:spacing w:after="0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5E72D41" w14:textId="0CB20454" w:rsidR="005B6681" w:rsidRPr="00932295" w:rsidRDefault="005B6681" w:rsidP="00492CBF">
      <w:pPr>
        <w:pStyle w:val="Prrafodelista"/>
        <w:numPr>
          <w:ilvl w:val="0"/>
          <w:numId w:val="5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932295">
        <w:rPr>
          <w:rFonts w:ascii="Lucida Sans Unicode" w:hAnsi="Lucida Sans Unicode" w:cs="Lucida Sans Unicode"/>
          <w:sz w:val="20"/>
          <w:szCs w:val="20"/>
        </w:rPr>
        <w:t xml:space="preserve">Elaborar la metodología </w:t>
      </w:r>
      <w:r w:rsidR="00685468" w:rsidRPr="00932295">
        <w:rPr>
          <w:rFonts w:ascii="Lucida Sans Unicode" w:hAnsi="Lucida Sans Unicode" w:cs="Lucida Sans Unicode"/>
          <w:sz w:val="20"/>
          <w:szCs w:val="20"/>
        </w:rPr>
        <w:t xml:space="preserve">para </w:t>
      </w:r>
      <w:r w:rsidRPr="00932295">
        <w:rPr>
          <w:rFonts w:ascii="Lucida Sans Unicode" w:hAnsi="Lucida Sans Unicode" w:cs="Lucida Sans Unicode"/>
          <w:sz w:val="20"/>
          <w:szCs w:val="20"/>
        </w:rPr>
        <w:t xml:space="preserve">la revisión </w:t>
      </w:r>
      <w:r w:rsidR="00BA7C16" w:rsidRPr="00932295">
        <w:rPr>
          <w:rFonts w:ascii="Lucida Sans Unicode" w:hAnsi="Lucida Sans Unicode" w:cs="Lucida Sans Unicode"/>
          <w:sz w:val="20"/>
          <w:szCs w:val="20"/>
        </w:rPr>
        <w:t>de la normativ</w:t>
      </w:r>
      <w:r w:rsidR="00685468" w:rsidRPr="00932295">
        <w:rPr>
          <w:rFonts w:ascii="Lucida Sans Unicode" w:hAnsi="Lucida Sans Unicode" w:cs="Lucida Sans Unicode"/>
          <w:sz w:val="20"/>
          <w:szCs w:val="20"/>
        </w:rPr>
        <w:t>idad</w:t>
      </w:r>
      <w:r w:rsidR="00BA7C16" w:rsidRPr="00932295">
        <w:rPr>
          <w:rFonts w:ascii="Lucida Sans Unicode" w:hAnsi="Lucida Sans Unicode" w:cs="Lucida Sans Unicode"/>
          <w:sz w:val="20"/>
          <w:szCs w:val="20"/>
        </w:rPr>
        <w:t xml:space="preserve"> interna</w:t>
      </w:r>
      <w:r w:rsidRPr="00932295">
        <w:rPr>
          <w:rFonts w:ascii="Lucida Sans Unicode" w:hAnsi="Lucida Sans Unicode" w:cs="Lucida Sans Unicode"/>
          <w:sz w:val="20"/>
          <w:szCs w:val="20"/>
        </w:rPr>
        <w:t>.</w:t>
      </w:r>
    </w:p>
    <w:p w14:paraId="3F68DE58" w14:textId="2E83F867" w:rsidR="005B6681" w:rsidRPr="00932295" w:rsidRDefault="005B6681" w:rsidP="00492CBF">
      <w:pPr>
        <w:pStyle w:val="Prrafodelista"/>
        <w:numPr>
          <w:ilvl w:val="0"/>
          <w:numId w:val="5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932295">
        <w:rPr>
          <w:rFonts w:ascii="Lucida Sans Unicode" w:hAnsi="Lucida Sans Unicode" w:cs="Lucida Sans Unicode"/>
          <w:sz w:val="20"/>
          <w:szCs w:val="20"/>
        </w:rPr>
        <w:t xml:space="preserve">Realizar </w:t>
      </w:r>
      <w:r w:rsidR="00685468" w:rsidRPr="00932295">
        <w:rPr>
          <w:rFonts w:ascii="Lucida Sans Unicode" w:hAnsi="Lucida Sans Unicode" w:cs="Lucida Sans Unicode"/>
          <w:sz w:val="20"/>
          <w:szCs w:val="20"/>
        </w:rPr>
        <w:t>un</w:t>
      </w:r>
      <w:r w:rsidRPr="00932295">
        <w:rPr>
          <w:rFonts w:ascii="Lucida Sans Unicode" w:hAnsi="Lucida Sans Unicode" w:cs="Lucida Sans Unicode"/>
          <w:sz w:val="20"/>
          <w:szCs w:val="20"/>
        </w:rPr>
        <w:t xml:space="preserve"> diagnóstico de </w:t>
      </w:r>
      <w:r w:rsidR="00685468" w:rsidRPr="00932295">
        <w:rPr>
          <w:rFonts w:ascii="Lucida Sans Unicode" w:hAnsi="Lucida Sans Unicode" w:cs="Lucida Sans Unicode"/>
          <w:sz w:val="20"/>
          <w:szCs w:val="20"/>
        </w:rPr>
        <w:t xml:space="preserve">mejora regulatoria </w:t>
      </w:r>
      <w:r w:rsidR="00932295" w:rsidRPr="00932295">
        <w:rPr>
          <w:rFonts w:ascii="Lucida Sans Unicode" w:hAnsi="Lucida Sans Unicode" w:cs="Lucida Sans Unicode"/>
          <w:sz w:val="20"/>
          <w:szCs w:val="20"/>
        </w:rPr>
        <w:t>sobre la normatividad interna</w:t>
      </w:r>
      <w:r w:rsidRPr="00932295">
        <w:rPr>
          <w:rFonts w:ascii="Lucida Sans Unicode" w:hAnsi="Lucida Sans Unicode" w:cs="Lucida Sans Unicode"/>
          <w:sz w:val="20"/>
          <w:szCs w:val="20"/>
        </w:rPr>
        <w:t>.</w:t>
      </w:r>
    </w:p>
    <w:p w14:paraId="0B590C60" w14:textId="7F6E2871" w:rsidR="00C464C6" w:rsidRPr="00932295" w:rsidRDefault="00C464C6" w:rsidP="00492CBF">
      <w:pPr>
        <w:pStyle w:val="Prrafodelista"/>
        <w:numPr>
          <w:ilvl w:val="0"/>
          <w:numId w:val="5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932295">
        <w:rPr>
          <w:rFonts w:ascii="Lucida Sans Unicode" w:hAnsi="Lucida Sans Unicode" w:cs="Lucida Sans Unicode"/>
          <w:sz w:val="20"/>
          <w:szCs w:val="20"/>
        </w:rPr>
        <w:t>Revisión de la normatividad del Instituto.</w:t>
      </w:r>
    </w:p>
    <w:p w14:paraId="6F7664FC" w14:textId="4885671E" w:rsidR="00FA011A" w:rsidRPr="00932295" w:rsidRDefault="00C464C6" w:rsidP="00C464C6">
      <w:pPr>
        <w:pStyle w:val="Prrafodelista"/>
        <w:numPr>
          <w:ilvl w:val="0"/>
          <w:numId w:val="5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932295">
        <w:rPr>
          <w:rFonts w:ascii="Lucida Sans Unicode" w:hAnsi="Lucida Sans Unicode" w:cs="Lucida Sans Unicode"/>
          <w:sz w:val="20"/>
          <w:szCs w:val="20"/>
        </w:rPr>
        <w:t xml:space="preserve">Proponer la </w:t>
      </w:r>
      <w:r w:rsidR="00685468" w:rsidRPr="00932295">
        <w:rPr>
          <w:rFonts w:ascii="Lucida Sans Unicode" w:hAnsi="Lucida Sans Unicode" w:cs="Lucida Sans Unicode"/>
          <w:sz w:val="20"/>
          <w:szCs w:val="20"/>
        </w:rPr>
        <w:t xml:space="preserve">creación o </w:t>
      </w:r>
      <w:r w:rsidRPr="00932295">
        <w:rPr>
          <w:rFonts w:ascii="Lucida Sans Unicode" w:hAnsi="Lucida Sans Unicode" w:cs="Lucida Sans Unicode"/>
          <w:sz w:val="20"/>
          <w:szCs w:val="20"/>
        </w:rPr>
        <w:t xml:space="preserve">expedición de nueva </w:t>
      </w:r>
      <w:r w:rsidR="00685468" w:rsidRPr="00932295">
        <w:rPr>
          <w:rFonts w:ascii="Lucida Sans Unicode" w:hAnsi="Lucida Sans Unicode" w:cs="Lucida Sans Unicode"/>
          <w:sz w:val="20"/>
          <w:szCs w:val="20"/>
        </w:rPr>
        <w:t>normatividad</w:t>
      </w:r>
      <w:r w:rsidRPr="00932295">
        <w:rPr>
          <w:rFonts w:ascii="Lucida Sans Unicode" w:hAnsi="Lucida Sans Unicode" w:cs="Lucida Sans Unicode"/>
          <w:sz w:val="20"/>
          <w:szCs w:val="20"/>
        </w:rPr>
        <w:t>.</w:t>
      </w:r>
      <w:r w:rsidR="005B6681" w:rsidRPr="009322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92AC9" w:rsidRPr="0093229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4186CF3" w14:textId="77777777" w:rsidR="00C464C6" w:rsidRDefault="00C464C6" w:rsidP="001C28EC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5C5460C" w14:textId="70B4D33B" w:rsidR="00FA011A" w:rsidRPr="003429EA" w:rsidRDefault="00420BDD" w:rsidP="001C28EC">
      <w:pPr>
        <w:spacing w:after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3429EA">
        <w:rPr>
          <w:rFonts w:ascii="Lucida Sans Unicode" w:hAnsi="Lucida Sans Unicode" w:cs="Lucida Sans Unicode"/>
          <w:b/>
          <w:bCs/>
          <w:sz w:val="20"/>
          <w:szCs w:val="20"/>
        </w:rPr>
        <w:t>V.</w:t>
      </w:r>
      <w:r w:rsidR="001704ED" w:rsidRPr="003429EA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3F345A">
        <w:rPr>
          <w:rFonts w:ascii="Lucida Sans Unicode" w:hAnsi="Lucida Sans Unicode" w:cs="Lucida Sans Unicode"/>
          <w:b/>
          <w:bCs/>
          <w:sz w:val="20"/>
          <w:szCs w:val="20"/>
        </w:rPr>
        <w:t>Cronograma</w:t>
      </w:r>
    </w:p>
    <w:p w14:paraId="54809D74" w14:textId="77777777" w:rsidR="00324B5E" w:rsidRDefault="00324B5E" w:rsidP="001C28EC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1999C0CC" w14:textId="48B13D89" w:rsidR="001150DA" w:rsidRDefault="00324B5E" w:rsidP="00324B5E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324B5E">
        <w:rPr>
          <w:rFonts w:ascii="Lucida Sans Unicode" w:hAnsi="Lucida Sans Unicode" w:cs="Lucida Sans Unicode"/>
          <w:sz w:val="20"/>
          <w:szCs w:val="20"/>
        </w:rPr>
        <w:t>En la siguiente tabla se muestran de manera calendarizada, las principales actividades contempladas y que serán abordadas en el seno de la Comisión.</w:t>
      </w:r>
    </w:p>
    <w:p w14:paraId="62443DCF" w14:textId="77777777" w:rsidR="00324B5E" w:rsidRDefault="00324B5E" w:rsidP="001C28EC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7"/>
        <w:gridCol w:w="5758"/>
        <w:gridCol w:w="2583"/>
      </w:tblGrid>
      <w:tr w:rsidR="00685468" w:rsidRPr="00932295" w14:paraId="7BE5E160" w14:textId="77777777" w:rsidTr="00B167BF">
        <w:trPr>
          <w:trHeight w:val="575"/>
          <w:jc w:val="center"/>
        </w:trPr>
        <w:tc>
          <w:tcPr>
            <w:tcW w:w="433" w:type="dxa"/>
            <w:vMerge w:val="restart"/>
            <w:shd w:val="clear" w:color="auto" w:fill="4DBBB8"/>
            <w:vAlign w:val="center"/>
          </w:tcPr>
          <w:p w14:paraId="675BA1D4" w14:textId="05E10372" w:rsidR="00685468" w:rsidRPr="00932295" w:rsidRDefault="00685468" w:rsidP="00FB0B0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bookmarkStart w:id="1" w:name="_Hlk180422322"/>
            <w:r w:rsidRPr="0093229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799" w:type="dxa"/>
            <w:vMerge w:val="restart"/>
            <w:shd w:val="clear" w:color="auto" w:fill="4DBBB8"/>
            <w:vAlign w:val="center"/>
          </w:tcPr>
          <w:p w14:paraId="415C243F" w14:textId="324F1AF0" w:rsidR="00685468" w:rsidRPr="00932295" w:rsidRDefault="00685468" w:rsidP="00A0195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2596" w:type="dxa"/>
            <w:shd w:val="clear" w:color="auto" w:fill="4DBBB8"/>
            <w:vAlign w:val="center"/>
          </w:tcPr>
          <w:p w14:paraId="1A7E5740" w14:textId="70315B7E" w:rsidR="00685468" w:rsidRPr="00932295" w:rsidRDefault="00685468" w:rsidP="00A0195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Periodo de ejecución</w:t>
            </w:r>
          </w:p>
        </w:tc>
      </w:tr>
      <w:tr w:rsidR="00BA7C16" w:rsidRPr="00932295" w14:paraId="55B233CC" w14:textId="77777777" w:rsidTr="00BA7C16">
        <w:trPr>
          <w:trHeight w:val="66"/>
          <w:jc w:val="center"/>
        </w:trPr>
        <w:tc>
          <w:tcPr>
            <w:tcW w:w="433" w:type="dxa"/>
            <w:vMerge/>
            <w:shd w:val="clear" w:color="auto" w:fill="4DBBB8"/>
            <w:vAlign w:val="center"/>
          </w:tcPr>
          <w:p w14:paraId="0D8E603A" w14:textId="77777777" w:rsidR="00BA7C16" w:rsidRPr="00932295" w:rsidRDefault="00BA7C16" w:rsidP="00FB0B0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799" w:type="dxa"/>
            <w:vMerge/>
            <w:shd w:val="clear" w:color="auto" w:fill="4DBBB8"/>
            <w:vAlign w:val="center"/>
          </w:tcPr>
          <w:p w14:paraId="2A0E4958" w14:textId="77777777" w:rsidR="00BA7C16" w:rsidRPr="00932295" w:rsidRDefault="00BA7C16" w:rsidP="00A0195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4DBBB8"/>
            <w:vAlign w:val="center"/>
          </w:tcPr>
          <w:p w14:paraId="01207842" w14:textId="1B8AA27D" w:rsidR="00BA7C16" w:rsidRPr="00932295" w:rsidRDefault="00BA7C16" w:rsidP="00A0195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2024</w:t>
            </w:r>
          </w:p>
        </w:tc>
      </w:tr>
      <w:bookmarkEnd w:id="1"/>
      <w:tr w:rsidR="00BA7C16" w:rsidRPr="00932295" w14:paraId="5CECCEF1" w14:textId="77777777" w:rsidTr="00C35600">
        <w:trPr>
          <w:trHeight w:val="66"/>
          <w:jc w:val="center"/>
        </w:trPr>
        <w:tc>
          <w:tcPr>
            <w:tcW w:w="433" w:type="dxa"/>
            <w:vAlign w:val="center"/>
          </w:tcPr>
          <w:p w14:paraId="0AC02F04" w14:textId="03CBCCDF" w:rsidR="00BA7C16" w:rsidRPr="00932295" w:rsidRDefault="00BA7C16" w:rsidP="00FB0B0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99" w:type="dxa"/>
          </w:tcPr>
          <w:p w14:paraId="09D85119" w14:textId="7EE642ED" w:rsidR="00BA7C16" w:rsidRPr="00932295" w:rsidRDefault="00BA7C16" w:rsidP="00FB0B0E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t xml:space="preserve">Proyecto de acuerdo de la Comisión de Mejora Regulatoria Interna del Instituto Electoral y de Participación Ciudadana del Estado de Jalisco, mediante el cual presenta el Programa Anual de Trabajo para el periodo comprendido de octubre de 2024 a septiembre de 2025, para remitirse al Consejo General para su aprobación.    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2A658DB6" w14:textId="77777777" w:rsidR="00BA7C16" w:rsidRPr="00932295" w:rsidRDefault="00BA7C16" w:rsidP="00C3560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3E7D031A" w14:textId="14D0D419" w:rsidR="00BA7C16" w:rsidRPr="00932295" w:rsidRDefault="00BA7C16" w:rsidP="00C3560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t>Octubre</w:t>
            </w:r>
          </w:p>
        </w:tc>
      </w:tr>
      <w:tr w:rsidR="00BA7C16" w:rsidRPr="00932295" w14:paraId="57E06294" w14:textId="77777777" w:rsidTr="00C35600">
        <w:trPr>
          <w:trHeight w:val="66"/>
          <w:jc w:val="center"/>
        </w:trPr>
        <w:tc>
          <w:tcPr>
            <w:tcW w:w="433" w:type="dxa"/>
            <w:vAlign w:val="center"/>
          </w:tcPr>
          <w:p w14:paraId="17447FD3" w14:textId="5632BD67" w:rsidR="00BA7C16" w:rsidRPr="00932295" w:rsidRDefault="00BA7C16" w:rsidP="00FB0B0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99" w:type="dxa"/>
          </w:tcPr>
          <w:p w14:paraId="39E8785A" w14:textId="46346077" w:rsidR="00BA7C16" w:rsidRPr="00932295" w:rsidRDefault="00BA7C16" w:rsidP="00FB0B0E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t xml:space="preserve">Presentación y, en su caso, aprobación de la metodología y del diagnóstico. 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373DC5F7" w14:textId="7588C8BA" w:rsidR="00BA7C16" w:rsidRPr="00932295" w:rsidRDefault="00BA7C16" w:rsidP="00C3560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t>Octubre-noviembre</w:t>
            </w:r>
          </w:p>
        </w:tc>
      </w:tr>
      <w:tr w:rsidR="00BA7C16" w:rsidRPr="00932295" w14:paraId="17A089E5" w14:textId="77777777" w:rsidTr="00C35600">
        <w:trPr>
          <w:trHeight w:val="66"/>
          <w:jc w:val="center"/>
        </w:trPr>
        <w:tc>
          <w:tcPr>
            <w:tcW w:w="433" w:type="dxa"/>
            <w:vAlign w:val="center"/>
          </w:tcPr>
          <w:p w14:paraId="12AC39B1" w14:textId="04D6D30A" w:rsidR="00BA7C16" w:rsidRPr="00932295" w:rsidRDefault="00BA7C16" w:rsidP="00FB0B0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99" w:type="dxa"/>
          </w:tcPr>
          <w:p w14:paraId="742DF5AB" w14:textId="396E2984" w:rsidR="00BA7C16" w:rsidRPr="00932295" w:rsidRDefault="00BA7C16" w:rsidP="00C464C6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t xml:space="preserve">Revisión del </w:t>
            </w:r>
            <w:r w:rsidRPr="0093229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Reglamento</w:t>
            </w: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t xml:space="preserve"> de Agrupaciones Políticas del IEPC; del </w:t>
            </w:r>
            <w:r w:rsidRPr="0093229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Procedimiento</w:t>
            </w: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t xml:space="preserve"> ante el IEPCJ para el registro de partidos políticos locales; del </w:t>
            </w:r>
            <w:r w:rsidRPr="0093229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Reglamento</w:t>
            </w: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t xml:space="preserve"> General de Fiscalización del IEPC; del </w:t>
            </w:r>
            <w:r w:rsidRPr="0093229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Reglamento</w:t>
            </w: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t xml:space="preserve"> del IEPC para el </w:t>
            </w: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 xml:space="preserve">Acceso de Tiempos de Radio y Televisión, a los partidos políticos, candidatos independientes y propios, en el estado de Jalisco; y del </w:t>
            </w:r>
            <w:r w:rsidRPr="0093229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Reglamento</w:t>
            </w: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t xml:space="preserve"> sobre modificaciones a los documentos básicos, registro, designación, sustitución o renovación de integrantes de órganos directivos de agrupaciones políticas y partidos políticos locales, y el registro de la normatividad interna de estos últimos en el IEPC; y, en su caso, presentación del proyecto de acuerdo del Consejo General que reforma/expide los instrumentos normativos referidos.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4F15EFE2" w14:textId="1321776C" w:rsidR="00BA7C16" w:rsidRPr="00932295" w:rsidRDefault="00BA7C16" w:rsidP="00C3560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Octubre-noviembre</w:t>
            </w:r>
          </w:p>
        </w:tc>
      </w:tr>
      <w:tr w:rsidR="00BA7C16" w:rsidRPr="00932295" w14:paraId="2285647C" w14:textId="77777777" w:rsidTr="00BA7C16">
        <w:trPr>
          <w:trHeight w:val="66"/>
          <w:jc w:val="center"/>
        </w:trPr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F1B7BC5" w14:textId="726CBEFD" w:rsidR="00BA7C16" w:rsidRPr="00932295" w:rsidRDefault="00BA7C16" w:rsidP="00FB0B0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99" w:type="dxa"/>
          </w:tcPr>
          <w:p w14:paraId="5C682110" w14:textId="42F7507B" w:rsidR="00BA7C16" w:rsidRPr="00932295" w:rsidRDefault="00C35600" w:rsidP="00FB0B0E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t>Revisión de la normatividad interna del IEPC Jalisco</w:t>
            </w:r>
            <w:r w:rsidR="00C761B3">
              <w:rPr>
                <w:rFonts w:ascii="Lucida Sans Unicode" w:hAnsi="Lucida Sans Unicode" w:cs="Lucida Sans Unicode"/>
                <w:sz w:val="20"/>
                <w:szCs w:val="20"/>
              </w:rPr>
              <w:t xml:space="preserve"> y, en su caso, propuesta de reforma, creación o expedición</w:t>
            </w: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FFFFFF" w:themeFill="background1"/>
          </w:tcPr>
          <w:p w14:paraId="6468C61E" w14:textId="7DB08598" w:rsidR="00BA7C16" w:rsidRPr="00932295" w:rsidRDefault="00BA7C16" w:rsidP="00BA7C16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t>Octubre-</w:t>
            </w:r>
            <w:r w:rsidR="00C35600" w:rsidRPr="00932295">
              <w:rPr>
                <w:rFonts w:ascii="Lucida Sans Unicode" w:hAnsi="Lucida Sans Unicode" w:cs="Lucida Sans Unicode"/>
                <w:sz w:val="20"/>
                <w:szCs w:val="20"/>
              </w:rPr>
              <w:t>dic</w:t>
            </w: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t>iembre</w:t>
            </w:r>
          </w:p>
        </w:tc>
      </w:tr>
      <w:tr w:rsidR="00BA7C16" w:rsidRPr="00932295" w14:paraId="4635FFDC" w14:textId="77777777" w:rsidTr="00BA7C16">
        <w:trPr>
          <w:trHeight w:val="66"/>
          <w:jc w:val="center"/>
        </w:trPr>
        <w:tc>
          <w:tcPr>
            <w:tcW w:w="433" w:type="dxa"/>
            <w:tcBorders>
              <w:right w:val="nil"/>
            </w:tcBorders>
            <w:shd w:val="clear" w:color="auto" w:fill="4DBBB8"/>
            <w:vAlign w:val="center"/>
          </w:tcPr>
          <w:p w14:paraId="46349B4E" w14:textId="77777777" w:rsidR="00BA7C16" w:rsidRPr="00932295" w:rsidRDefault="00BA7C16" w:rsidP="00FB0B0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799" w:type="dxa"/>
            <w:tcBorders>
              <w:left w:val="nil"/>
            </w:tcBorders>
            <w:shd w:val="clear" w:color="auto" w:fill="4DBBB8"/>
          </w:tcPr>
          <w:p w14:paraId="6B36E05E" w14:textId="77777777" w:rsidR="00BA7C16" w:rsidRPr="00932295" w:rsidRDefault="00BA7C16" w:rsidP="00FB0B0E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4DBBB8"/>
          </w:tcPr>
          <w:p w14:paraId="334A589B" w14:textId="54BBAC9B" w:rsidR="00BA7C16" w:rsidRPr="00932295" w:rsidRDefault="00BA7C16" w:rsidP="00BA7C16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2025</w:t>
            </w:r>
          </w:p>
        </w:tc>
      </w:tr>
      <w:tr w:rsidR="00BA7C16" w:rsidRPr="00932295" w14:paraId="790CB472" w14:textId="77777777" w:rsidTr="00C35600">
        <w:trPr>
          <w:trHeight w:val="66"/>
          <w:jc w:val="center"/>
        </w:trPr>
        <w:tc>
          <w:tcPr>
            <w:tcW w:w="433" w:type="dxa"/>
            <w:vAlign w:val="center"/>
          </w:tcPr>
          <w:p w14:paraId="536EB191" w14:textId="5FF00A7C" w:rsidR="00BA7C16" w:rsidRPr="00932295" w:rsidRDefault="00BA7C16" w:rsidP="00FB0B0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99" w:type="dxa"/>
          </w:tcPr>
          <w:p w14:paraId="589EDA05" w14:textId="3E2171B4" w:rsidR="00BA7C16" w:rsidRPr="00932295" w:rsidRDefault="00C35600" w:rsidP="00FB0B0E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t>Revisión de la normatividad interna del IEPC Jalisco</w:t>
            </w:r>
            <w:r w:rsidR="00C761B3">
              <w:rPr>
                <w:rFonts w:ascii="Lucida Sans Unicode" w:hAnsi="Lucida Sans Unicode" w:cs="Lucida Sans Unicode"/>
                <w:sz w:val="20"/>
                <w:szCs w:val="20"/>
              </w:rPr>
              <w:t xml:space="preserve"> y, en su caso, propuesta de reforma, creación o expedición</w:t>
            </w:r>
            <w:r w:rsidR="00C761B3" w:rsidRPr="00932295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611EE38E" w14:textId="5033B55A" w:rsidR="00BA7C16" w:rsidRPr="00932295" w:rsidRDefault="00C35600" w:rsidP="00C3560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32295">
              <w:rPr>
                <w:rFonts w:ascii="Lucida Sans Unicode" w:hAnsi="Lucida Sans Unicode" w:cs="Lucida Sans Unicode"/>
                <w:sz w:val="20"/>
                <w:szCs w:val="20"/>
              </w:rPr>
              <w:t>Enero-septiembre</w:t>
            </w:r>
          </w:p>
        </w:tc>
      </w:tr>
      <w:tr w:rsidR="00C761B3" w:rsidRPr="00932295" w14:paraId="738180D2" w14:textId="77777777" w:rsidTr="00C35600">
        <w:trPr>
          <w:trHeight w:val="66"/>
          <w:jc w:val="center"/>
        </w:trPr>
        <w:tc>
          <w:tcPr>
            <w:tcW w:w="433" w:type="dxa"/>
            <w:vAlign w:val="center"/>
          </w:tcPr>
          <w:p w14:paraId="1A37AA9D" w14:textId="4A37DC2B" w:rsidR="00C761B3" w:rsidRPr="00932295" w:rsidRDefault="00C761B3" w:rsidP="00FB0B0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99" w:type="dxa"/>
          </w:tcPr>
          <w:p w14:paraId="649917DC" w14:textId="2EF4D9D6" w:rsidR="00C761B3" w:rsidRPr="00932295" w:rsidRDefault="00C761B3" w:rsidP="00FB0B0E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Presentación del informe de actividades de la Comisión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6035300E" w14:textId="19EE7F15" w:rsidR="00C761B3" w:rsidRPr="00932295" w:rsidRDefault="00C761B3" w:rsidP="00C35600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Septiembre</w:t>
            </w:r>
          </w:p>
        </w:tc>
      </w:tr>
    </w:tbl>
    <w:p w14:paraId="472BEEFB" w14:textId="77777777" w:rsidR="00FB0B0E" w:rsidRDefault="00FB0B0E" w:rsidP="001C28EC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4C6EFF59" w14:textId="7C513AD3" w:rsidR="00324B5E" w:rsidRDefault="00A0195F" w:rsidP="00A0195F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Las actividades de la Comisión se desarrollarán en los tiempos previstos en el anterior calendario, no obstante, podrá</w:t>
      </w:r>
      <w:r w:rsidR="000448DD">
        <w:rPr>
          <w:rFonts w:ascii="Lucida Sans Unicode" w:hAnsi="Lucida Sans Unicode" w:cs="Lucida Sans Unicode"/>
          <w:sz w:val="20"/>
          <w:szCs w:val="20"/>
        </w:rPr>
        <w:t>n</w:t>
      </w:r>
      <w:r>
        <w:rPr>
          <w:rFonts w:ascii="Lucida Sans Unicode" w:hAnsi="Lucida Sans Unicode" w:cs="Lucida Sans Unicode"/>
          <w:sz w:val="20"/>
          <w:szCs w:val="20"/>
        </w:rPr>
        <w:t xml:space="preserve"> adecuarse </w:t>
      </w:r>
      <w:proofErr w:type="gramStart"/>
      <w:r>
        <w:rPr>
          <w:rFonts w:ascii="Lucida Sans Unicode" w:hAnsi="Lucida Sans Unicode" w:cs="Lucida Sans Unicode"/>
          <w:sz w:val="20"/>
          <w:szCs w:val="20"/>
        </w:rPr>
        <w:t>de acuerdo a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la complejidad de la revisión de los documentos y al procedimiento que se establezca para ese efecto.</w:t>
      </w:r>
    </w:p>
    <w:p w14:paraId="1F5832DE" w14:textId="77777777" w:rsidR="00932295" w:rsidRDefault="00932295" w:rsidP="00A0195F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72D59D7" w14:textId="77777777" w:rsidR="00B032D9" w:rsidRDefault="00B032D9" w:rsidP="00A0195F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282700" w14:textId="1E89B6DF" w:rsidR="00932295" w:rsidRDefault="00932295" w:rsidP="00932295">
      <w:pPr>
        <w:spacing w:after="0"/>
        <w:jc w:val="righ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Guadalajara, Jalisco; a 31 de octubre de 2024</w:t>
      </w:r>
    </w:p>
    <w:p w14:paraId="55B0DFA5" w14:textId="77777777" w:rsidR="00932295" w:rsidRDefault="00932295" w:rsidP="00932295">
      <w:pPr>
        <w:spacing w:after="0"/>
        <w:jc w:val="right"/>
        <w:rPr>
          <w:rFonts w:ascii="Lucida Sans Unicode" w:hAnsi="Lucida Sans Unicode" w:cs="Lucida Sans Unicode"/>
          <w:sz w:val="20"/>
          <w:szCs w:val="20"/>
        </w:rPr>
      </w:pPr>
    </w:p>
    <w:p w14:paraId="25916113" w14:textId="604C5C2F" w:rsidR="00932295" w:rsidRPr="008D5106" w:rsidRDefault="008D5106" w:rsidP="00932295">
      <w:pPr>
        <w:spacing w:after="0"/>
        <w:jc w:val="right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Mtra. </w:t>
      </w:r>
      <w:r w:rsidR="00932295" w:rsidRPr="008D5106">
        <w:rPr>
          <w:rFonts w:ascii="Lucida Sans Unicode" w:hAnsi="Lucida Sans Unicode" w:cs="Lucida Sans Unicode"/>
          <w:b/>
          <w:bCs/>
          <w:sz w:val="20"/>
          <w:szCs w:val="20"/>
        </w:rPr>
        <w:t>Claudia Alejandra Vargas Bautista</w:t>
      </w:r>
    </w:p>
    <w:p w14:paraId="5545E434" w14:textId="77777777" w:rsidR="00932295" w:rsidRPr="00932295" w:rsidRDefault="00932295" w:rsidP="00932295">
      <w:pPr>
        <w:spacing w:after="0"/>
        <w:jc w:val="right"/>
        <w:rPr>
          <w:rFonts w:ascii="Lucida Sans Unicode" w:hAnsi="Lucida Sans Unicode" w:cs="Lucida Sans Unicode"/>
          <w:sz w:val="20"/>
          <w:szCs w:val="20"/>
        </w:rPr>
      </w:pPr>
      <w:r w:rsidRPr="00932295">
        <w:rPr>
          <w:rFonts w:ascii="Lucida Sans Unicode" w:hAnsi="Lucida Sans Unicode" w:cs="Lucida Sans Unicode"/>
          <w:sz w:val="20"/>
          <w:szCs w:val="20"/>
        </w:rPr>
        <w:t>Consejera electoral, presidenta de la Comisión</w:t>
      </w:r>
    </w:p>
    <w:p w14:paraId="29891B29" w14:textId="77777777" w:rsidR="00932295" w:rsidRPr="00932295" w:rsidRDefault="00932295" w:rsidP="00932295">
      <w:pPr>
        <w:spacing w:after="0"/>
        <w:jc w:val="right"/>
        <w:rPr>
          <w:rFonts w:ascii="Lucida Sans Unicode" w:hAnsi="Lucida Sans Unicode" w:cs="Lucida Sans Unicode"/>
          <w:sz w:val="20"/>
          <w:szCs w:val="20"/>
        </w:rPr>
      </w:pPr>
    </w:p>
    <w:p w14:paraId="0BE3CBDD" w14:textId="1CF659D7" w:rsidR="00932295" w:rsidRPr="008D5106" w:rsidRDefault="008D5106" w:rsidP="00932295">
      <w:pPr>
        <w:spacing w:after="0"/>
        <w:jc w:val="right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Mtra. </w:t>
      </w:r>
      <w:r w:rsidR="00932295" w:rsidRPr="008D5106">
        <w:rPr>
          <w:rFonts w:ascii="Lucida Sans Unicode" w:hAnsi="Lucida Sans Unicode" w:cs="Lucida Sans Unicode"/>
          <w:b/>
          <w:bCs/>
          <w:sz w:val="20"/>
          <w:szCs w:val="20"/>
        </w:rPr>
        <w:t>Miriam Guadalupe Gutiérrez Mora</w:t>
      </w:r>
    </w:p>
    <w:p w14:paraId="5192CDF9" w14:textId="1B2048C4" w:rsidR="008D5106" w:rsidRDefault="00932295" w:rsidP="00932295">
      <w:pPr>
        <w:spacing w:after="0"/>
        <w:jc w:val="right"/>
        <w:rPr>
          <w:rFonts w:ascii="Lucida Sans Unicode" w:hAnsi="Lucida Sans Unicode" w:cs="Lucida Sans Unicode"/>
          <w:sz w:val="20"/>
          <w:szCs w:val="20"/>
        </w:rPr>
      </w:pPr>
      <w:r w:rsidRPr="00932295">
        <w:rPr>
          <w:rFonts w:ascii="Lucida Sans Unicode" w:hAnsi="Lucida Sans Unicode" w:cs="Lucida Sans Unicode"/>
          <w:sz w:val="20"/>
          <w:szCs w:val="20"/>
        </w:rPr>
        <w:t>Consejera electoral</w:t>
      </w:r>
    </w:p>
    <w:p w14:paraId="51B5EEEC" w14:textId="77777777" w:rsidR="008D5106" w:rsidRDefault="008D5106" w:rsidP="00932295">
      <w:pPr>
        <w:spacing w:after="0"/>
        <w:jc w:val="right"/>
        <w:rPr>
          <w:rFonts w:ascii="Lucida Sans Unicode" w:hAnsi="Lucida Sans Unicode" w:cs="Lucida Sans Unicode"/>
          <w:sz w:val="20"/>
          <w:szCs w:val="20"/>
        </w:rPr>
      </w:pPr>
    </w:p>
    <w:p w14:paraId="3D109A34" w14:textId="27D3F6C0" w:rsidR="00932295" w:rsidRPr="008D5106" w:rsidRDefault="008D5106" w:rsidP="00932295">
      <w:pPr>
        <w:spacing w:after="0"/>
        <w:jc w:val="righ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D5106">
        <w:rPr>
          <w:rFonts w:ascii="Lucida Sans Unicode" w:hAnsi="Lucida Sans Unicode" w:cs="Lucida Sans Unicode"/>
          <w:b/>
          <w:bCs/>
          <w:sz w:val="20"/>
          <w:szCs w:val="20"/>
        </w:rPr>
        <w:t xml:space="preserve">Mtro. </w:t>
      </w:r>
      <w:r w:rsidR="00932295" w:rsidRPr="008D5106">
        <w:rPr>
          <w:rFonts w:ascii="Lucida Sans Unicode" w:hAnsi="Lucida Sans Unicode" w:cs="Lucida Sans Unicode"/>
          <w:b/>
          <w:bCs/>
          <w:sz w:val="20"/>
          <w:szCs w:val="20"/>
        </w:rPr>
        <w:t>Carlos Javier Aguirre Arias</w:t>
      </w:r>
    </w:p>
    <w:p w14:paraId="40F88A38" w14:textId="6E8DC292" w:rsidR="00932295" w:rsidRPr="00932295" w:rsidRDefault="00932295" w:rsidP="00932295">
      <w:pPr>
        <w:spacing w:after="0"/>
        <w:jc w:val="right"/>
        <w:rPr>
          <w:rFonts w:ascii="Lucida Sans Unicode" w:hAnsi="Lucida Sans Unicode" w:cs="Lucida Sans Unicode"/>
          <w:sz w:val="20"/>
          <w:szCs w:val="20"/>
        </w:rPr>
      </w:pPr>
      <w:r w:rsidRPr="00932295">
        <w:rPr>
          <w:rFonts w:ascii="Lucida Sans Unicode" w:hAnsi="Lucida Sans Unicode" w:cs="Lucida Sans Unicode"/>
          <w:sz w:val="20"/>
          <w:szCs w:val="20"/>
        </w:rPr>
        <w:t>Consejero electoral</w:t>
      </w:r>
      <w:r w:rsidR="008D510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9A6A282" w14:textId="15DE2DBC" w:rsidR="00932295" w:rsidRDefault="00932295" w:rsidP="00932295">
      <w:pPr>
        <w:spacing w:after="0"/>
        <w:jc w:val="right"/>
        <w:rPr>
          <w:rFonts w:ascii="Lucida Sans Unicode" w:hAnsi="Lucida Sans Unicode" w:cs="Lucida Sans Unicode"/>
          <w:sz w:val="20"/>
          <w:szCs w:val="20"/>
        </w:rPr>
      </w:pPr>
    </w:p>
    <w:sectPr w:rsidR="00932295" w:rsidSect="00C24668">
      <w:headerReference w:type="default" r:id="rId9"/>
      <w:footerReference w:type="default" r:id="rId10"/>
      <w:pgSz w:w="12240" w:h="15840" w:code="1"/>
      <w:pgMar w:top="1788" w:right="1701" w:bottom="1418" w:left="1701" w:header="709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C07B4" w14:textId="77777777" w:rsidR="005578E8" w:rsidRDefault="005578E8" w:rsidP="00C56F09">
      <w:pPr>
        <w:spacing w:after="0" w:line="240" w:lineRule="auto"/>
      </w:pPr>
      <w:r>
        <w:separator/>
      </w:r>
    </w:p>
  </w:endnote>
  <w:endnote w:type="continuationSeparator" w:id="0">
    <w:p w14:paraId="501C1FF9" w14:textId="77777777" w:rsidR="005578E8" w:rsidRDefault="005578E8" w:rsidP="00C5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Times New Roman" w:hAnsi="Calibri" w:cs="Arial"/>
        <w:kern w:val="0"/>
        <w:sz w:val="14"/>
        <w:szCs w:val="14"/>
        <w14:ligatures w14:val="none"/>
      </w:rPr>
      <w:id w:val="-1769616900"/>
      <w:docPartObj>
        <w:docPartGallery w:val="Page Numbers (Top of Page)"/>
        <w:docPartUnique/>
      </w:docPartObj>
    </w:sdtPr>
    <w:sdtEndPr>
      <w:rPr>
        <w:rFonts w:ascii="Lucida Sans Unicode" w:hAnsi="Lucida Sans Unicode" w:cs="Lucida Sans Unicode"/>
        <w:sz w:val="15"/>
        <w:szCs w:val="15"/>
      </w:rPr>
    </w:sdtEndPr>
    <w:sdtContent>
      <w:p w14:paraId="216E9863" w14:textId="77777777" w:rsidR="00FD784E" w:rsidRPr="00FD784E" w:rsidRDefault="00FD784E" w:rsidP="00FD784E">
        <w:pPr>
          <w:tabs>
            <w:tab w:val="center" w:pos="4419"/>
            <w:tab w:val="right" w:pos="8838"/>
          </w:tabs>
          <w:suppressAutoHyphens/>
          <w:spacing w:after="0" w:line="240" w:lineRule="auto"/>
          <w:rPr>
            <w:rFonts w:ascii="Arial" w:eastAsia="Times New Roman" w:hAnsi="Arial" w:cs="Arial"/>
            <w:bCs/>
            <w:color w:val="A6A6A6"/>
            <w:kern w:val="0"/>
            <w:sz w:val="16"/>
            <w:szCs w:val="16"/>
            <w:lang w:val="es-ES" w:eastAsia="ar-SA"/>
            <w14:ligatures w14:val="none"/>
          </w:rPr>
        </w:pPr>
        <w:r w:rsidRPr="00FD784E">
          <w:rPr>
            <w:rFonts w:ascii="Lucida Sans Unicode" w:eastAsia="Times New Roman" w:hAnsi="Lucida Sans Unicode" w:cs="Lucida Sans Unicode"/>
            <w:bCs/>
            <w:color w:val="00778E"/>
            <w:kern w:val="0"/>
            <w:sz w:val="15"/>
            <w:szCs w:val="15"/>
            <w:lang w:val="es-ES" w:eastAsia="ar-SA"/>
            <w14:ligatures w14:val="none"/>
          </w:rPr>
          <w:t>Parque de las Estrellas 2764, Colonia Jardines del Bosque, Guadalajara, Jalisco, México. C.P.44520</w:t>
        </w:r>
      </w:p>
    </w:sdtContent>
  </w:sdt>
  <w:sdt>
    <w:sdtPr>
      <w:rPr>
        <w:rFonts w:ascii="Lucida Sans Unicode" w:eastAsia="Times New Roman" w:hAnsi="Lucida Sans Unicode" w:cs="Lucida Sans Unicode"/>
        <w:kern w:val="0"/>
        <w:sz w:val="16"/>
        <w:szCs w:val="16"/>
        <w14:ligatures w14:val="none"/>
      </w:rPr>
      <w:id w:val="2119865557"/>
      <w:docPartObj>
        <w:docPartGallery w:val="Page Numbers (Bottom of Page)"/>
        <w:docPartUnique/>
      </w:docPartObj>
    </w:sdtPr>
    <w:sdtContent>
      <w:sdt>
        <w:sdtPr>
          <w:rPr>
            <w:rFonts w:ascii="Lucida Sans Unicode" w:eastAsia="Times New Roman" w:hAnsi="Lucida Sans Unicode" w:cs="Lucida Sans Unicode"/>
            <w:kern w:val="0"/>
            <w:sz w:val="16"/>
            <w:szCs w:val="16"/>
            <w14:ligatures w14:val="none"/>
          </w:rPr>
          <w:id w:val="-847245773"/>
          <w:docPartObj>
            <w:docPartGallery w:val="Page Numbers (Top of Page)"/>
            <w:docPartUnique/>
          </w:docPartObj>
        </w:sdtPr>
        <w:sdtContent>
          <w:p w14:paraId="2AD8CC02" w14:textId="77777777" w:rsidR="00FD784E" w:rsidRPr="00FD784E" w:rsidRDefault="00FD784E" w:rsidP="00FD784E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20"/>
                <w:lang w:val="es-ES" w:eastAsia="es-ES"/>
                <w14:ligatures w14:val="none"/>
              </w:rPr>
            </w:pPr>
            <w:r w:rsidRPr="00FD784E">
              <w:rPr>
                <w:rFonts w:ascii="Lucida Sans Unicode" w:eastAsia="Times New Roman" w:hAnsi="Lucida Sans Unicode" w:cs="Lucida Sans Unicode"/>
                <w:kern w:val="0"/>
                <w:sz w:val="15"/>
                <w:szCs w:val="15"/>
                <w:lang w:val="es-ES"/>
                <w14:ligatures w14:val="none"/>
              </w:rPr>
              <w:t xml:space="preserve">Página </w:t>
            </w:r>
            <w:r w:rsidRPr="00FD784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5"/>
                <w:szCs w:val="15"/>
                <w14:ligatures w14:val="none"/>
              </w:rPr>
              <w:fldChar w:fldCharType="begin"/>
            </w:r>
            <w:r w:rsidRPr="00FD784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5"/>
                <w:szCs w:val="15"/>
                <w14:ligatures w14:val="none"/>
              </w:rPr>
              <w:instrText>PAGE</w:instrText>
            </w:r>
            <w:r w:rsidRPr="00FD784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5"/>
                <w:szCs w:val="15"/>
                <w14:ligatures w14:val="none"/>
              </w:rPr>
              <w:fldChar w:fldCharType="separate"/>
            </w:r>
            <w:r w:rsidRPr="00FD784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5"/>
                <w:szCs w:val="15"/>
                <w:lang w:val="es-ES"/>
                <w14:ligatures w14:val="none"/>
              </w:rPr>
              <w:t>1</w:t>
            </w:r>
            <w:r w:rsidRPr="00FD784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5"/>
                <w:szCs w:val="15"/>
                <w14:ligatures w14:val="none"/>
              </w:rPr>
              <w:fldChar w:fldCharType="end"/>
            </w:r>
            <w:r w:rsidRPr="00FD784E">
              <w:rPr>
                <w:rFonts w:ascii="Lucida Sans Unicode" w:eastAsia="Times New Roman" w:hAnsi="Lucida Sans Unicode" w:cs="Lucida Sans Unicode"/>
                <w:kern w:val="0"/>
                <w:sz w:val="15"/>
                <w:szCs w:val="15"/>
                <w:lang w:val="es-ES"/>
                <w14:ligatures w14:val="none"/>
              </w:rPr>
              <w:t xml:space="preserve"> de </w:t>
            </w:r>
            <w:r w:rsidRPr="00FD784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5"/>
                <w:szCs w:val="15"/>
                <w14:ligatures w14:val="none"/>
              </w:rPr>
              <w:fldChar w:fldCharType="begin"/>
            </w:r>
            <w:r w:rsidRPr="00FD784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5"/>
                <w:szCs w:val="15"/>
                <w14:ligatures w14:val="none"/>
              </w:rPr>
              <w:instrText>NUMPAGES</w:instrText>
            </w:r>
            <w:r w:rsidRPr="00FD784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5"/>
                <w:szCs w:val="15"/>
                <w14:ligatures w14:val="none"/>
              </w:rPr>
              <w:fldChar w:fldCharType="separate"/>
            </w:r>
            <w:r w:rsidRPr="00FD784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5"/>
                <w:szCs w:val="15"/>
                <w:lang w:val="es-ES"/>
                <w14:ligatures w14:val="none"/>
              </w:rPr>
              <w:t>13</w:t>
            </w:r>
            <w:r w:rsidRPr="00FD784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5"/>
                <w:szCs w:val="15"/>
                <w14:ligatures w14:val="non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18E33" w14:textId="77777777" w:rsidR="005578E8" w:rsidRDefault="005578E8" w:rsidP="00C56F09">
      <w:pPr>
        <w:spacing w:after="0" w:line="240" w:lineRule="auto"/>
      </w:pPr>
      <w:r>
        <w:separator/>
      </w:r>
    </w:p>
  </w:footnote>
  <w:footnote w:type="continuationSeparator" w:id="0">
    <w:p w14:paraId="7DE8DAE4" w14:textId="77777777" w:rsidR="005578E8" w:rsidRDefault="005578E8" w:rsidP="00C5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FD784E" w14:paraId="15B6A2FC" w14:textId="77777777" w:rsidTr="00C24668">
      <w:trPr>
        <w:trHeight w:val="1553"/>
      </w:trPr>
      <w:tc>
        <w:tcPr>
          <w:tcW w:w="4414" w:type="dxa"/>
          <w:vAlign w:val="center"/>
        </w:tcPr>
        <w:p w14:paraId="1325242A" w14:textId="2B417569" w:rsidR="00FD784E" w:rsidRDefault="00FD784E" w:rsidP="00C24668">
          <w:pPr>
            <w:pStyle w:val="Encabezado"/>
          </w:pPr>
          <w:r w:rsidRPr="00FD784E">
            <w:rPr>
              <w:rFonts w:ascii="Arial" w:eastAsia="Times New Roman" w:hAnsi="Arial" w:cs="Arial"/>
              <w:noProof/>
              <w:kern w:val="0"/>
              <w:sz w:val="20"/>
              <w:szCs w:val="20"/>
              <w:lang w:val="es-ES" w:eastAsia="es-MX"/>
              <w14:ligatures w14:val="none"/>
            </w:rPr>
            <w:drawing>
              <wp:inline distT="0" distB="0" distL="0" distR="0" wp14:anchorId="094203A8" wp14:editId="6DE7C9C6">
                <wp:extent cx="1822450" cy="850900"/>
                <wp:effectExtent l="0" t="0" r="6350" b="6350"/>
                <wp:docPr id="1417545402" name="Imagen 141754540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9880203" name="Imagen 1649880203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12" cy="86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30B1513B" w14:textId="77777777" w:rsidR="00FD784E" w:rsidRDefault="00FD784E" w:rsidP="00FD784E">
          <w:pPr>
            <w:pStyle w:val="Encabezado"/>
            <w:jc w:val="right"/>
            <w:rPr>
              <w:rFonts w:ascii="Lucida Sans Unicode" w:hAnsi="Lucida Sans Unicode" w:cs="Lucida Sans Unicode"/>
              <w:b/>
              <w:bCs/>
              <w:sz w:val="20"/>
              <w:szCs w:val="20"/>
            </w:rPr>
          </w:pPr>
        </w:p>
        <w:p w14:paraId="0040959F" w14:textId="77777777" w:rsidR="00FD784E" w:rsidRDefault="00FD784E" w:rsidP="00FD784E">
          <w:pPr>
            <w:pStyle w:val="Encabezado"/>
            <w:jc w:val="right"/>
            <w:rPr>
              <w:rFonts w:ascii="Lucida Sans Unicode" w:hAnsi="Lucida Sans Unicode" w:cs="Lucida Sans Unicode"/>
              <w:b/>
              <w:bCs/>
              <w:sz w:val="20"/>
              <w:szCs w:val="20"/>
            </w:rPr>
          </w:pPr>
        </w:p>
        <w:p w14:paraId="5392AF1C" w14:textId="77777777" w:rsidR="00C24668" w:rsidRDefault="00C24668" w:rsidP="00FD784E">
          <w:pPr>
            <w:pStyle w:val="Encabezado"/>
            <w:jc w:val="right"/>
            <w:rPr>
              <w:rFonts w:ascii="Lucida Sans Unicode" w:hAnsi="Lucida Sans Unicode" w:cs="Lucida Sans Unicode"/>
              <w:b/>
              <w:bCs/>
              <w:color w:val="00788E"/>
              <w:sz w:val="20"/>
              <w:szCs w:val="20"/>
            </w:rPr>
          </w:pPr>
        </w:p>
        <w:p w14:paraId="6FE714A6" w14:textId="404C8B8E" w:rsidR="00FD784E" w:rsidRDefault="003429EA" w:rsidP="00FD784E">
          <w:pPr>
            <w:pStyle w:val="Encabezado"/>
            <w:jc w:val="right"/>
            <w:rPr>
              <w:rFonts w:ascii="Lucida Sans Unicode" w:hAnsi="Lucida Sans Unicode" w:cs="Lucida Sans Unicode"/>
              <w:b/>
              <w:bCs/>
              <w:sz w:val="20"/>
              <w:szCs w:val="20"/>
            </w:rPr>
          </w:pPr>
          <w:r w:rsidRPr="003429EA">
            <w:rPr>
              <w:rFonts w:ascii="Lucida Sans Unicode" w:hAnsi="Lucida Sans Unicode" w:cs="Lucida Sans Unicode"/>
              <w:b/>
              <w:bCs/>
              <w:color w:val="00788E"/>
              <w:sz w:val="20"/>
              <w:szCs w:val="20"/>
            </w:rPr>
            <w:t xml:space="preserve">Programa </w:t>
          </w:r>
          <w:r w:rsidR="003F345A">
            <w:rPr>
              <w:rFonts w:ascii="Lucida Sans Unicode" w:hAnsi="Lucida Sans Unicode" w:cs="Lucida Sans Unicode"/>
              <w:b/>
              <w:bCs/>
              <w:color w:val="00788E"/>
              <w:sz w:val="20"/>
              <w:szCs w:val="20"/>
            </w:rPr>
            <w:t xml:space="preserve">Anual </w:t>
          </w:r>
          <w:r w:rsidRPr="003429EA">
            <w:rPr>
              <w:rFonts w:ascii="Lucida Sans Unicode" w:hAnsi="Lucida Sans Unicode" w:cs="Lucida Sans Unicode"/>
              <w:b/>
              <w:bCs/>
              <w:color w:val="00788E"/>
              <w:sz w:val="20"/>
              <w:szCs w:val="20"/>
            </w:rPr>
            <w:t>de Trabajo</w:t>
          </w:r>
        </w:p>
        <w:p w14:paraId="12E9282B" w14:textId="48B8AD8F" w:rsidR="00FD784E" w:rsidRPr="00FD784E" w:rsidRDefault="00FD784E" w:rsidP="00FD784E">
          <w:pPr>
            <w:pStyle w:val="Encabezado"/>
            <w:jc w:val="right"/>
            <w:rPr>
              <w:rFonts w:ascii="Lucida Sans Unicode" w:hAnsi="Lucida Sans Unicode" w:cs="Lucida Sans Unicode"/>
              <w:b/>
              <w:bCs/>
              <w:sz w:val="20"/>
              <w:szCs w:val="20"/>
            </w:rPr>
          </w:pPr>
          <w:r w:rsidRPr="00FD784E">
            <w:rPr>
              <w:rFonts w:ascii="Lucida Sans Unicode" w:hAnsi="Lucida Sans Unicode" w:cs="Lucida Sans Unicode"/>
              <w:b/>
              <w:bCs/>
              <w:sz w:val="20"/>
              <w:szCs w:val="20"/>
            </w:rPr>
            <w:t>Comisión de Mejora Regulatoria Interna</w:t>
          </w:r>
        </w:p>
      </w:tc>
    </w:tr>
  </w:tbl>
  <w:p w14:paraId="57E8A7B3" w14:textId="77777777" w:rsidR="00C56F09" w:rsidRDefault="00C56F09" w:rsidP="00C246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06AC"/>
    <w:multiLevelType w:val="hybridMultilevel"/>
    <w:tmpl w:val="5D9A50DC"/>
    <w:lvl w:ilvl="0" w:tplc="08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0D58F5"/>
    <w:multiLevelType w:val="hybridMultilevel"/>
    <w:tmpl w:val="F7AAFF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35227"/>
    <w:multiLevelType w:val="hybridMultilevel"/>
    <w:tmpl w:val="DFE605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0F53"/>
    <w:multiLevelType w:val="hybridMultilevel"/>
    <w:tmpl w:val="EDC079D8"/>
    <w:lvl w:ilvl="0" w:tplc="21DE9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C75AD"/>
    <w:multiLevelType w:val="hybridMultilevel"/>
    <w:tmpl w:val="5190896C"/>
    <w:lvl w:ilvl="0" w:tplc="8724E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539D7"/>
    <w:multiLevelType w:val="hybridMultilevel"/>
    <w:tmpl w:val="5BF40ED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456CC8"/>
    <w:multiLevelType w:val="hybridMultilevel"/>
    <w:tmpl w:val="F642CA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D2A57"/>
    <w:multiLevelType w:val="hybridMultilevel"/>
    <w:tmpl w:val="A4E678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C7D54"/>
    <w:multiLevelType w:val="hybridMultilevel"/>
    <w:tmpl w:val="D0F4B4DC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A5A24"/>
    <w:multiLevelType w:val="hybridMultilevel"/>
    <w:tmpl w:val="373EC76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C07D95"/>
    <w:multiLevelType w:val="hybridMultilevel"/>
    <w:tmpl w:val="088680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11FA3"/>
    <w:multiLevelType w:val="hybridMultilevel"/>
    <w:tmpl w:val="D618F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04577"/>
    <w:multiLevelType w:val="hybridMultilevel"/>
    <w:tmpl w:val="6A0476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23888"/>
    <w:multiLevelType w:val="hybridMultilevel"/>
    <w:tmpl w:val="E7461FCA"/>
    <w:lvl w:ilvl="0" w:tplc="BADAB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71443">
    <w:abstractNumId w:val="1"/>
  </w:num>
  <w:num w:numId="2" w16cid:durableId="2115516585">
    <w:abstractNumId w:val="11"/>
  </w:num>
  <w:num w:numId="3" w16cid:durableId="1638074507">
    <w:abstractNumId w:val="13"/>
  </w:num>
  <w:num w:numId="4" w16cid:durableId="1507555396">
    <w:abstractNumId w:val="2"/>
  </w:num>
  <w:num w:numId="5" w16cid:durableId="1854489077">
    <w:abstractNumId w:val="3"/>
  </w:num>
  <w:num w:numId="6" w16cid:durableId="125395038">
    <w:abstractNumId w:val="0"/>
  </w:num>
  <w:num w:numId="7" w16cid:durableId="1125586683">
    <w:abstractNumId w:val="4"/>
  </w:num>
  <w:num w:numId="8" w16cid:durableId="426580888">
    <w:abstractNumId w:val="5"/>
  </w:num>
  <w:num w:numId="9" w16cid:durableId="1981569972">
    <w:abstractNumId w:val="8"/>
  </w:num>
  <w:num w:numId="10" w16cid:durableId="451247824">
    <w:abstractNumId w:val="6"/>
  </w:num>
  <w:num w:numId="11" w16cid:durableId="761145915">
    <w:abstractNumId w:val="10"/>
  </w:num>
  <w:num w:numId="12" w16cid:durableId="302202265">
    <w:abstractNumId w:val="7"/>
  </w:num>
  <w:num w:numId="13" w16cid:durableId="1491486094">
    <w:abstractNumId w:val="9"/>
  </w:num>
  <w:num w:numId="14" w16cid:durableId="10694980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DD"/>
    <w:rsid w:val="000046EB"/>
    <w:rsid w:val="000054A7"/>
    <w:rsid w:val="00011001"/>
    <w:rsid w:val="00011E59"/>
    <w:rsid w:val="0003119D"/>
    <w:rsid w:val="000448DD"/>
    <w:rsid w:val="00060F75"/>
    <w:rsid w:val="00085E6E"/>
    <w:rsid w:val="000C1701"/>
    <w:rsid w:val="000C2D5C"/>
    <w:rsid w:val="000E1523"/>
    <w:rsid w:val="000F0E84"/>
    <w:rsid w:val="00114797"/>
    <w:rsid w:val="00114D35"/>
    <w:rsid w:val="001150DA"/>
    <w:rsid w:val="001215E8"/>
    <w:rsid w:val="00133559"/>
    <w:rsid w:val="001339F3"/>
    <w:rsid w:val="00150FB2"/>
    <w:rsid w:val="001704ED"/>
    <w:rsid w:val="00186E2E"/>
    <w:rsid w:val="00195FFB"/>
    <w:rsid w:val="001A082A"/>
    <w:rsid w:val="001A388A"/>
    <w:rsid w:val="001B23BF"/>
    <w:rsid w:val="001C28EC"/>
    <w:rsid w:val="001C57EE"/>
    <w:rsid w:val="001D538B"/>
    <w:rsid w:val="001E6959"/>
    <w:rsid w:val="001F55CD"/>
    <w:rsid w:val="002226F3"/>
    <w:rsid w:val="00235625"/>
    <w:rsid w:val="00244266"/>
    <w:rsid w:val="00254282"/>
    <w:rsid w:val="00256C58"/>
    <w:rsid w:val="0027231E"/>
    <w:rsid w:val="0028118F"/>
    <w:rsid w:val="0028320D"/>
    <w:rsid w:val="00292709"/>
    <w:rsid w:val="002A3741"/>
    <w:rsid w:val="002A75B4"/>
    <w:rsid w:val="002B1F7B"/>
    <w:rsid w:val="002C7072"/>
    <w:rsid w:val="002D0040"/>
    <w:rsid w:val="002F21C9"/>
    <w:rsid w:val="002F2D58"/>
    <w:rsid w:val="003242DA"/>
    <w:rsid w:val="00324B5E"/>
    <w:rsid w:val="00326049"/>
    <w:rsid w:val="00335D2C"/>
    <w:rsid w:val="003429EA"/>
    <w:rsid w:val="00343323"/>
    <w:rsid w:val="00344271"/>
    <w:rsid w:val="00353421"/>
    <w:rsid w:val="00362824"/>
    <w:rsid w:val="00377122"/>
    <w:rsid w:val="00387F81"/>
    <w:rsid w:val="00392AC9"/>
    <w:rsid w:val="003A4DF8"/>
    <w:rsid w:val="003B47FE"/>
    <w:rsid w:val="003C7BEC"/>
    <w:rsid w:val="003E3287"/>
    <w:rsid w:val="003F336B"/>
    <w:rsid w:val="003F345A"/>
    <w:rsid w:val="00412344"/>
    <w:rsid w:val="00420BDD"/>
    <w:rsid w:val="00422612"/>
    <w:rsid w:val="00425988"/>
    <w:rsid w:val="00447929"/>
    <w:rsid w:val="00451554"/>
    <w:rsid w:val="00492CBF"/>
    <w:rsid w:val="004C48F8"/>
    <w:rsid w:val="004D6472"/>
    <w:rsid w:val="004E3D9F"/>
    <w:rsid w:val="00534AC3"/>
    <w:rsid w:val="005405AB"/>
    <w:rsid w:val="005578E8"/>
    <w:rsid w:val="0056180C"/>
    <w:rsid w:val="005B6681"/>
    <w:rsid w:val="005D0E22"/>
    <w:rsid w:val="005F628E"/>
    <w:rsid w:val="00634F65"/>
    <w:rsid w:val="006449AA"/>
    <w:rsid w:val="00671109"/>
    <w:rsid w:val="006721B0"/>
    <w:rsid w:val="00685468"/>
    <w:rsid w:val="00690EED"/>
    <w:rsid w:val="00697303"/>
    <w:rsid w:val="006A2B14"/>
    <w:rsid w:val="006C36CA"/>
    <w:rsid w:val="006C39A3"/>
    <w:rsid w:val="006E16B0"/>
    <w:rsid w:val="006F3A13"/>
    <w:rsid w:val="00705E7F"/>
    <w:rsid w:val="00717434"/>
    <w:rsid w:val="00726B93"/>
    <w:rsid w:val="0076336D"/>
    <w:rsid w:val="00763BB8"/>
    <w:rsid w:val="00790C58"/>
    <w:rsid w:val="007B4678"/>
    <w:rsid w:val="007C185F"/>
    <w:rsid w:val="007D726B"/>
    <w:rsid w:val="007E0B8B"/>
    <w:rsid w:val="00801409"/>
    <w:rsid w:val="00833297"/>
    <w:rsid w:val="00846503"/>
    <w:rsid w:val="0085779E"/>
    <w:rsid w:val="00886D25"/>
    <w:rsid w:val="00887783"/>
    <w:rsid w:val="008965A5"/>
    <w:rsid w:val="008A2BFA"/>
    <w:rsid w:val="008C02BE"/>
    <w:rsid w:val="008D5106"/>
    <w:rsid w:val="00900DEF"/>
    <w:rsid w:val="00930845"/>
    <w:rsid w:val="00930BEA"/>
    <w:rsid w:val="00932295"/>
    <w:rsid w:val="00955EE9"/>
    <w:rsid w:val="00957BA0"/>
    <w:rsid w:val="009B76C3"/>
    <w:rsid w:val="009D62AB"/>
    <w:rsid w:val="009E05C4"/>
    <w:rsid w:val="00A0195F"/>
    <w:rsid w:val="00A1423A"/>
    <w:rsid w:val="00A36A44"/>
    <w:rsid w:val="00A55C33"/>
    <w:rsid w:val="00A6360E"/>
    <w:rsid w:val="00A75F94"/>
    <w:rsid w:val="00A93F3B"/>
    <w:rsid w:val="00A94753"/>
    <w:rsid w:val="00AC73A7"/>
    <w:rsid w:val="00AE3DD2"/>
    <w:rsid w:val="00B032D9"/>
    <w:rsid w:val="00B10022"/>
    <w:rsid w:val="00B24DE5"/>
    <w:rsid w:val="00B57D8E"/>
    <w:rsid w:val="00B76711"/>
    <w:rsid w:val="00B825B0"/>
    <w:rsid w:val="00BA7C16"/>
    <w:rsid w:val="00BB01A3"/>
    <w:rsid w:val="00BB1343"/>
    <w:rsid w:val="00BC04BC"/>
    <w:rsid w:val="00BC58BE"/>
    <w:rsid w:val="00BF40E1"/>
    <w:rsid w:val="00C24668"/>
    <w:rsid w:val="00C35600"/>
    <w:rsid w:val="00C4620C"/>
    <w:rsid w:val="00C464C6"/>
    <w:rsid w:val="00C56F09"/>
    <w:rsid w:val="00C761B3"/>
    <w:rsid w:val="00C94243"/>
    <w:rsid w:val="00CA4057"/>
    <w:rsid w:val="00CA442D"/>
    <w:rsid w:val="00CB233E"/>
    <w:rsid w:val="00CF1EC7"/>
    <w:rsid w:val="00D04AF3"/>
    <w:rsid w:val="00D43115"/>
    <w:rsid w:val="00D55B4C"/>
    <w:rsid w:val="00D6769B"/>
    <w:rsid w:val="00D84DF6"/>
    <w:rsid w:val="00DA1DCC"/>
    <w:rsid w:val="00DA49A9"/>
    <w:rsid w:val="00DD3007"/>
    <w:rsid w:val="00DF66E3"/>
    <w:rsid w:val="00E328B6"/>
    <w:rsid w:val="00E40459"/>
    <w:rsid w:val="00E522CA"/>
    <w:rsid w:val="00E527DB"/>
    <w:rsid w:val="00E60E71"/>
    <w:rsid w:val="00E63DB8"/>
    <w:rsid w:val="00E748B8"/>
    <w:rsid w:val="00E81F71"/>
    <w:rsid w:val="00E87E7B"/>
    <w:rsid w:val="00EC19BE"/>
    <w:rsid w:val="00EF66A7"/>
    <w:rsid w:val="00F16FB0"/>
    <w:rsid w:val="00F23498"/>
    <w:rsid w:val="00F25317"/>
    <w:rsid w:val="00F25D0D"/>
    <w:rsid w:val="00F92474"/>
    <w:rsid w:val="00FA011A"/>
    <w:rsid w:val="00FA78A4"/>
    <w:rsid w:val="00FB0B0E"/>
    <w:rsid w:val="00FB22BA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7D37E"/>
  <w15:chartTrackingRefBased/>
  <w15:docId w15:val="{0770F570-549A-4306-9AE3-70BFEF5A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0BD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C28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C28EC"/>
  </w:style>
  <w:style w:type="character" w:styleId="Refdecomentario">
    <w:name w:val="annotation reference"/>
    <w:basedOn w:val="Fuentedeprrafopredeter"/>
    <w:uiPriority w:val="99"/>
    <w:semiHidden/>
    <w:unhideWhenUsed/>
    <w:rsid w:val="007633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33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33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33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336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56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F09"/>
  </w:style>
  <w:style w:type="paragraph" w:styleId="Piedepgina">
    <w:name w:val="footer"/>
    <w:basedOn w:val="Normal"/>
    <w:link w:val="PiedepginaCar"/>
    <w:uiPriority w:val="99"/>
    <w:unhideWhenUsed/>
    <w:rsid w:val="00C56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F09"/>
  </w:style>
  <w:style w:type="table" w:styleId="Tablaconcuadrcula">
    <w:name w:val="Table Grid"/>
    <w:basedOn w:val="Tablanormal"/>
    <w:uiPriority w:val="39"/>
    <w:rsid w:val="0011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C39A3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C39A3"/>
    <w:rPr>
      <w:rFonts w:eastAsiaTheme="minorEastAsia"/>
      <w:kern w:val="0"/>
      <w:lang w:eastAsia="es-MX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74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74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743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174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7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iNSTITUTO ELECTORAL Y DE PARTICIPACIÓN CIUDADANA DEL ESTADO DE JALISCO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CB9CC0-D553-4A91-9D67-CD55C6A7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951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Anual de Trabajo</vt:lpstr>
    </vt:vector>
  </TitlesOfParts>
  <Company>ComISIÓN DE MEJORA REGULATORIA INTERNA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Anual de Trabajo</dc:title>
  <dc:subject>comisión de mejora regulatoria interna                               octubre 2024-septiembre 2025</dc:subject>
  <dc:creator/>
  <cp:keywords/>
  <dc:description/>
  <cp:lastModifiedBy>Luis Alfonso Campos Guzman</cp:lastModifiedBy>
  <cp:revision>40</cp:revision>
  <cp:lastPrinted>2024-11-04T20:03:00Z</cp:lastPrinted>
  <dcterms:created xsi:type="dcterms:W3CDTF">2023-11-28T21:50:00Z</dcterms:created>
  <dcterms:modified xsi:type="dcterms:W3CDTF">2024-11-04T20:03:00Z</dcterms:modified>
</cp:coreProperties>
</file>