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819C" w14:textId="77777777" w:rsidR="0005285F" w:rsidRPr="00057899" w:rsidRDefault="0005285F" w:rsidP="00AD4C14">
      <w:pPr>
        <w:pStyle w:val="Sinespaciado"/>
        <w:spacing w:line="276" w:lineRule="auto"/>
        <w:jc w:val="center"/>
        <w:rPr>
          <w:rFonts w:ascii="Trebuchet MS" w:hAnsi="Trebuchet MS"/>
          <w:b/>
        </w:rPr>
      </w:pPr>
      <w:r w:rsidRPr="00057899">
        <w:rPr>
          <w:rFonts w:ascii="Trebuchet MS" w:hAnsi="Trebuchet MS"/>
          <w:b/>
        </w:rPr>
        <w:t>ANEXO 1</w:t>
      </w:r>
    </w:p>
    <w:p w14:paraId="7F50388D" w14:textId="57B798D1" w:rsidR="0005285F" w:rsidRPr="00057899" w:rsidRDefault="0005285F" w:rsidP="00AD4C14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r w:rsidRPr="00057899">
        <w:rPr>
          <w:rFonts w:ascii="Trebuchet MS" w:hAnsi="Trebuchet MS"/>
          <w:b/>
        </w:rPr>
        <w:t xml:space="preserve">AGENDA DE TRABAJO DE LA COMISIÓN DE </w:t>
      </w:r>
      <w:r w:rsidR="00801543">
        <w:rPr>
          <w:rFonts w:ascii="Trebuchet MS" w:hAnsi="Trebuchet MS"/>
          <w:b/>
        </w:rPr>
        <w:t>QUEJAS Y DENUNCIAS</w:t>
      </w:r>
      <w:r w:rsidRPr="00057899">
        <w:rPr>
          <w:rFonts w:ascii="Trebuchet MS" w:hAnsi="Trebuchet MS"/>
          <w:b/>
        </w:rPr>
        <w:t xml:space="preserve"> D</w:t>
      </w:r>
      <w:r w:rsidR="00A2309E">
        <w:rPr>
          <w:rFonts w:ascii="Trebuchet MS" w:hAnsi="Trebuchet MS"/>
          <w:b/>
        </w:rPr>
        <w:t xml:space="preserve">EL </w:t>
      </w:r>
      <w:r w:rsidRPr="00057899">
        <w:rPr>
          <w:rFonts w:ascii="Trebuchet MS" w:hAnsi="Trebuchet MS"/>
          <w:b/>
        </w:rPr>
        <w:t>INSTITUTO ELECTORAL</w:t>
      </w:r>
      <w:r w:rsidR="00A2309E">
        <w:rPr>
          <w:rFonts w:ascii="Trebuchet MS" w:hAnsi="Trebuchet MS"/>
          <w:b/>
        </w:rPr>
        <w:t xml:space="preserve"> Y DE PARTICIPACIÓN CIUDADANA DEL ESTADO DE JALISCO</w:t>
      </w:r>
      <w:r w:rsidRPr="00057899">
        <w:rPr>
          <w:rFonts w:ascii="Trebuchet MS" w:hAnsi="Trebuchet MS"/>
          <w:b/>
        </w:rPr>
        <w:t xml:space="preserve"> PARA EL </w:t>
      </w:r>
      <w:r w:rsidR="00A2309E">
        <w:rPr>
          <w:rFonts w:ascii="Trebuchet MS" w:hAnsi="Trebuchet MS"/>
          <w:b/>
        </w:rPr>
        <w:t>EJERCICIO 2022-2023</w:t>
      </w:r>
      <w:r w:rsidR="0062102E" w:rsidRPr="00057899">
        <w:rPr>
          <w:rFonts w:ascii="Trebuchet MS" w:hAnsi="Trebuchet MS"/>
          <w:b/>
        </w:rPr>
        <w:t>.</w:t>
      </w:r>
    </w:p>
    <w:p w14:paraId="4396753B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color w:val="7030A0"/>
          <w:sz w:val="22"/>
          <w:szCs w:val="22"/>
        </w:rPr>
      </w:pPr>
    </w:p>
    <w:p w14:paraId="7E1C2395" w14:textId="77777777" w:rsidR="0005285F" w:rsidRPr="00057899" w:rsidRDefault="0005285F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 xml:space="preserve">PRESENTACIÓN </w:t>
      </w:r>
    </w:p>
    <w:p w14:paraId="73004097" w14:textId="12DA3EFC" w:rsidR="0083308D" w:rsidRDefault="008E0382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>La a</w:t>
      </w:r>
      <w:r w:rsidR="0005285F" w:rsidRPr="00057899">
        <w:rPr>
          <w:rFonts w:ascii="Trebuchet MS" w:hAnsi="Trebuchet MS" w:cstheme="majorHAnsi"/>
          <w:sz w:val="22"/>
          <w:szCs w:val="22"/>
        </w:rPr>
        <w:t xml:space="preserve">genda que se pone a consideración propone </w:t>
      </w:r>
      <w:r>
        <w:rPr>
          <w:rFonts w:ascii="Trebuchet MS" w:hAnsi="Trebuchet MS" w:cstheme="majorHAnsi"/>
          <w:sz w:val="22"/>
          <w:szCs w:val="22"/>
        </w:rPr>
        <w:t>actividad</w:t>
      </w:r>
      <w:r w:rsidR="0083308D">
        <w:rPr>
          <w:rFonts w:ascii="Trebuchet MS" w:hAnsi="Trebuchet MS" w:cstheme="majorHAnsi"/>
          <w:sz w:val="22"/>
          <w:szCs w:val="22"/>
        </w:rPr>
        <w:t>es que tienen como</w:t>
      </w:r>
      <w:r>
        <w:rPr>
          <w:rFonts w:ascii="Trebuchet MS" w:hAnsi="Trebuchet MS" w:cstheme="majorHAnsi"/>
          <w:sz w:val="22"/>
          <w:szCs w:val="22"/>
        </w:rPr>
        <w:t xml:space="preserve"> objetivo</w:t>
      </w:r>
      <w:r w:rsidR="0083308D">
        <w:rPr>
          <w:rFonts w:ascii="Trebuchet MS" w:hAnsi="Trebuchet MS" w:cstheme="majorHAnsi"/>
          <w:sz w:val="22"/>
          <w:szCs w:val="22"/>
        </w:rPr>
        <w:t>,</w:t>
      </w:r>
      <w:r>
        <w:rPr>
          <w:rFonts w:ascii="Trebuchet MS" w:hAnsi="Trebuchet MS" w:cstheme="majorHAnsi"/>
          <w:sz w:val="22"/>
          <w:szCs w:val="22"/>
        </w:rPr>
        <w:t xml:space="preserve"> </w:t>
      </w:r>
      <w:r w:rsidR="0083308D">
        <w:rPr>
          <w:rFonts w:ascii="Trebuchet MS" w:hAnsi="Trebuchet MS" w:cstheme="majorHAnsi"/>
          <w:sz w:val="22"/>
          <w:szCs w:val="22"/>
        </w:rPr>
        <w:t xml:space="preserve">el cumplimiento de las atribuciones inherentes de esta Comisión tanto en lo relativo a procedimientos sancionadores ordinarios, como especiales. </w:t>
      </w:r>
    </w:p>
    <w:p w14:paraId="7A9E90D5" w14:textId="77777777" w:rsidR="0083308D" w:rsidRDefault="0083308D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3454869E" w14:textId="77777777" w:rsidR="0083308D" w:rsidRDefault="0083308D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>Así, en cuanto a los procedimientos sancionadores ordinarios, se busca e</w:t>
      </w:r>
      <w:r w:rsidR="008E0382">
        <w:rPr>
          <w:rFonts w:ascii="Trebuchet MS" w:hAnsi="Trebuchet MS" w:cstheme="majorHAnsi"/>
          <w:sz w:val="22"/>
          <w:szCs w:val="22"/>
        </w:rPr>
        <w:t>l cumplimiento y profesionalización en la atenci</w:t>
      </w:r>
      <w:r>
        <w:rPr>
          <w:rFonts w:ascii="Trebuchet MS" w:hAnsi="Trebuchet MS" w:cstheme="majorHAnsi"/>
          <w:sz w:val="22"/>
          <w:szCs w:val="22"/>
        </w:rPr>
        <w:t>ón</w:t>
      </w:r>
      <w:r w:rsidR="008E0382">
        <w:rPr>
          <w:rFonts w:ascii="Trebuchet MS" w:hAnsi="Trebuchet MS" w:cstheme="majorHAnsi"/>
          <w:sz w:val="22"/>
          <w:szCs w:val="22"/>
        </w:rPr>
        <w:t xml:space="preserve"> y proyección de resoluciones que se sometan a consideración del Cons</w:t>
      </w:r>
      <w:r>
        <w:rPr>
          <w:rFonts w:ascii="Trebuchet MS" w:hAnsi="Trebuchet MS" w:cstheme="majorHAnsi"/>
          <w:sz w:val="22"/>
          <w:szCs w:val="22"/>
        </w:rPr>
        <w:t xml:space="preserve">ejo General. </w:t>
      </w:r>
    </w:p>
    <w:p w14:paraId="57859B4D" w14:textId="77777777" w:rsidR="0083308D" w:rsidRDefault="0083308D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9CB106A" w14:textId="5ADF57F6" w:rsidR="008E0382" w:rsidRDefault="0083308D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>Y en lo relativo a los procedimientos sancionadores especiales, en virtud de encontrarnos en periodo de interproceso</w:t>
      </w:r>
      <w:r w:rsidR="0048607F">
        <w:rPr>
          <w:rFonts w:ascii="Trebuchet MS" w:hAnsi="Trebuchet MS" w:cstheme="majorHAnsi"/>
          <w:sz w:val="22"/>
          <w:szCs w:val="22"/>
        </w:rPr>
        <w:t>, se busca</w:t>
      </w:r>
      <w:r>
        <w:rPr>
          <w:rFonts w:ascii="Trebuchet MS" w:hAnsi="Trebuchet MS" w:cstheme="majorHAnsi"/>
          <w:sz w:val="22"/>
          <w:szCs w:val="22"/>
        </w:rPr>
        <w:t xml:space="preserve"> la atención con perspectiva de género en las medidas cautelares que se soliciten en los procedimientos sancionadores especiales </w:t>
      </w:r>
      <w:r w:rsidR="008E0382">
        <w:rPr>
          <w:rFonts w:ascii="Trebuchet MS" w:hAnsi="Trebuchet MS" w:cstheme="majorHAnsi"/>
          <w:sz w:val="22"/>
          <w:szCs w:val="22"/>
        </w:rPr>
        <w:t xml:space="preserve">en materia de Violencia Política </w:t>
      </w:r>
      <w:r w:rsidR="00DC52CD">
        <w:rPr>
          <w:rFonts w:ascii="Trebuchet MS" w:hAnsi="Trebuchet MS" w:cstheme="majorHAnsi"/>
          <w:sz w:val="22"/>
          <w:szCs w:val="22"/>
        </w:rPr>
        <w:t xml:space="preserve">contra las Mujeres </w:t>
      </w:r>
      <w:r w:rsidR="008E0382">
        <w:rPr>
          <w:rFonts w:ascii="Trebuchet MS" w:hAnsi="Trebuchet MS" w:cstheme="majorHAnsi"/>
          <w:sz w:val="22"/>
          <w:szCs w:val="22"/>
        </w:rPr>
        <w:t>en Razón de Género (VP</w:t>
      </w:r>
      <w:r w:rsidR="00DC52CD">
        <w:rPr>
          <w:rFonts w:ascii="Trebuchet MS" w:hAnsi="Trebuchet MS" w:cstheme="majorHAnsi"/>
          <w:sz w:val="22"/>
          <w:szCs w:val="22"/>
        </w:rPr>
        <w:t>M</w:t>
      </w:r>
      <w:r w:rsidR="008E0382">
        <w:rPr>
          <w:rFonts w:ascii="Trebuchet MS" w:hAnsi="Trebuchet MS" w:cstheme="majorHAnsi"/>
          <w:sz w:val="22"/>
          <w:szCs w:val="22"/>
        </w:rPr>
        <w:t>RG)</w:t>
      </w:r>
      <w:r w:rsidR="0048607F">
        <w:rPr>
          <w:rFonts w:ascii="Trebuchet MS" w:hAnsi="Trebuchet MS" w:cstheme="majorHAnsi"/>
          <w:sz w:val="22"/>
          <w:szCs w:val="22"/>
        </w:rPr>
        <w:t xml:space="preserve">; adicionalmente que se promoverá la capacitación </w:t>
      </w:r>
      <w:r w:rsidR="00DC52CD">
        <w:rPr>
          <w:rFonts w:ascii="Trebuchet MS" w:hAnsi="Trebuchet MS" w:cstheme="majorHAnsi"/>
          <w:sz w:val="22"/>
          <w:szCs w:val="22"/>
        </w:rPr>
        <w:t>de las y los</w:t>
      </w:r>
      <w:r w:rsidR="00810DE6">
        <w:rPr>
          <w:rFonts w:ascii="Trebuchet MS" w:hAnsi="Trebuchet MS" w:cstheme="majorHAnsi"/>
          <w:sz w:val="22"/>
          <w:szCs w:val="22"/>
        </w:rPr>
        <w:t xml:space="preserve"> servidores públicos que se encargan de la instrucción de los procedimientos sancionador</w:t>
      </w:r>
      <w:r w:rsidR="00DC52CD">
        <w:rPr>
          <w:rFonts w:ascii="Trebuchet MS" w:hAnsi="Trebuchet MS" w:cstheme="majorHAnsi"/>
          <w:sz w:val="22"/>
          <w:szCs w:val="22"/>
        </w:rPr>
        <w:t>es especiales que se suscitan dentro y fuera de</w:t>
      </w:r>
      <w:r w:rsidR="00810DE6">
        <w:rPr>
          <w:rFonts w:ascii="Trebuchet MS" w:hAnsi="Trebuchet MS" w:cstheme="majorHAnsi"/>
          <w:sz w:val="22"/>
          <w:szCs w:val="22"/>
        </w:rPr>
        <w:t xml:space="preserve"> los procesos electorales. </w:t>
      </w:r>
      <w:r w:rsidR="008E0382">
        <w:rPr>
          <w:rFonts w:ascii="Trebuchet MS" w:hAnsi="Trebuchet MS" w:cstheme="majorHAnsi"/>
          <w:sz w:val="22"/>
          <w:szCs w:val="22"/>
        </w:rPr>
        <w:t xml:space="preserve">  </w:t>
      </w:r>
    </w:p>
    <w:p w14:paraId="027A2214" w14:textId="77777777" w:rsidR="008E0382" w:rsidRDefault="008E0382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969E67D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EBC2246" w14:textId="77777777" w:rsidR="0005285F" w:rsidRPr="00057899" w:rsidRDefault="0005285F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>MARCO NORMATIVO</w:t>
      </w:r>
    </w:p>
    <w:p w14:paraId="227BC19B" w14:textId="2EA1C6A5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>La programación de las actividades contenidas en la presente age</w:t>
      </w:r>
      <w:r w:rsidR="00031819">
        <w:rPr>
          <w:rFonts w:ascii="Trebuchet MS" w:hAnsi="Trebuchet MS" w:cstheme="majorHAnsi"/>
          <w:sz w:val="22"/>
          <w:szCs w:val="22"/>
        </w:rPr>
        <w:t>nda que se pone a consideración</w:t>
      </w:r>
      <w:r w:rsidRPr="00057899">
        <w:rPr>
          <w:rFonts w:ascii="Trebuchet MS" w:hAnsi="Trebuchet MS" w:cstheme="majorHAnsi"/>
          <w:sz w:val="22"/>
          <w:szCs w:val="22"/>
        </w:rPr>
        <w:t xml:space="preserve"> se formuló en apego a lo establecido por los artículos 134, fracción II, del Código Electoral </w:t>
      </w:r>
      <w:r w:rsidR="00CC15ED" w:rsidRPr="00057899">
        <w:rPr>
          <w:rFonts w:ascii="Trebuchet MS" w:hAnsi="Trebuchet MS" w:cstheme="majorHAnsi"/>
          <w:sz w:val="22"/>
          <w:szCs w:val="22"/>
        </w:rPr>
        <w:t>del Estado de Jalisco referente</w:t>
      </w:r>
      <w:r w:rsidRPr="00057899">
        <w:rPr>
          <w:rFonts w:ascii="Trebuchet MS" w:hAnsi="Trebuchet MS" w:cstheme="majorHAnsi"/>
          <w:sz w:val="22"/>
          <w:szCs w:val="22"/>
        </w:rPr>
        <w:t xml:space="preserve"> a la integración de las comisio</w:t>
      </w:r>
      <w:r w:rsidR="00376B94">
        <w:rPr>
          <w:rFonts w:ascii="Trebuchet MS" w:hAnsi="Trebuchet MS" w:cstheme="majorHAnsi"/>
          <w:sz w:val="22"/>
          <w:szCs w:val="22"/>
        </w:rPr>
        <w:t xml:space="preserve">nes del Instituto; 13, fracciones VI y </w:t>
      </w:r>
      <w:r w:rsidRPr="00057899">
        <w:rPr>
          <w:rFonts w:ascii="Trebuchet MS" w:hAnsi="Trebuchet MS" w:cstheme="majorHAnsi"/>
          <w:sz w:val="22"/>
          <w:szCs w:val="22"/>
        </w:rPr>
        <w:t>XVII, 32, numeral 1, fracción I; del Reglamento Interior del Instituto Electoral y de Participación Ciudadana del Estado de Jalisco, que refiere a la obligación de las y los titulares de</w:t>
      </w:r>
      <w:r w:rsidR="00417763">
        <w:rPr>
          <w:rFonts w:ascii="Trebuchet MS" w:hAnsi="Trebuchet MS" w:cstheme="majorHAnsi"/>
          <w:sz w:val="22"/>
          <w:szCs w:val="22"/>
        </w:rPr>
        <w:t xml:space="preserve"> secretaría técnica y</w:t>
      </w:r>
      <w:r w:rsidRPr="00057899">
        <w:rPr>
          <w:rFonts w:ascii="Trebuchet MS" w:hAnsi="Trebuchet MS" w:cstheme="majorHAnsi"/>
          <w:sz w:val="22"/>
          <w:szCs w:val="22"/>
        </w:rPr>
        <w:t xml:space="preserve"> las direcciones de área</w:t>
      </w:r>
      <w:r w:rsidR="00417763">
        <w:rPr>
          <w:rFonts w:ascii="Trebuchet MS" w:hAnsi="Trebuchet MS" w:cstheme="majorHAnsi"/>
          <w:sz w:val="22"/>
          <w:szCs w:val="22"/>
        </w:rPr>
        <w:t>,</w:t>
      </w:r>
      <w:r w:rsidRPr="00057899">
        <w:rPr>
          <w:rFonts w:ascii="Trebuchet MS" w:hAnsi="Trebuchet MS" w:cstheme="majorHAnsi"/>
          <w:sz w:val="22"/>
          <w:szCs w:val="22"/>
        </w:rPr>
        <w:t xml:space="preserve"> de </w:t>
      </w:r>
      <w:r w:rsidR="00356521" w:rsidRPr="00057899">
        <w:rPr>
          <w:rFonts w:ascii="Trebuchet MS" w:hAnsi="Trebuchet MS" w:cstheme="majorHAnsi"/>
          <w:sz w:val="22"/>
          <w:szCs w:val="22"/>
        </w:rPr>
        <w:t xml:space="preserve">emitir los informes, dictámenes, datos, documentos y opiniones sobre asuntos propios de la Dirección, que le soliciten las Comisiones del Instituto, así como </w:t>
      </w:r>
      <w:r w:rsidRPr="00057899">
        <w:rPr>
          <w:rFonts w:ascii="Trebuchet MS" w:hAnsi="Trebuchet MS" w:cstheme="majorHAnsi"/>
          <w:sz w:val="22"/>
          <w:szCs w:val="22"/>
        </w:rPr>
        <w:t>aportar los insumos necesarios y coadyuvar en la elaboración de las agendas de trabajo de las Comisiones de este Instituto.</w:t>
      </w:r>
    </w:p>
    <w:p w14:paraId="00BF198D" w14:textId="77777777" w:rsidR="00CC15ED" w:rsidRPr="00057899" w:rsidRDefault="00CC15ED" w:rsidP="00AD4C1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73C98480" w14:textId="26A7BAAF" w:rsidR="00417763" w:rsidRDefault="00417763" w:rsidP="00AD4C14">
      <w:pPr>
        <w:spacing w:line="276" w:lineRule="auto"/>
        <w:jc w:val="both"/>
        <w:rPr>
          <w:rFonts w:ascii="Trebuchet MS" w:hAnsi="Trebuchet MS" w:cstheme="majorHAnsi"/>
          <w:bCs/>
        </w:rPr>
      </w:pPr>
      <w:r>
        <w:rPr>
          <w:rFonts w:ascii="Trebuchet MS" w:hAnsi="Trebuchet MS" w:cstheme="majorHAnsi"/>
        </w:rPr>
        <w:t xml:space="preserve">Adicionalmente, es importante precisar que </w:t>
      </w:r>
      <w:r>
        <w:rPr>
          <w:rFonts w:ascii="Trebuchet MS" w:hAnsi="Trebuchet MS" w:cstheme="majorHAnsi"/>
          <w:bCs/>
        </w:rPr>
        <w:t>el artículo 45</w:t>
      </w:r>
      <w:r w:rsidRPr="00FE68F0">
        <w:rPr>
          <w:rFonts w:ascii="Trebuchet MS" w:hAnsi="Trebuchet MS" w:cstheme="majorHAnsi"/>
          <w:bCs/>
        </w:rPr>
        <w:t xml:space="preserve"> del Reglamento Interior, </w:t>
      </w:r>
      <w:r>
        <w:rPr>
          <w:rFonts w:ascii="Trebuchet MS" w:hAnsi="Trebuchet MS" w:cstheme="majorHAnsi"/>
          <w:bCs/>
        </w:rPr>
        <w:t xml:space="preserve">establece que </w:t>
      </w:r>
      <w:r w:rsidRPr="00FE68F0">
        <w:rPr>
          <w:rFonts w:ascii="Trebuchet MS" w:hAnsi="Trebuchet MS" w:cstheme="majorHAnsi"/>
          <w:bCs/>
        </w:rPr>
        <w:t xml:space="preserve">la Comisión </w:t>
      </w:r>
      <w:r>
        <w:rPr>
          <w:rFonts w:ascii="Trebuchet MS" w:hAnsi="Trebuchet MS" w:cstheme="majorHAnsi"/>
          <w:bCs/>
        </w:rPr>
        <w:t>de Quejas y Denuncias</w:t>
      </w:r>
      <w:r>
        <w:t xml:space="preserve"> </w:t>
      </w:r>
      <w:r w:rsidRPr="00FE68F0">
        <w:rPr>
          <w:rFonts w:ascii="Trebuchet MS" w:hAnsi="Trebuchet MS" w:cstheme="majorHAnsi"/>
          <w:bCs/>
        </w:rPr>
        <w:t>tiene las siguientes atribuciones:</w:t>
      </w:r>
    </w:p>
    <w:p w14:paraId="69EA84C4" w14:textId="77777777" w:rsidR="00890A20" w:rsidRDefault="00890A20" w:rsidP="00AD4C14">
      <w:pPr>
        <w:spacing w:line="276" w:lineRule="auto"/>
        <w:jc w:val="both"/>
        <w:rPr>
          <w:rFonts w:ascii="Trebuchet MS" w:hAnsi="Trebuchet MS" w:cstheme="majorHAnsi"/>
          <w:bCs/>
        </w:rPr>
      </w:pPr>
    </w:p>
    <w:p w14:paraId="77C34F94" w14:textId="77777777" w:rsid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  <w:r w:rsidRPr="00890A20">
        <w:rPr>
          <w:rFonts w:ascii="Trebuchet MS" w:hAnsi="Trebuchet MS" w:cstheme="majorHAnsi"/>
          <w:sz w:val="22"/>
          <w:szCs w:val="22"/>
        </w:rPr>
        <w:t>I. Acordar los proyectos de resolución relativos a procedimientos sancionadores ordinarios que presente la Secretaría Ejecutiva, en los términos previstos por el artículo 470 del Código;</w:t>
      </w:r>
    </w:p>
    <w:p w14:paraId="64F44504" w14:textId="77777777" w:rsidR="00890A20" w:rsidRP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</w:p>
    <w:p w14:paraId="1AD0D2CF" w14:textId="77777777" w:rsid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  <w:r w:rsidRPr="00890A20">
        <w:rPr>
          <w:rFonts w:ascii="Trebuchet MS" w:hAnsi="Trebuchet MS" w:cstheme="majorHAnsi"/>
          <w:sz w:val="22"/>
          <w:szCs w:val="22"/>
        </w:rPr>
        <w:t>II. Remitir al Consejero Presidente el proyecto de resolución para que lo someta a la consideración y votación del Consejo General;</w:t>
      </w:r>
    </w:p>
    <w:p w14:paraId="1D84D826" w14:textId="77777777" w:rsidR="00890A20" w:rsidRP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</w:p>
    <w:p w14:paraId="5834145B" w14:textId="77777777" w:rsid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  <w:r w:rsidRPr="00890A20">
        <w:rPr>
          <w:rFonts w:ascii="Trebuchet MS" w:hAnsi="Trebuchet MS" w:cstheme="majorHAnsi"/>
          <w:sz w:val="22"/>
          <w:szCs w:val="22"/>
        </w:rPr>
        <w:t>III. Determinar la procedencia de la implementación de medidas cautelares; y</w:t>
      </w:r>
    </w:p>
    <w:p w14:paraId="18ECCCD4" w14:textId="77777777" w:rsidR="00890A20" w:rsidRPr="00890A20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</w:p>
    <w:p w14:paraId="4BF0E627" w14:textId="60FDD9FF" w:rsidR="00115D7E" w:rsidRPr="00057899" w:rsidRDefault="00890A20" w:rsidP="00890A20">
      <w:pPr>
        <w:spacing w:line="276" w:lineRule="auto"/>
        <w:ind w:left="567"/>
        <w:jc w:val="both"/>
        <w:rPr>
          <w:rFonts w:ascii="Trebuchet MS" w:hAnsi="Trebuchet MS" w:cstheme="majorHAnsi"/>
          <w:sz w:val="22"/>
          <w:szCs w:val="22"/>
        </w:rPr>
      </w:pPr>
      <w:r w:rsidRPr="00890A20">
        <w:rPr>
          <w:rFonts w:ascii="Trebuchet MS" w:hAnsi="Trebuchet MS" w:cstheme="majorHAnsi"/>
          <w:sz w:val="22"/>
          <w:szCs w:val="22"/>
        </w:rPr>
        <w:t>IV. Las demás que le confiera este reglamento, el Consejo General, el Código y demás normatividad aplicable.</w:t>
      </w:r>
    </w:p>
    <w:p w14:paraId="73BA3CEF" w14:textId="77777777" w:rsidR="0005285F" w:rsidRPr="00057899" w:rsidRDefault="0005285F" w:rsidP="00AD4C1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4AC083B3" w14:textId="77777777" w:rsidR="005A2710" w:rsidRPr="00057899" w:rsidRDefault="005A2710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>INTEGRACIÓN</w:t>
      </w:r>
    </w:p>
    <w:p w14:paraId="56895300" w14:textId="4C23B265" w:rsidR="005A2710" w:rsidRDefault="005A2710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 xml:space="preserve">El 15 de febrero de 2022, el Consejo General del Instituto celebró sesión extraordinaria en la que, entre otros acuerdos, emitió el identificado con la clave IEPC-ACG-010/2022, mediante el cual aprobó la </w:t>
      </w:r>
      <w:r w:rsidR="008A5CF7">
        <w:rPr>
          <w:rFonts w:ascii="Trebuchet MS" w:hAnsi="Trebuchet MS" w:cstheme="majorHAnsi"/>
          <w:sz w:val="22"/>
          <w:szCs w:val="22"/>
        </w:rPr>
        <w:t>rotación de la Presidencia</w:t>
      </w:r>
      <w:r w:rsidRPr="00057899">
        <w:rPr>
          <w:rFonts w:ascii="Trebuchet MS" w:hAnsi="Trebuchet MS" w:cstheme="majorHAnsi"/>
          <w:sz w:val="22"/>
          <w:szCs w:val="22"/>
        </w:rPr>
        <w:t xml:space="preserve"> de la Comisión, la cual quedó conformada como sigue:</w:t>
      </w:r>
    </w:p>
    <w:p w14:paraId="0C116494" w14:textId="77777777" w:rsidR="004845B9" w:rsidRPr="00057899" w:rsidRDefault="004845B9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6D421332" w14:textId="77777777" w:rsidR="005A2710" w:rsidRDefault="003E68A9" w:rsidP="00AD4C1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>Zoad Jeanine García González</w:t>
      </w:r>
      <w:r w:rsidR="005A2710" w:rsidRPr="00057899">
        <w:rPr>
          <w:rFonts w:ascii="Trebuchet MS" w:hAnsi="Trebuchet MS" w:cstheme="majorHAnsi"/>
        </w:rPr>
        <w:t>. Consejera Electoral Presidenta de la Comisión.</w:t>
      </w:r>
    </w:p>
    <w:p w14:paraId="522E8EDE" w14:textId="77777777" w:rsidR="005D315E" w:rsidRPr="00057899" w:rsidRDefault="005D315E" w:rsidP="005D315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>Silvia Guadalupe Bustos Vásquez</w:t>
      </w:r>
      <w:r w:rsidRPr="00057899">
        <w:rPr>
          <w:rFonts w:ascii="Trebuchet MS" w:eastAsia="Arial Narrow" w:hAnsi="Trebuchet MS" w:cs="Arial Narrow"/>
        </w:rPr>
        <w:t>. Consejera Electoral integrante.</w:t>
      </w:r>
    </w:p>
    <w:p w14:paraId="1AE74A18" w14:textId="77777777" w:rsidR="005A2710" w:rsidRPr="00057899" w:rsidRDefault="001F207F" w:rsidP="00AD4C1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>Claudia Alejandra Vargas Bautista</w:t>
      </w:r>
      <w:r w:rsidR="005A2710" w:rsidRPr="00057899">
        <w:rPr>
          <w:rFonts w:ascii="Trebuchet MS" w:hAnsi="Trebuchet MS" w:cstheme="majorHAnsi"/>
        </w:rPr>
        <w:t>. Consejera Electoral integrante.</w:t>
      </w:r>
    </w:p>
    <w:p w14:paraId="56220685" w14:textId="77777777" w:rsidR="005A2710" w:rsidRPr="00057899" w:rsidRDefault="005A2710" w:rsidP="008A5CF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>Luis Alfonso Campos Guzmán. Secretario Técnico de Comisi</w:t>
      </w:r>
      <w:bookmarkStart w:id="0" w:name="_GoBack"/>
      <w:bookmarkEnd w:id="0"/>
      <w:r w:rsidRPr="00057899">
        <w:rPr>
          <w:rFonts w:ascii="Trebuchet MS" w:eastAsia="Arial Narrow" w:hAnsi="Trebuchet MS" w:cs="Arial Narrow"/>
        </w:rPr>
        <w:t xml:space="preserve">ones. </w:t>
      </w:r>
    </w:p>
    <w:p w14:paraId="0D266A54" w14:textId="77777777" w:rsidR="005A2710" w:rsidRPr="00057899" w:rsidRDefault="005A2710" w:rsidP="00AD4C14">
      <w:pPr>
        <w:spacing w:line="276" w:lineRule="auto"/>
        <w:jc w:val="both"/>
        <w:rPr>
          <w:rFonts w:ascii="Trebuchet MS" w:hAnsi="Trebuchet MS" w:cstheme="majorHAnsi"/>
          <w:b/>
          <w:bCs/>
          <w:sz w:val="22"/>
          <w:szCs w:val="22"/>
        </w:rPr>
      </w:pPr>
    </w:p>
    <w:p w14:paraId="15C9C301" w14:textId="77777777" w:rsidR="005A2710" w:rsidRPr="00057899" w:rsidRDefault="005A2710" w:rsidP="00AD4C14">
      <w:pPr>
        <w:pStyle w:val="Prrafodelista"/>
        <w:numPr>
          <w:ilvl w:val="0"/>
          <w:numId w:val="1"/>
        </w:numPr>
        <w:spacing w:line="276" w:lineRule="auto"/>
        <w:ind w:hanging="1080"/>
        <w:jc w:val="both"/>
        <w:rPr>
          <w:rFonts w:ascii="Trebuchet MS" w:hAnsi="Trebuchet MS" w:cstheme="majorHAnsi"/>
          <w:b/>
          <w:bCs/>
        </w:rPr>
      </w:pPr>
      <w:r w:rsidRPr="00057899">
        <w:rPr>
          <w:rFonts w:ascii="Trebuchet MS" w:hAnsi="Trebuchet MS" w:cstheme="majorHAnsi"/>
          <w:b/>
          <w:bCs/>
        </w:rPr>
        <w:t xml:space="preserve">OBJETIVOS </w:t>
      </w:r>
    </w:p>
    <w:p w14:paraId="784AB076" w14:textId="77777777" w:rsidR="005A2710" w:rsidRPr="00057899" w:rsidRDefault="005A2710" w:rsidP="00AD4C14">
      <w:pPr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  <w:r w:rsidRPr="00057899">
        <w:rPr>
          <w:rFonts w:ascii="Trebuchet MS" w:hAnsi="Trebuchet MS" w:cstheme="majorHAnsi"/>
          <w:b/>
          <w:bCs/>
          <w:sz w:val="22"/>
          <w:szCs w:val="22"/>
        </w:rPr>
        <w:t xml:space="preserve">OBJETIVO GENERAL </w:t>
      </w:r>
    </w:p>
    <w:p w14:paraId="495F079E" w14:textId="04FC52F0" w:rsidR="004E3414" w:rsidRPr="00057899" w:rsidRDefault="00E56181" w:rsidP="00AD4C14">
      <w:pPr>
        <w:tabs>
          <w:tab w:val="left" w:pos="6663"/>
        </w:tabs>
        <w:spacing w:line="276" w:lineRule="auto"/>
        <w:ind w:left="360"/>
        <w:jc w:val="both"/>
        <w:rPr>
          <w:rFonts w:ascii="Trebuchet MS" w:hAnsi="Trebuchet MS" w:cstheme="majorHAnsi"/>
          <w:sz w:val="22"/>
          <w:szCs w:val="22"/>
        </w:rPr>
      </w:pPr>
      <w:r w:rsidRPr="00FE68F0">
        <w:rPr>
          <w:rFonts w:ascii="Trebuchet MS" w:hAnsi="Trebuchet MS" w:cstheme="majorHAnsi"/>
        </w:rPr>
        <w:t xml:space="preserve">Coadyuvar, </w:t>
      </w:r>
      <w:r>
        <w:rPr>
          <w:rFonts w:ascii="Trebuchet MS" w:hAnsi="Trebuchet MS" w:cstheme="majorHAnsi"/>
        </w:rPr>
        <w:t>proponer y dar seguimiento al cumplimiento de las obligaciones legales que tiene esta Comisión</w:t>
      </w:r>
      <w:r w:rsidR="004E3414" w:rsidRPr="00057899">
        <w:rPr>
          <w:rFonts w:ascii="Trebuchet MS" w:hAnsi="Trebuchet MS" w:cstheme="majorHAnsi"/>
          <w:sz w:val="22"/>
          <w:szCs w:val="22"/>
        </w:rPr>
        <w:t xml:space="preserve">.  </w:t>
      </w:r>
    </w:p>
    <w:p w14:paraId="5DD3BADC" w14:textId="77777777" w:rsidR="004E3414" w:rsidRPr="00057899" w:rsidRDefault="004E3414" w:rsidP="00AD4C14">
      <w:pPr>
        <w:tabs>
          <w:tab w:val="left" w:pos="6663"/>
        </w:tabs>
        <w:spacing w:line="276" w:lineRule="auto"/>
        <w:ind w:left="360"/>
        <w:jc w:val="both"/>
        <w:rPr>
          <w:rFonts w:ascii="Trebuchet MS" w:hAnsi="Trebuchet MS" w:cstheme="majorHAnsi"/>
          <w:sz w:val="22"/>
          <w:szCs w:val="22"/>
        </w:rPr>
      </w:pPr>
    </w:p>
    <w:p w14:paraId="69110F4D" w14:textId="77777777" w:rsidR="005A2710" w:rsidRPr="00057899" w:rsidRDefault="005A2710" w:rsidP="00AD4C14">
      <w:pPr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  <w:r w:rsidRPr="00057899">
        <w:rPr>
          <w:rFonts w:ascii="Trebuchet MS" w:hAnsi="Trebuchet MS" w:cstheme="majorHAnsi"/>
          <w:b/>
          <w:bCs/>
          <w:sz w:val="22"/>
          <w:szCs w:val="22"/>
        </w:rPr>
        <w:t xml:space="preserve">OBJETIVOS ESPECÍFICOS  </w:t>
      </w:r>
    </w:p>
    <w:p w14:paraId="4E84F6A8" w14:textId="77777777" w:rsidR="005A2710" w:rsidRPr="00057899" w:rsidRDefault="005A2710" w:rsidP="00AD4C14">
      <w:pPr>
        <w:pStyle w:val="Prrafodelista"/>
        <w:spacing w:line="276" w:lineRule="auto"/>
        <w:ind w:left="360"/>
        <w:jc w:val="both"/>
        <w:rPr>
          <w:rFonts w:ascii="Trebuchet MS" w:hAnsi="Trebuchet MS" w:cstheme="majorHAnsi"/>
        </w:rPr>
      </w:pPr>
    </w:p>
    <w:p w14:paraId="65538811" w14:textId="786E635C" w:rsidR="00451763" w:rsidRPr="00057899" w:rsidRDefault="008C0326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En cuanto a los procedimientos sancionadores ordinarios, se busca el cumplimiento y profesionalización en la atención y proyección de resoluciones que se sometan a consideración del Consejo General;</w:t>
      </w:r>
    </w:p>
    <w:p w14:paraId="5097DCC6" w14:textId="77777777" w:rsidR="00451763" w:rsidRPr="00057899" w:rsidRDefault="00451763" w:rsidP="00AD4C14">
      <w:pPr>
        <w:pStyle w:val="Prrafodelista"/>
        <w:spacing w:line="276" w:lineRule="auto"/>
        <w:ind w:left="709" w:hanging="283"/>
        <w:jc w:val="both"/>
        <w:rPr>
          <w:rFonts w:ascii="Trebuchet MS" w:hAnsi="Trebuchet MS" w:cstheme="majorHAnsi"/>
        </w:rPr>
      </w:pPr>
    </w:p>
    <w:p w14:paraId="6CFD87A5" w14:textId="00063EAD" w:rsidR="00451763" w:rsidRPr="00057899" w:rsidRDefault="008C0326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Atención con perspectiva de género en las medidas cautelares que se soliciten en los procedimientos sancionadores especiales en materia de VP</w:t>
      </w:r>
      <w:r w:rsidR="008D38C4">
        <w:rPr>
          <w:rFonts w:ascii="Trebuchet MS" w:hAnsi="Trebuchet MS" w:cstheme="majorHAnsi"/>
        </w:rPr>
        <w:t>M</w:t>
      </w:r>
      <w:r>
        <w:rPr>
          <w:rFonts w:ascii="Trebuchet MS" w:hAnsi="Trebuchet MS" w:cstheme="majorHAnsi"/>
        </w:rPr>
        <w:t xml:space="preserve">RG; </w:t>
      </w:r>
    </w:p>
    <w:p w14:paraId="5549BE79" w14:textId="77777777" w:rsidR="00451763" w:rsidRPr="00057899" w:rsidRDefault="00451763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091D19C7" w14:textId="49441D40" w:rsidR="00451763" w:rsidRPr="00057899" w:rsidRDefault="008C0326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En virtud de encontrarnos en periodo de interproceso, se promoverá la capacitación de </w:t>
      </w:r>
      <w:r w:rsidR="00EB02A3">
        <w:rPr>
          <w:rFonts w:ascii="Trebuchet MS" w:hAnsi="Trebuchet MS" w:cstheme="majorHAnsi"/>
        </w:rPr>
        <w:t xml:space="preserve">las y </w:t>
      </w:r>
      <w:r>
        <w:rPr>
          <w:rFonts w:ascii="Trebuchet MS" w:hAnsi="Trebuchet MS" w:cstheme="majorHAnsi"/>
        </w:rPr>
        <w:t xml:space="preserve">los servidores públicos que se encargan de la instrucción de los procedimientos sancionadores especiales que se suscitan </w:t>
      </w:r>
      <w:r w:rsidR="00EB02A3">
        <w:rPr>
          <w:rFonts w:ascii="Trebuchet MS" w:hAnsi="Trebuchet MS" w:cstheme="majorHAnsi"/>
        </w:rPr>
        <w:t>dentro y fuera de</w:t>
      </w:r>
      <w:r>
        <w:rPr>
          <w:rFonts w:ascii="Trebuchet MS" w:hAnsi="Trebuchet MS" w:cstheme="majorHAnsi"/>
        </w:rPr>
        <w:t xml:space="preserve"> los procesos electorales, contribuyendo a la profesionalización de las atribuciones legales de este Instituto Electoral. </w:t>
      </w:r>
    </w:p>
    <w:p w14:paraId="3C729766" w14:textId="77777777" w:rsidR="00451763" w:rsidRPr="00057899" w:rsidRDefault="00451763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66FBD272" w14:textId="61A615A0" w:rsidR="00451763" w:rsidRPr="00057899" w:rsidRDefault="000C6042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lastRenderedPageBreak/>
        <w:t xml:space="preserve">Impulsar alianzas y mecanismos de coordinación interinstitucional </w:t>
      </w:r>
      <w:r>
        <w:rPr>
          <w:rFonts w:ascii="Trebuchet MS" w:hAnsi="Trebuchet MS" w:cstheme="majorHAnsi"/>
        </w:rPr>
        <w:t>para la mejora de la atención de las denuncias que se presenten por infracciones electorales</w:t>
      </w:r>
      <w:r w:rsidRPr="00057899">
        <w:rPr>
          <w:rFonts w:ascii="Trebuchet MS" w:hAnsi="Trebuchet MS" w:cstheme="majorHAnsi"/>
        </w:rPr>
        <w:t>.</w:t>
      </w:r>
    </w:p>
    <w:p w14:paraId="6F1C3820" w14:textId="77777777" w:rsidR="00D47DF6" w:rsidRPr="00D47DF6" w:rsidRDefault="00D47DF6" w:rsidP="00AD4C14">
      <w:pPr>
        <w:pStyle w:val="Prrafodelista"/>
        <w:spacing w:line="276" w:lineRule="auto"/>
        <w:rPr>
          <w:rFonts w:ascii="Trebuchet MS" w:hAnsi="Trebuchet MS" w:cstheme="majorHAnsi"/>
        </w:rPr>
      </w:pPr>
    </w:p>
    <w:p w14:paraId="08EFB5C0" w14:textId="77777777" w:rsidR="00D47DF6" w:rsidRPr="009C0E38" w:rsidRDefault="00D47DF6" w:rsidP="00AD4C14">
      <w:pPr>
        <w:pStyle w:val="Prrafodelista"/>
        <w:spacing w:line="276" w:lineRule="auto"/>
        <w:jc w:val="both"/>
        <w:rPr>
          <w:rFonts w:ascii="Trebuchet MS" w:hAnsi="Trebuchet MS" w:cstheme="majorHAnsi"/>
        </w:rPr>
      </w:pPr>
    </w:p>
    <w:p w14:paraId="2D926EC7" w14:textId="6EB492C9" w:rsidR="005A2710" w:rsidRDefault="00E52648" w:rsidP="00AD4C14">
      <w:pPr>
        <w:pStyle w:val="Prrafodelista"/>
        <w:numPr>
          <w:ilvl w:val="0"/>
          <w:numId w:val="1"/>
        </w:numPr>
        <w:spacing w:line="276" w:lineRule="auto"/>
        <w:ind w:hanging="1080"/>
        <w:jc w:val="both"/>
        <w:rPr>
          <w:rFonts w:ascii="Trebuchet MS" w:hAnsi="Trebuchet MS" w:cstheme="majorHAnsi"/>
          <w:b/>
          <w:bCs/>
        </w:rPr>
      </w:pPr>
      <w:r>
        <w:rPr>
          <w:rFonts w:ascii="Trebuchet MS" w:hAnsi="Trebuchet MS" w:cstheme="majorHAnsi"/>
          <w:b/>
          <w:bCs/>
        </w:rPr>
        <w:t xml:space="preserve">AGENDA CONFORME CON LOS </w:t>
      </w:r>
      <w:r w:rsidR="005A2710" w:rsidRPr="005774AB">
        <w:rPr>
          <w:rFonts w:ascii="Trebuchet MS" w:hAnsi="Trebuchet MS" w:cstheme="majorHAnsi"/>
          <w:b/>
          <w:bCs/>
        </w:rPr>
        <w:t xml:space="preserve">EJES TEMÁTICOS </w:t>
      </w:r>
    </w:p>
    <w:p w14:paraId="4AA0345B" w14:textId="77777777" w:rsidR="007B3A3F" w:rsidRDefault="007B3A3F" w:rsidP="007B3A3F">
      <w:pPr>
        <w:pStyle w:val="Prrafodelista"/>
        <w:spacing w:line="276" w:lineRule="auto"/>
        <w:ind w:left="1080"/>
        <w:jc w:val="both"/>
        <w:rPr>
          <w:rFonts w:ascii="Trebuchet MS" w:hAnsi="Trebuchet MS" w:cstheme="majorHAnsi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61"/>
        <w:gridCol w:w="1593"/>
        <w:gridCol w:w="1593"/>
        <w:gridCol w:w="1593"/>
        <w:gridCol w:w="1593"/>
      </w:tblGrid>
      <w:tr w:rsidR="007B3A3F" w:rsidRPr="007B3A3F" w14:paraId="5802598F" w14:textId="7FBAFDBF" w:rsidTr="00F43F33">
        <w:tc>
          <w:tcPr>
            <w:tcW w:w="2461" w:type="dxa"/>
            <w:shd w:val="clear" w:color="auto" w:fill="7030A0"/>
            <w:vAlign w:val="center"/>
          </w:tcPr>
          <w:p w14:paraId="5B1A3A45" w14:textId="79E01499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F43F33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Proyecto</w:t>
            </w:r>
          </w:p>
        </w:tc>
        <w:tc>
          <w:tcPr>
            <w:tcW w:w="1593" w:type="dxa"/>
            <w:shd w:val="clear" w:color="auto" w:fill="7030A0"/>
            <w:vAlign w:val="center"/>
          </w:tcPr>
          <w:p w14:paraId="183A4E86" w14:textId="248326B2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F43F33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Actividades</w:t>
            </w:r>
          </w:p>
        </w:tc>
        <w:tc>
          <w:tcPr>
            <w:tcW w:w="1593" w:type="dxa"/>
            <w:shd w:val="clear" w:color="auto" w:fill="7030A0"/>
            <w:vAlign w:val="center"/>
          </w:tcPr>
          <w:p w14:paraId="0FE31BE9" w14:textId="567050E8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F43F33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Periodo de ejecución</w:t>
            </w:r>
          </w:p>
        </w:tc>
        <w:tc>
          <w:tcPr>
            <w:tcW w:w="1593" w:type="dxa"/>
            <w:shd w:val="clear" w:color="auto" w:fill="7030A0"/>
            <w:vAlign w:val="center"/>
          </w:tcPr>
          <w:p w14:paraId="16B27A16" w14:textId="2DDCB0BF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F43F33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Producto</w:t>
            </w:r>
          </w:p>
        </w:tc>
        <w:tc>
          <w:tcPr>
            <w:tcW w:w="1593" w:type="dxa"/>
            <w:shd w:val="clear" w:color="auto" w:fill="7030A0"/>
            <w:vAlign w:val="center"/>
          </w:tcPr>
          <w:p w14:paraId="71CA7EC0" w14:textId="77777777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</w:p>
          <w:p w14:paraId="43A591A8" w14:textId="06754869" w:rsidR="007B3A3F" w:rsidRPr="00F43F33" w:rsidRDefault="007B3A3F" w:rsidP="007710D3">
            <w:pPr>
              <w:pStyle w:val="Prrafodelista"/>
              <w:spacing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F43F33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Marco jurídico</w:t>
            </w:r>
          </w:p>
        </w:tc>
      </w:tr>
      <w:tr w:rsidR="007B3A3F" w:rsidRPr="007B3A3F" w14:paraId="5C5024E2" w14:textId="41D1AAE1" w:rsidTr="007B3A3F">
        <w:tc>
          <w:tcPr>
            <w:tcW w:w="2461" w:type="dxa"/>
          </w:tcPr>
          <w:p w14:paraId="6D32AC4C" w14:textId="78D7AE91" w:rsidR="007B3A3F" w:rsidRPr="007B3A3F" w:rsidRDefault="007710D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="007B3A3F" w:rsidRPr="007B3A3F">
              <w:rPr>
                <w:rFonts w:ascii="Trebuchet MS" w:hAnsi="Trebuchet MS" w:cstheme="majorHAnsi"/>
                <w:bCs/>
                <w:vertAlign w:val="superscript"/>
              </w:rPr>
              <w:t xml:space="preserve">genda de trabajo de la Comisión. </w:t>
            </w:r>
          </w:p>
        </w:tc>
        <w:tc>
          <w:tcPr>
            <w:tcW w:w="1593" w:type="dxa"/>
          </w:tcPr>
          <w:p w14:paraId="4C08C849" w14:textId="7EFCE379" w:rsidR="007B3A3F" w:rsidRPr="007B3A3F" w:rsidRDefault="007B3A3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Proyección y calendarización integral de las actividades de la Comisión</w:t>
            </w:r>
            <w:r w:rsidR="004D5573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1593" w:type="dxa"/>
          </w:tcPr>
          <w:p w14:paraId="07F868EC" w14:textId="13C3ACA2" w:rsidR="007B3A3F" w:rsidRPr="007B3A3F" w:rsidRDefault="007B3A3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Marzo 2022</w:t>
            </w:r>
          </w:p>
        </w:tc>
        <w:tc>
          <w:tcPr>
            <w:tcW w:w="1593" w:type="dxa"/>
          </w:tcPr>
          <w:p w14:paraId="5FDDD563" w14:textId="46AFA838" w:rsidR="007B3A3F" w:rsidRPr="007B3A3F" w:rsidRDefault="007B3A3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Agenda de Trabajo</w:t>
            </w:r>
            <w:r w:rsidR="004D5573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1593" w:type="dxa"/>
          </w:tcPr>
          <w:p w14:paraId="23955334" w14:textId="16D5DF0A" w:rsidR="007B3A3F" w:rsidRPr="007B3A3F" w:rsidRDefault="003E7C2D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>rtículos 134, fracción II, del Código Electoral del Estado de Jalisco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; y artículo 32, numeral 1, fracción I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 xml:space="preserve"> del Reglamento Interior 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l Estado de Jalisco. </w:t>
            </w:r>
          </w:p>
        </w:tc>
      </w:tr>
      <w:tr w:rsidR="007B3A3F" w:rsidRPr="007B3A3F" w14:paraId="24E4D6A5" w14:textId="32A5C716" w:rsidTr="007B3A3F">
        <w:tc>
          <w:tcPr>
            <w:tcW w:w="2461" w:type="dxa"/>
          </w:tcPr>
          <w:p w14:paraId="09A3DDDA" w14:textId="7433B7B0" w:rsidR="007B3A3F" w:rsidRPr="007B3A3F" w:rsidRDefault="00C471E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Sesiones de la Comisión. </w:t>
            </w:r>
          </w:p>
        </w:tc>
        <w:tc>
          <w:tcPr>
            <w:tcW w:w="1593" w:type="dxa"/>
          </w:tcPr>
          <w:p w14:paraId="6E82AF50" w14:textId="4317B162" w:rsidR="007B3A3F" w:rsidRPr="007B3A3F" w:rsidRDefault="004D557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Calendarización de las actividades de la Comisión.</w:t>
            </w:r>
          </w:p>
        </w:tc>
        <w:tc>
          <w:tcPr>
            <w:tcW w:w="1593" w:type="dxa"/>
          </w:tcPr>
          <w:p w14:paraId="29270893" w14:textId="113359CC" w:rsidR="00391F1A" w:rsidRDefault="001F25CC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1r</w:t>
            </w:r>
            <w:r w:rsidR="006C4178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a sesión extraordinaria</w:t>
            </w:r>
            <w:r w:rsidR="00391F1A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14:paraId="5EBF38A3" w14:textId="5980C7F7" w:rsidR="001F25CC" w:rsidRPr="001F25CC" w:rsidRDefault="00391F1A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3 de marzo</w:t>
            </w:r>
          </w:p>
          <w:p w14:paraId="01D8DA5D" w14:textId="77777777" w:rsidR="001F25CC" w:rsidRPr="001F25CC" w:rsidRDefault="001F25CC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68ECAA71" w14:textId="14E89F2D" w:rsidR="001F25CC" w:rsidRDefault="001F25CC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2da sesión ordinaria </w:t>
            </w: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mayo</w:t>
            </w:r>
          </w:p>
          <w:p w14:paraId="4E5C7F81" w14:textId="77777777" w:rsidR="00110E71" w:rsidRPr="001F25CC" w:rsidRDefault="00110E71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55CB75A" w14:textId="77777777" w:rsidR="001F25CC" w:rsidRDefault="001F25CC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3ra sesión ordinaria</w:t>
            </w:r>
          </w:p>
          <w:p w14:paraId="5A539A19" w14:textId="20C1C985" w:rsidR="001F25CC" w:rsidRPr="001F25CC" w:rsidRDefault="001F25CC" w:rsidP="007710D3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agosto</w:t>
            </w:r>
          </w:p>
          <w:p w14:paraId="4DF5CB19" w14:textId="77777777" w:rsidR="001F25CC" w:rsidRDefault="001F25CC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36C114F" w14:textId="77777777" w:rsidR="001F25CC" w:rsidRPr="001F25CC" w:rsidRDefault="001F25CC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1F25CC">
              <w:rPr>
                <w:rFonts w:ascii="Trebuchet MS" w:hAnsi="Trebuchet MS" w:cstheme="majorHAnsi"/>
                <w:bCs/>
                <w:vertAlign w:val="superscript"/>
              </w:rPr>
              <w:t>4ta sesión ordinaria</w:t>
            </w:r>
          </w:p>
          <w:p w14:paraId="07CE13FB" w14:textId="77777777" w:rsidR="007B3A3F" w:rsidRDefault="001F25CC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1F25CC">
              <w:rPr>
                <w:rFonts w:ascii="Trebuchet MS" w:hAnsi="Trebuchet MS" w:cstheme="majorHAnsi"/>
                <w:bCs/>
                <w:vertAlign w:val="superscript"/>
              </w:rPr>
              <w:t>25 de noviembre</w:t>
            </w:r>
          </w:p>
          <w:p w14:paraId="34C91065" w14:textId="77777777" w:rsidR="001F25CC" w:rsidRDefault="001F25CC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68C75F8" w14:textId="391A4C6A" w:rsidR="001F25CC" w:rsidRPr="001F25CC" w:rsidRDefault="007710D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Adicionalmente,</w:t>
            </w:r>
            <w:r w:rsidR="001F25CC" w:rsidRPr="001F25CC">
              <w:rPr>
                <w:rFonts w:ascii="Trebuchet MS" w:hAnsi="Trebuchet MS" w:cstheme="majorHAnsi"/>
                <w:bCs/>
                <w:vertAlign w:val="superscript"/>
              </w:rPr>
              <w:t xml:space="preserve"> se celebrarán las sesiones extraordinarias cu</w:t>
            </w:r>
            <w:r w:rsidR="00391F1A">
              <w:rPr>
                <w:rFonts w:ascii="Trebuchet MS" w:hAnsi="Trebuchet MS" w:cstheme="majorHAnsi"/>
                <w:bCs/>
                <w:vertAlign w:val="superscript"/>
              </w:rPr>
              <w:t>ando lo considere conveniente</w:t>
            </w:r>
            <w:r w:rsidR="001F25CC" w:rsidRPr="001F25CC">
              <w:rPr>
                <w:rFonts w:ascii="Trebuchet MS" w:hAnsi="Trebuchet MS" w:cstheme="majorHAnsi"/>
                <w:bCs/>
                <w:vertAlign w:val="superscript"/>
              </w:rPr>
              <w:t xml:space="preserve"> la Presidenta y/o sus integrantes.</w:t>
            </w:r>
          </w:p>
        </w:tc>
        <w:tc>
          <w:tcPr>
            <w:tcW w:w="1593" w:type="dxa"/>
          </w:tcPr>
          <w:p w14:paraId="75965FC4" w14:textId="697D5260" w:rsidR="007B3A3F" w:rsidRPr="007B3A3F" w:rsidRDefault="001F25CC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Actas de sesiones. </w:t>
            </w:r>
          </w:p>
        </w:tc>
        <w:tc>
          <w:tcPr>
            <w:tcW w:w="1593" w:type="dxa"/>
          </w:tcPr>
          <w:p w14:paraId="1CD35EA0" w14:textId="33CF1D78" w:rsidR="007B3A3F" w:rsidRPr="007B3A3F" w:rsidRDefault="007710D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Artículo </w:t>
            </w:r>
            <w:r w:rsidRPr="007710D3">
              <w:rPr>
                <w:rFonts w:ascii="Trebuchet MS" w:hAnsi="Trebuchet MS" w:cstheme="majorHAnsi"/>
                <w:bCs/>
                <w:vertAlign w:val="superscript"/>
              </w:rPr>
              <w:t>36 del Reglamento Interior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>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 Estado de Jalisco.</w:t>
            </w:r>
          </w:p>
        </w:tc>
      </w:tr>
      <w:tr w:rsidR="00110E71" w:rsidRPr="007B3A3F" w14:paraId="44298B61" w14:textId="77777777" w:rsidTr="007B3A3F">
        <w:tc>
          <w:tcPr>
            <w:tcW w:w="2461" w:type="dxa"/>
          </w:tcPr>
          <w:p w14:paraId="538BEBBA" w14:textId="24F1C880" w:rsidR="00110E71" w:rsidRDefault="00110E7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Informes de la</w:t>
            </w:r>
            <w:r w:rsidR="001450A0">
              <w:rPr>
                <w:rFonts w:ascii="Trebuchet MS" w:hAnsi="Trebuchet MS" w:cstheme="majorHAnsi"/>
                <w:bCs/>
                <w:vertAlign w:val="superscript"/>
              </w:rPr>
              <w:t xml:space="preserve"> Secretaría Técnica, la Dirección Jurídica y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la Dirección de </w:t>
            </w:r>
            <w:r w:rsidRPr="00110E71">
              <w:rPr>
                <w:rFonts w:ascii="Trebuchet MS" w:hAnsi="Trebuchet MS" w:cstheme="majorHAnsi"/>
                <w:bCs/>
                <w:vertAlign w:val="superscript"/>
              </w:rPr>
              <w:t>Igualdad de Género y No Discriminación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. </w:t>
            </w:r>
          </w:p>
        </w:tc>
        <w:tc>
          <w:tcPr>
            <w:tcW w:w="1593" w:type="dxa"/>
          </w:tcPr>
          <w:p w14:paraId="39DF12B7" w14:textId="388B2D7A" w:rsidR="00110E71" w:rsidRDefault="00110E7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Recepción de informes de actividades. </w:t>
            </w:r>
          </w:p>
        </w:tc>
        <w:tc>
          <w:tcPr>
            <w:tcW w:w="1593" w:type="dxa"/>
          </w:tcPr>
          <w:p w14:paraId="21FAE5CC" w14:textId="24FE8DAF" w:rsidR="00110E71" w:rsidRPr="00110E71" w:rsidRDefault="00110E71" w:rsidP="00110E71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De forma ordinaria los días </w:t>
            </w: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mayo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; </w:t>
            </w: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agosto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y </w:t>
            </w:r>
            <w:r w:rsidRPr="001F25C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noviembre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. </w:t>
            </w:r>
          </w:p>
          <w:p w14:paraId="314E851F" w14:textId="77777777" w:rsidR="00110E71" w:rsidRPr="00110E71" w:rsidRDefault="00110E71" w:rsidP="00110E71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DDDCFA5" w14:textId="053BD5C1" w:rsidR="00110E71" w:rsidRPr="001F25CC" w:rsidRDefault="00110E71" w:rsidP="00110E71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110E71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Adicionalmente, </w:t>
            </w:r>
            <w:r w:rsidR="001450A0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la Secretaría Técnica y las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Direcciones emitirán los informes dictámenes, datos, documentos y opiniones que les sean solicitados por la Comisión cuando lo considere conveniente </w:t>
            </w:r>
            <w:r w:rsidRPr="00110E71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la Presidenta y/o sus integrantes.</w:t>
            </w:r>
          </w:p>
        </w:tc>
        <w:tc>
          <w:tcPr>
            <w:tcW w:w="1593" w:type="dxa"/>
          </w:tcPr>
          <w:p w14:paraId="0173CCA1" w14:textId="73029FD6" w:rsidR="00110E71" w:rsidRDefault="00110E7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Informes de actividades y oficios con los soportes documentales correspondientes,  según corresponda. </w:t>
            </w:r>
          </w:p>
        </w:tc>
        <w:tc>
          <w:tcPr>
            <w:tcW w:w="1593" w:type="dxa"/>
          </w:tcPr>
          <w:p w14:paraId="527DEE3D" w14:textId="376A10E4" w:rsidR="00110E71" w:rsidRDefault="00110E7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Artículo 13, fracciones VI y XVII</w:t>
            </w:r>
            <w:r w:rsidRPr="007710D3">
              <w:rPr>
                <w:rFonts w:ascii="Trebuchet MS" w:hAnsi="Trebuchet MS" w:cstheme="majorHAnsi"/>
                <w:bCs/>
                <w:vertAlign w:val="superscript"/>
              </w:rPr>
              <w:t xml:space="preserve"> del Reglamento Interior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>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 Estado de Jalisco.</w:t>
            </w:r>
          </w:p>
        </w:tc>
      </w:tr>
      <w:tr w:rsidR="007B3A3F" w:rsidRPr="007B3A3F" w14:paraId="694D697E" w14:textId="73E1EC79" w:rsidTr="007B3A3F">
        <w:tc>
          <w:tcPr>
            <w:tcW w:w="2461" w:type="dxa"/>
          </w:tcPr>
          <w:p w14:paraId="7A0B35E7" w14:textId="40DEE4FA" w:rsidR="007B3A3F" w:rsidRPr="007B3A3F" w:rsidRDefault="00213D35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P</w:t>
            </w:r>
            <w:r w:rsidRPr="00213D35">
              <w:rPr>
                <w:rFonts w:ascii="Trebuchet MS" w:hAnsi="Trebuchet MS" w:cstheme="majorHAnsi"/>
                <w:bCs/>
                <w:vertAlign w:val="superscript"/>
              </w:rPr>
              <w:t>rocedimientos sancionadores ordinarios, se busca el cumplimiento y profesionalización en la atención y proyección de resoluciones que se sometan a consideración del Consejo General</w:t>
            </w:r>
            <w:r w:rsidR="00A252B2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1593" w:type="dxa"/>
          </w:tcPr>
          <w:p w14:paraId="1B1FE771" w14:textId="69FBC568" w:rsidR="007B3A3F" w:rsidRPr="007B3A3F" w:rsidRDefault="000C1A7F" w:rsidP="00813961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Analizar,</w:t>
            </w:r>
            <w:r w:rsidR="000A1EA3"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valorar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y acordar oportunamente </w:t>
            </w:r>
            <w:r w:rsidR="000A1EA3" w:rsidRPr="000A1EA3">
              <w:rPr>
                <w:rFonts w:ascii="Trebuchet MS" w:hAnsi="Trebuchet MS" w:cstheme="majorHAnsi"/>
                <w:bCs/>
                <w:vertAlign w:val="superscript"/>
              </w:rPr>
              <w:t>los proyectos de resolución relativos a los procedim</w:t>
            </w:r>
            <w:r w:rsidR="006A3D01">
              <w:rPr>
                <w:rFonts w:ascii="Trebuchet MS" w:hAnsi="Trebuchet MS" w:cstheme="majorHAnsi"/>
                <w:bCs/>
                <w:vertAlign w:val="superscript"/>
              </w:rPr>
              <w:t>ientos sancionadores ordinarios</w:t>
            </w:r>
            <w:r w:rsidR="000A1EA3"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que formule la Secretaría Ejecutiva</w:t>
            </w:r>
            <w:r w:rsidR="00813961">
              <w:rPr>
                <w:rFonts w:ascii="Trebuchet MS" w:hAnsi="Trebuchet MS" w:cstheme="majorHAnsi"/>
                <w:bCs/>
                <w:vertAlign w:val="superscript"/>
              </w:rPr>
              <w:t>,</w:t>
            </w:r>
            <w:r w:rsidR="000A1EA3"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="00813961">
              <w:rPr>
                <w:rFonts w:ascii="Trebuchet MS" w:hAnsi="Trebuchet MS" w:cstheme="majorHAnsi"/>
                <w:bCs/>
                <w:vertAlign w:val="superscript"/>
              </w:rPr>
              <w:t xml:space="preserve">para ponerlo a disposición del Consejo General. </w:t>
            </w:r>
          </w:p>
        </w:tc>
        <w:tc>
          <w:tcPr>
            <w:tcW w:w="1593" w:type="dxa"/>
          </w:tcPr>
          <w:p w14:paraId="31FE8BBB" w14:textId="41B795C5" w:rsidR="007B3A3F" w:rsidRPr="007B3A3F" w:rsidRDefault="008540C2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Marzo 2022 a febrero 2023. </w:t>
            </w:r>
          </w:p>
        </w:tc>
        <w:tc>
          <w:tcPr>
            <w:tcW w:w="1593" w:type="dxa"/>
          </w:tcPr>
          <w:p w14:paraId="0D4348D2" w14:textId="63CB8D26" w:rsidR="007B3A3F" w:rsidRPr="007B3A3F" w:rsidRDefault="008540C2" w:rsidP="008540C2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Actas de sesiones de la Comisión y proyectos de resolución.  </w:t>
            </w:r>
          </w:p>
        </w:tc>
        <w:tc>
          <w:tcPr>
            <w:tcW w:w="1593" w:type="dxa"/>
          </w:tcPr>
          <w:p w14:paraId="3D39E1AE" w14:textId="56D3623F" w:rsidR="007B3A3F" w:rsidRPr="007B3A3F" w:rsidRDefault="0081396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Pr="00813961">
              <w:rPr>
                <w:rFonts w:ascii="Trebuchet MS" w:hAnsi="Trebuchet MS" w:cstheme="majorHAnsi"/>
                <w:bCs/>
                <w:vertAlign w:val="superscript"/>
              </w:rPr>
              <w:t>rtículo 470 del Código Electoral del Estado de Jalisco,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y 45, párrafo 1, fracciones I y II del </w:t>
            </w:r>
            <w:r w:rsidRPr="007710D3">
              <w:rPr>
                <w:rFonts w:ascii="Trebuchet MS" w:hAnsi="Trebuchet MS" w:cstheme="majorHAnsi"/>
                <w:bCs/>
                <w:vertAlign w:val="superscript"/>
              </w:rPr>
              <w:t>Reglamento Interior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>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 Estado de Jalisco.</w:t>
            </w:r>
          </w:p>
        </w:tc>
      </w:tr>
      <w:tr w:rsidR="007B3A3F" w:rsidRPr="007B3A3F" w14:paraId="5A863C53" w14:textId="7093B6A3" w:rsidTr="007B3A3F">
        <w:tc>
          <w:tcPr>
            <w:tcW w:w="2461" w:type="dxa"/>
          </w:tcPr>
          <w:p w14:paraId="59D4F25F" w14:textId="7AD124A8" w:rsidR="007B3A3F" w:rsidRPr="007B3A3F" w:rsidRDefault="00AE187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</w:t>
            </w:r>
            <w:r w:rsidRPr="00AE1877">
              <w:rPr>
                <w:rFonts w:ascii="Trebuchet MS" w:hAnsi="Trebuchet MS" w:cstheme="majorHAnsi"/>
                <w:bCs/>
                <w:vertAlign w:val="superscript"/>
              </w:rPr>
              <w:t>edidas cautelares que se soliciten en los procedimientos sancionadores especiales en materia de VP</w:t>
            </w:r>
            <w:r w:rsidR="000C1A7F">
              <w:rPr>
                <w:rFonts w:ascii="Trebuchet MS" w:hAnsi="Trebuchet MS" w:cstheme="majorHAnsi"/>
                <w:bCs/>
                <w:vertAlign w:val="superscript"/>
              </w:rPr>
              <w:t>M</w:t>
            </w:r>
            <w:r w:rsidRPr="00AE1877">
              <w:rPr>
                <w:rFonts w:ascii="Trebuchet MS" w:hAnsi="Trebuchet MS" w:cstheme="majorHAnsi"/>
                <w:bCs/>
                <w:vertAlign w:val="superscript"/>
              </w:rPr>
              <w:t>RG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1593" w:type="dxa"/>
          </w:tcPr>
          <w:p w14:paraId="5962FA0E" w14:textId="124C2BE1" w:rsidR="007B3A3F" w:rsidRPr="007B3A3F" w:rsidRDefault="000A1EA3" w:rsidP="000A1EA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0A1EA3">
              <w:rPr>
                <w:rFonts w:ascii="Trebuchet MS" w:hAnsi="Trebuchet MS" w:cstheme="majorHAnsi"/>
                <w:bCs/>
                <w:vertAlign w:val="superscript"/>
              </w:rPr>
              <w:t>Valorar y dictar</w:t>
            </w:r>
            <w:r w:rsidR="004845B9">
              <w:rPr>
                <w:rFonts w:ascii="Trebuchet MS" w:hAnsi="Trebuchet MS" w:cstheme="majorHAnsi"/>
                <w:bCs/>
                <w:vertAlign w:val="superscript"/>
              </w:rPr>
              <w:t xml:space="preserve"> oportunamente</w:t>
            </w:r>
            <w:r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las medidas cautelares que sean solicitadas por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las personas denunciantes</w:t>
            </w:r>
            <w:r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o propuestas por la Secretaría Ejecutiva.</w:t>
            </w:r>
          </w:p>
        </w:tc>
        <w:tc>
          <w:tcPr>
            <w:tcW w:w="1593" w:type="dxa"/>
          </w:tcPr>
          <w:p w14:paraId="451FD93B" w14:textId="0919E6CA" w:rsidR="007B3A3F" w:rsidRPr="007B3A3F" w:rsidRDefault="008540C2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1593" w:type="dxa"/>
          </w:tcPr>
          <w:p w14:paraId="71DD86B8" w14:textId="54EE4D98" w:rsidR="007B3A3F" w:rsidRPr="007B3A3F" w:rsidRDefault="008540C2" w:rsidP="008540C2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Actas de sesiones de la Comisión y resoluciones de medidas cautelares.  </w:t>
            </w:r>
          </w:p>
        </w:tc>
        <w:tc>
          <w:tcPr>
            <w:tcW w:w="1593" w:type="dxa"/>
          </w:tcPr>
          <w:p w14:paraId="6DD270AA" w14:textId="05FA1F6D" w:rsidR="007B3A3F" w:rsidRPr="007B3A3F" w:rsidRDefault="0086335A" w:rsidP="0086335A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Pr="00813961">
              <w:rPr>
                <w:rFonts w:ascii="Trebuchet MS" w:hAnsi="Trebuchet MS" w:cstheme="majorHAnsi"/>
                <w:bCs/>
                <w:vertAlign w:val="superscript"/>
              </w:rPr>
              <w:t>rtículo 4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71, numeral 9,</w:t>
            </w:r>
            <w:r w:rsidRPr="00813961">
              <w:rPr>
                <w:rFonts w:ascii="Trebuchet MS" w:hAnsi="Trebuchet MS" w:cstheme="majorHAnsi"/>
                <w:bCs/>
                <w:vertAlign w:val="superscript"/>
              </w:rPr>
              <w:t xml:space="preserve"> del Código Electoral del Estado de Jalisco,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y 45, párrafo 1, fracción III del </w:t>
            </w:r>
            <w:r w:rsidRPr="007710D3">
              <w:rPr>
                <w:rFonts w:ascii="Trebuchet MS" w:hAnsi="Trebuchet MS" w:cstheme="majorHAnsi"/>
                <w:bCs/>
                <w:vertAlign w:val="superscript"/>
              </w:rPr>
              <w:t>Reglamento Interior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>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 Estado de Jalisco.</w:t>
            </w:r>
          </w:p>
        </w:tc>
      </w:tr>
      <w:tr w:rsidR="00AB2948" w:rsidRPr="007B3A3F" w14:paraId="6ED68525" w14:textId="77777777" w:rsidTr="007B3A3F">
        <w:tc>
          <w:tcPr>
            <w:tcW w:w="2461" w:type="dxa"/>
          </w:tcPr>
          <w:p w14:paraId="2D4B773A" w14:textId="3802E57E" w:rsidR="00AB2948" w:rsidRPr="007B3A3F" w:rsidRDefault="003F2C5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3F2C5F">
              <w:rPr>
                <w:rFonts w:ascii="Trebuchet MS" w:hAnsi="Trebuchet MS" w:cstheme="majorHAnsi"/>
                <w:bCs/>
                <w:vertAlign w:val="superscript"/>
              </w:rPr>
              <w:t>Atención con perspectiva de género en las medidas cautelares que se soliciten en los procedimientos sancionadores especiales en materia de VP</w:t>
            </w:r>
            <w:r w:rsidR="0067542E">
              <w:rPr>
                <w:rFonts w:ascii="Trebuchet MS" w:hAnsi="Trebuchet MS" w:cstheme="majorHAnsi"/>
                <w:bCs/>
                <w:vertAlign w:val="superscript"/>
              </w:rPr>
              <w:t>M</w:t>
            </w:r>
            <w:r w:rsidRPr="003F2C5F">
              <w:rPr>
                <w:rFonts w:ascii="Trebuchet MS" w:hAnsi="Trebuchet MS" w:cstheme="majorHAnsi"/>
                <w:bCs/>
                <w:vertAlign w:val="superscript"/>
              </w:rPr>
              <w:t>RG</w:t>
            </w:r>
            <w:r w:rsidR="00623F33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1593" w:type="dxa"/>
          </w:tcPr>
          <w:p w14:paraId="4329B50E" w14:textId="59381C19" w:rsidR="00AB2948" w:rsidRPr="007B3A3F" w:rsidRDefault="00985E85" w:rsidP="006A3D01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985E85">
              <w:rPr>
                <w:rFonts w:ascii="Trebuchet MS" w:hAnsi="Trebuchet MS" w:cstheme="majorHAnsi"/>
                <w:bCs/>
                <w:vertAlign w:val="superscript"/>
              </w:rPr>
              <w:t>Coordinar los trabajos de elaboración de un protocol</w:t>
            </w:r>
            <w:r w:rsidR="001F25BE">
              <w:rPr>
                <w:rFonts w:ascii="Trebuchet MS" w:hAnsi="Trebuchet MS" w:cstheme="majorHAnsi"/>
                <w:bCs/>
                <w:vertAlign w:val="superscript"/>
              </w:rPr>
              <w:t>o de actuación en la atención de</w:t>
            </w:r>
            <w:r w:rsidRPr="00985E85">
              <w:rPr>
                <w:rFonts w:ascii="Trebuchet MS" w:hAnsi="Trebuchet MS" w:cstheme="majorHAnsi"/>
                <w:bCs/>
                <w:vertAlign w:val="superscript"/>
              </w:rPr>
              <w:t xml:space="preserve"> quejas o denuncias de VP</w:t>
            </w:r>
            <w:r w:rsidR="0067542E">
              <w:rPr>
                <w:rFonts w:ascii="Trebuchet MS" w:hAnsi="Trebuchet MS" w:cstheme="majorHAnsi"/>
                <w:bCs/>
                <w:vertAlign w:val="superscript"/>
              </w:rPr>
              <w:t>M</w:t>
            </w:r>
            <w:r w:rsidRPr="00985E85">
              <w:rPr>
                <w:rFonts w:ascii="Trebuchet MS" w:hAnsi="Trebuchet MS" w:cstheme="majorHAnsi"/>
                <w:bCs/>
                <w:vertAlign w:val="superscript"/>
              </w:rPr>
              <w:t>RG</w:t>
            </w:r>
            <w:r w:rsidR="006A3D01">
              <w:rPr>
                <w:rFonts w:ascii="Trebuchet MS" w:hAnsi="Trebuchet MS" w:cstheme="majorHAnsi"/>
                <w:bCs/>
                <w:vertAlign w:val="superscript"/>
              </w:rPr>
              <w:t>, conjuntamente con la Comis</w:t>
            </w:r>
            <w:r w:rsidR="004845B9">
              <w:rPr>
                <w:rFonts w:ascii="Trebuchet MS" w:hAnsi="Trebuchet MS" w:cstheme="majorHAnsi"/>
                <w:bCs/>
                <w:vertAlign w:val="superscript"/>
              </w:rPr>
              <w:t>ión de Igualdad de Género y No D</w:t>
            </w:r>
            <w:r w:rsidR="006A3D01">
              <w:rPr>
                <w:rFonts w:ascii="Trebuchet MS" w:hAnsi="Trebuchet MS" w:cstheme="majorHAnsi"/>
                <w:bCs/>
                <w:vertAlign w:val="superscript"/>
              </w:rPr>
              <w:t xml:space="preserve">iscriminación. </w:t>
            </w:r>
          </w:p>
        </w:tc>
        <w:tc>
          <w:tcPr>
            <w:tcW w:w="1593" w:type="dxa"/>
          </w:tcPr>
          <w:p w14:paraId="3213A16B" w14:textId="49DAF3B7" w:rsidR="00AB2948" w:rsidRPr="007B3A3F" w:rsidRDefault="00623F3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Mayo 2022.</w:t>
            </w:r>
          </w:p>
        </w:tc>
        <w:tc>
          <w:tcPr>
            <w:tcW w:w="1593" w:type="dxa"/>
          </w:tcPr>
          <w:p w14:paraId="36245CB7" w14:textId="20DB9634" w:rsidR="00AB2948" w:rsidRPr="007B3A3F" w:rsidRDefault="00623F33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P</w:t>
            </w:r>
            <w:r w:rsidR="001F25BE">
              <w:rPr>
                <w:rFonts w:ascii="Trebuchet MS" w:hAnsi="Trebuchet MS" w:cstheme="majorHAnsi"/>
                <w:bCs/>
                <w:vertAlign w:val="superscript"/>
              </w:rPr>
              <w:t>rotocolo de actuación en la atención de</w:t>
            </w:r>
            <w:r w:rsidR="001F25BE" w:rsidRPr="00985E85">
              <w:rPr>
                <w:rFonts w:ascii="Trebuchet MS" w:hAnsi="Trebuchet MS" w:cstheme="majorHAnsi"/>
                <w:bCs/>
                <w:vertAlign w:val="superscript"/>
              </w:rPr>
              <w:t xml:space="preserve"> quejas o denuncias de VP</w:t>
            </w:r>
            <w:r w:rsidR="0067542E">
              <w:rPr>
                <w:rFonts w:ascii="Trebuchet MS" w:hAnsi="Trebuchet MS" w:cstheme="majorHAnsi"/>
                <w:bCs/>
                <w:vertAlign w:val="superscript"/>
              </w:rPr>
              <w:t>M</w:t>
            </w:r>
            <w:r w:rsidR="001F25BE" w:rsidRPr="00985E85">
              <w:rPr>
                <w:rFonts w:ascii="Trebuchet MS" w:hAnsi="Trebuchet MS" w:cstheme="majorHAnsi"/>
                <w:bCs/>
                <w:vertAlign w:val="superscript"/>
              </w:rPr>
              <w:t>RG</w:t>
            </w:r>
            <w:r w:rsidR="001F25BE">
              <w:rPr>
                <w:rFonts w:ascii="Trebuchet MS" w:hAnsi="Trebuchet MS" w:cstheme="majorHAnsi"/>
                <w:bCs/>
                <w:vertAlign w:val="superscript"/>
              </w:rPr>
              <w:t xml:space="preserve">. </w:t>
            </w:r>
          </w:p>
        </w:tc>
        <w:tc>
          <w:tcPr>
            <w:tcW w:w="1593" w:type="dxa"/>
          </w:tcPr>
          <w:p w14:paraId="78A0A1A9" w14:textId="37333130" w:rsidR="00863D60" w:rsidRPr="00863D60" w:rsidRDefault="00863D60" w:rsidP="00863D60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Artículo</w:t>
            </w:r>
            <w:r w:rsidRPr="00863D60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5</w:t>
            </w:r>
            <w:r w:rsidR="00623F33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,</w:t>
            </w:r>
            <w:r w:rsidRPr="00863D60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numeral 5; 115 numeral 1 fracción VII y numeral 2 del Código Electoral </w:t>
            </w:r>
          </w:p>
          <w:p w14:paraId="4566C788" w14:textId="77777777" w:rsidR="00863D60" w:rsidRPr="00863D60" w:rsidRDefault="00863D60" w:rsidP="00863D60">
            <w:pPr>
              <w:pStyle w:val="Prrafodelista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C059FF7" w14:textId="4011682B" w:rsidR="00AB2948" w:rsidRPr="007B3A3F" w:rsidRDefault="00863D60" w:rsidP="00863D60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863D60">
              <w:rPr>
                <w:rFonts w:ascii="Trebuchet MS" w:hAnsi="Trebuchet MS" w:cstheme="majorHAnsi"/>
                <w:bCs/>
                <w:vertAlign w:val="superscript"/>
              </w:rPr>
              <w:t>Artículo 48 d</w:t>
            </w:r>
            <w:r w:rsidR="00623F33">
              <w:rPr>
                <w:rFonts w:ascii="Trebuchet MS" w:hAnsi="Trebuchet MS" w:cstheme="majorHAnsi"/>
                <w:bCs/>
                <w:vertAlign w:val="superscript"/>
              </w:rPr>
              <w:t>el  Reglamento Interior del Instituto Electoral del Estado de Jalisco.</w:t>
            </w:r>
          </w:p>
        </w:tc>
      </w:tr>
      <w:tr w:rsidR="00D164C8" w:rsidRPr="007B3A3F" w14:paraId="0039E6A4" w14:textId="77777777" w:rsidTr="007B3A3F">
        <w:tc>
          <w:tcPr>
            <w:tcW w:w="2461" w:type="dxa"/>
          </w:tcPr>
          <w:p w14:paraId="2990D8C8" w14:textId="0ECC7EA8" w:rsidR="00BA567E" w:rsidRDefault="0053504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535047">
              <w:rPr>
                <w:rFonts w:ascii="Trebuchet MS" w:hAnsi="Trebuchet MS" w:cstheme="majorHAnsi"/>
                <w:bCs/>
                <w:vertAlign w:val="superscript"/>
              </w:rPr>
              <w:t>Generar sinergias con otras comisiones y áreas técnicas de Instituto Electoral, a efecto de coadyuvar, proponer y dar seguimiento a las acciones para la consecución de una cultura de</w:t>
            </w:r>
            <w:r w:rsidR="00BA567E">
              <w:rPr>
                <w:rFonts w:ascii="Trebuchet MS" w:hAnsi="Trebuchet MS" w:cstheme="majorHAnsi"/>
                <w:bCs/>
                <w:vertAlign w:val="superscript"/>
              </w:rPr>
              <w:t xml:space="preserve"> legalidad y observancia a la normativa electoral. </w:t>
            </w:r>
          </w:p>
          <w:p w14:paraId="09C286D8" w14:textId="5623B3FE" w:rsidR="00D164C8" w:rsidRPr="007B3A3F" w:rsidRDefault="00535047" w:rsidP="00BA567E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535047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</w:p>
        </w:tc>
        <w:tc>
          <w:tcPr>
            <w:tcW w:w="1593" w:type="dxa"/>
          </w:tcPr>
          <w:p w14:paraId="64E15BD2" w14:textId="5C165BB0" w:rsidR="00E7354F" w:rsidRDefault="00E7354F" w:rsidP="00BA567E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Proponer al Consejo General la aprobación de un Reglamento de Quejas y Denuncias en materia de VPMRG, conjuntamente con la Comis</w:t>
            </w:r>
            <w:r w:rsidR="004845B9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ión de Igualdad de Género y No D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iscriminación. </w:t>
            </w:r>
          </w:p>
          <w:p w14:paraId="036FE943" w14:textId="77777777" w:rsidR="00E7354F" w:rsidRDefault="00E7354F" w:rsidP="00BA567E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77546609" w14:textId="77777777" w:rsidR="00E7354F" w:rsidRDefault="00E7354F" w:rsidP="00BA567E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E6CBB3E" w14:textId="0947F679" w:rsidR="005E4347" w:rsidRPr="005E4347" w:rsidRDefault="00133C74" w:rsidP="00BA567E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P</w:t>
            </w:r>
            <w:r w:rsidR="00BA567E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romover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la</w:t>
            </w:r>
            <w:r w:rsidR="00BA567E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difusión de información sucinta en la página y redes sociales oficiales, sobre temas de infracciones electorales. </w:t>
            </w:r>
          </w:p>
          <w:p w14:paraId="06BBB203" w14:textId="361B0CB1" w:rsidR="00D164C8" w:rsidRPr="007B3A3F" w:rsidRDefault="005E4347" w:rsidP="005E4347">
            <w:pPr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5E4347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93" w:type="dxa"/>
          </w:tcPr>
          <w:p w14:paraId="7BDB5809" w14:textId="5B8712ED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Mayo 2022</w:t>
            </w:r>
          </w:p>
          <w:p w14:paraId="28CD3959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41DCA58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5E888F4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4DAE391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CBCCDCB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22FD6DD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052A857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E10D318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67F101F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39A24EA" w14:textId="77777777" w:rsidR="00E7354F" w:rsidRDefault="00E7354F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9A8D0A3" w14:textId="06C2F8B3" w:rsidR="00D164C8" w:rsidRPr="007B3A3F" w:rsidRDefault="00AB3B3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1593" w:type="dxa"/>
          </w:tcPr>
          <w:p w14:paraId="7C58ECDE" w14:textId="67EDF9D8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Reglamento. </w:t>
            </w:r>
          </w:p>
          <w:p w14:paraId="7A83ED84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23BDE4F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DCC5231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F96B4F4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3A8B42E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A1523C0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58094AD3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778864D4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6911399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6A9B4B7" w14:textId="77777777" w:rsidR="00E7354F" w:rsidRDefault="00E7354F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65E80729" w14:textId="38F2D857" w:rsidR="005E4347" w:rsidRPr="005E4347" w:rsidRDefault="00BA567E" w:rsidP="005E4347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Infografías publicadas en la</w:t>
            </w:r>
            <w:r w:rsidR="005E4347" w:rsidRPr="005E4347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web </w:t>
            </w:r>
            <w:r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con contenido </w:t>
            </w:r>
            <w:r w:rsidR="005E4347" w:rsidRPr="005E4347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accesible.</w:t>
            </w:r>
          </w:p>
          <w:p w14:paraId="11679247" w14:textId="77777777" w:rsidR="005E4347" w:rsidRPr="005E4347" w:rsidRDefault="005E4347" w:rsidP="005E4347">
            <w:pPr>
              <w:pStyle w:val="Prrafodelista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C58FC39" w14:textId="576241AB" w:rsidR="005E4347" w:rsidRPr="007B3A3F" w:rsidRDefault="005E4347" w:rsidP="005E4347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</w:tc>
        <w:tc>
          <w:tcPr>
            <w:tcW w:w="1593" w:type="dxa"/>
          </w:tcPr>
          <w:p w14:paraId="4CD0C59D" w14:textId="72885976" w:rsidR="00D164C8" w:rsidRPr="007B3A3F" w:rsidRDefault="00B23D1B" w:rsidP="00BA567E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="00BA567E">
              <w:rPr>
                <w:rFonts w:ascii="Trebuchet MS" w:hAnsi="Trebuchet MS" w:cstheme="majorHAnsi"/>
                <w:bCs/>
                <w:vertAlign w:val="superscript"/>
              </w:rPr>
              <w:t>rtículo 115, párrafo 1, fracciones IV y V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 xml:space="preserve"> de</w:t>
            </w:r>
            <w:r w:rsidR="00BA567E">
              <w:rPr>
                <w:rFonts w:ascii="Trebuchet MS" w:hAnsi="Trebuchet MS" w:cstheme="majorHAnsi"/>
                <w:bCs/>
                <w:vertAlign w:val="superscript"/>
              </w:rPr>
              <w:t>l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="00BA567E">
              <w:rPr>
                <w:rFonts w:ascii="Trebuchet MS" w:hAnsi="Trebuchet MS" w:cstheme="majorHAnsi"/>
                <w:bCs/>
                <w:vertAlign w:val="superscript"/>
              </w:rPr>
              <w:t>Código Electoral del Estado de Jalisco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</w:tr>
      <w:tr w:rsidR="00535047" w:rsidRPr="007B3A3F" w14:paraId="36E3636D" w14:textId="77777777" w:rsidTr="007B3A3F">
        <w:tc>
          <w:tcPr>
            <w:tcW w:w="2461" w:type="dxa"/>
          </w:tcPr>
          <w:p w14:paraId="3D9D8474" w14:textId="0F66572A" w:rsidR="00004D63" w:rsidRPr="007B3A3F" w:rsidRDefault="00004D63" w:rsidP="006549A6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C</w:t>
            </w:r>
            <w:r w:rsidRPr="00004D63">
              <w:rPr>
                <w:rFonts w:ascii="Trebuchet MS" w:hAnsi="Trebuchet MS" w:cstheme="majorHAnsi"/>
                <w:bCs/>
                <w:vertAlign w:val="superscript"/>
              </w:rPr>
              <w:t xml:space="preserve">apacitación de </w:t>
            </w:r>
            <w:r w:rsidR="006549A6">
              <w:rPr>
                <w:rFonts w:ascii="Trebuchet MS" w:hAnsi="Trebuchet MS" w:cstheme="majorHAnsi"/>
                <w:bCs/>
                <w:vertAlign w:val="superscript"/>
              </w:rPr>
              <w:t xml:space="preserve">las y </w:t>
            </w:r>
            <w:r w:rsidRPr="00004D63">
              <w:rPr>
                <w:rFonts w:ascii="Trebuchet MS" w:hAnsi="Trebuchet MS" w:cstheme="majorHAnsi"/>
                <w:bCs/>
                <w:vertAlign w:val="superscript"/>
              </w:rPr>
              <w:t xml:space="preserve">los servidores públicos que se encargan de la instrucción de los procedimientos sancionadores especiales que se suscitan </w:t>
            </w:r>
            <w:r w:rsidR="006549A6">
              <w:rPr>
                <w:rFonts w:ascii="Trebuchet MS" w:hAnsi="Trebuchet MS" w:cstheme="majorHAnsi"/>
                <w:bCs/>
                <w:vertAlign w:val="superscript"/>
              </w:rPr>
              <w:t>dentro y fuera de</w:t>
            </w:r>
            <w:r w:rsidRPr="00004D63">
              <w:rPr>
                <w:rFonts w:ascii="Trebuchet MS" w:hAnsi="Trebuchet MS" w:cstheme="majorHAnsi"/>
                <w:bCs/>
                <w:vertAlign w:val="superscript"/>
              </w:rPr>
              <w:t xml:space="preserve"> los procesos electorales, contribuyendo a la profesionalización de las atribuciones legales de este Instituto Electoral.</w:t>
            </w:r>
          </w:p>
        </w:tc>
        <w:tc>
          <w:tcPr>
            <w:tcW w:w="1593" w:type="dxa"/>
          </w:tcPr>
          <w:p w14:paraId="06A8409F" w14:textId="77777777" w:rsidR="00535047" w:rsidRDefault="000A1EA3" w:rsidP="006549A6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Gestionar la celebración de un convenio de colaboración institucional con el Tribunal Electoral del Estado de Jalisco, para la capacitación en temas sobre atención e integración de quejas o denuncias relacionadas con </w:t>
            </w:r>
            <w:r w:rsidR="006549A6">
              <w:rPr>
                <w:rFonts w:ascii="Trebuchet MS" w:hAnsi="Trebuchet MS" w:cstheme="majorHAnsi"/>
                <w:bCs/>
                <w:vertAlign w:val="superscript"/>
              </w:rPr>
              <w:t>VPMRG</w:t>
            </w:r>
            <w:r w:rsidRPr="000A1EA3">
              <w:rPr>
                <w:rFonts w:ascii="Trebuchet MS" w:hAnsi="Trebuchet MS" w:cstheme="majorHAnsi"/>
                <w:bCs/>
                <w:vertAlign w:val="superscript"/>
              </w:rPr>
              <w:t xml:space="preserve"> e infracciones que inciden en el proceso electoral.  </w:t>
            </w:r>
          </w:p>
          <w:p w14:paraId="7FC3D1CC" w14:textId="77777777" w:rsidR="006549A6" w:rsidRDefault="006549A6" w:rsidP="006549A6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EEF3260" w14:textId="22D7EA3C" w:rsidR="006549A6" w:rsidRPr="007B3A3F" w:rsidRDefault="006549A6" w:rsidP="00133C74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Gestionar la impartición de un curso taller con la Unidad Técnica de lo Contencioso Electoral del I</w:t>
            </w:r>
            <w:r w:rsidR="00133C74">
              <w:rPr>
                <w:rFonts w:ascii="Trebuchet MS" w:hAnsi="Trebuchet MS" w:cstheme="majorHAnsi"/>
                <w:bCs/>
                <w:vertAlign w:val="superscript"/>
              </w:rPr>
              <w:t xml:space="preserve">nstituto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N</w:t>
            </w:r>
            <w:r w:rsidR="00133C74">
              <w:rPr>
                <w:rFonts w:ascii="Trebuchet MS" w:hAnsi="Trebuchet MS" w:cstheme="majorHAnsi"/>
                <w:bCs/>
                <w:vertAlign w:val="superscript"/>
              </w:rPr>
              <w:t xml:space="preserve">acional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E</w:t>
            </w:r>
            <w:r w:rsidR="00133C74">
              <w:rPr>
                <w:rFonts w:ascii="Trebuchet MS" w:hAnsi="Trebuchet MS" w:cstheme="majorHAnsi"/>
                <w:bCs/>
                <w:vertAlign w:val="superscript"/>
              </w:rPr>
              <w:t xml:space="preserve">lectoral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sobre instrucción de procedimientos sancionadores especiales en materia de VPMRG.  </w:t>
            </w:r>
          </w:p>
        </w:tc>
        <w:tc>
          <w:tcPr>
            <w:tcW w:w="1593" w:type="dxa"/>
          </w:tcPr>
          <w:p w14:paraId="2454DDE8" w14:textId="77777777" w:rsidR="00A8619B" w:rsidRDefault="00D072C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Mayo 2022.</w:t>
            </w:r>
          </w:p>
          <w:p w14:paraId="17FC42BB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398ABFE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30B019E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849FC23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95AC093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99ABCE4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04D497A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0088E36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3446CA3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3085379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17733E2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50E374C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D6C426A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D3CB43F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CDBC9A1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6D2D8F7" w14:textId="77777777" w:rsidR="00A8619B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96C7DB8" w14:textId="51DA4D67" w:rsidR="00535047" w:rsidRPr="007B3A3F" w:rsidRDefault="00A8619B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Mayo 2022.</w:t>
            </w:r>
            <w:r w:rsidR="00D072C7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</w:p>
        </w:tc>
        <w:tc>
          <w:tcPr>
            <w:tcW w:w="1593" w:type="dxa"/>
          </w:tcPr>
          <w:p w14:paraId="72ADA4D7" w14:textId="77777777" w:rsidR="00535047" w:rsidRDefault="00D072C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Convenio de colaboración interinstitucional. </w:t>
            </w:r>
          </w:p>
          <w:p w14:paraId="0A99C7D1" w14:textId="77777777" w:rsidR="00D072C7" w:rsidRDefault="00D072C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508E5B0" w14:textId="77777777" w:rsidR="00D072C7" w:rsidRDefault="00D072C7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Material audiovisual, digital o impreso que se genere en las capacitaciones. </w:t>
            </w:r>
          </w:p>
          <w:p w14:paraId="11605221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73B7084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E583817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96CB6C8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AACC3D6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0E1D6E3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2FD9CE8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6792CF9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1BF2B3F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2B953A5" w14:textId="77777777" w:rsidR="006549A6" w:rsidRDefault="006549A6" w:rsidP="006549A6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Material audiovisual, digital o impreso que se genere en las capacitaciones. </w:t>
            </w:r>
          </w:p>
          <w:p w14:paraId="1DEAD1C0" w14:textId="77777777" w:rsidR="006549A6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21FC472" w14:textId="3811BA42" w:rsidR="006549A6" w:rsidRPr="007B3A3F" w:rsidRDefault="006549A6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</w:tc>
        <w:tc>
          <w:tcPr>
            <w:tcW w:w="1593" w:type="dxa"/>
          </w:tcPr>
          <w:p w14:paraId="47C049FE" w14:textId="254C6347" w:rsidR="00535047" w:rsidRPr="007B3A3F" w:rsidRDefault="00D072C7" w:rsidP="006F1ED4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Artículo</w:t>
            </w:r>
            <w:r w:rsidR="006F1ED4">
              <w:rPr>
                <w:rFonts w:ascii="Trebuchet MS" w:hAnsi="Trebuchet MS" w:cstheme="majorHAnsi"/>
                <w:bCs/>
                <w:vertAlign w:val="superscript"/>
              </w:rPr>
              <w:t>s</w:t>
            </w:r>
            <w:r w:rsidR="00863D60">
              <w:rPr>
                <w:rFonts w:ascii="Trebuchet MS" w:hAnsi="Trebuchet MS" w:cstheme="majorHAnsi"/>
                <w:bCs/>
                <w:vertAlign w:val="superscript"/>
              </w:rPr>
              <w:t xml:space="preserve"> 3,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="006F1ED4">
              <w:rPr>
                <w:rFonts w:ascii="Trebuchet MS" w:hAnsi="Trebuchet MS" w:cstheme="majorHAnsi"/>
                <w:bCs/>
                <w:vertAlign w:val="superscript"/>
              </w:rPr>
              <w:t xml:space="preserve">114, 115, 116, 471, 472, 473, 474, 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>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Código Electoral del Estado de Jalisco</w:t>
            </w:r>
            <w:r w:rsidRPr="00B23D1B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</w:tr>
      <w:tr w:rsidR="00A60811" w:rsidRPr="007B3A3F" w14:paraId="3ACFB531" w14:textId="77777777" w:rsidTr="007B3A3F">
        <w:tc>
          <w:tcPr>
            <w:tcW w:w="2461" w:type="dxa"/>
          </w:tcPr>
          <w:p w14:paraId="311D92F7" w14:textId="3B69A39D" w:rsidR="00A60811" w:rsidRPr="00535047" w:rsidRDefault="00A6081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Informe anual de actividades. </w:t>
            </w:r>
          </w:p>
        </w:tc>
        <w:tc>
          <w:tcPr>
            <w:tcW w:w="1593" w:type="dxa"/>
          </w:tcPr>
          <w:p w14:paraId="569BE565" w14:textId="43832CA6" w:rsidR="00A60811" w:rsidRPr="004301B2" w:rsidRDefault="00A60811" w:rsidP="00B23D1B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Presentar el informe anual de actividades de la Comisión, en el que se precisen las tareas desarrolladas y proponerlo al Consejo General para su aprobación. </w:t>
            </w:r>
          </w:p>
        </w:tc>
        <w:tc>
          <w:tcPr>
            <w:tcW w:w="1593" w:type="dxa"/>
          </w:tcPr>
          <w:p w14:paraId="35BC4176" w14:textId="1A54C19C" w:rsidR="00A60811" w:rsidRDefault="00A6081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Febrero 2023.</w:t>
            </w:r>
          </w:p>
        </w:tc>
        <w:tc>
          <w:tcPr>
            <w:tcW w:w="1593" w:type="dxa"/>
          </w:tcPr>
          <w:p w14:paraId="122829AE" w14:textId="40944754" w:rsidR="00A60811" w:rsidRPr="004301B2" w:rsidRDefault="00A6081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 xml:space="preserve">Informe anual de actividades. </w:t>
            </w:r>
          </w:p>
        </w:tc>
        <w:tc>
          <w:tcPr>
            <w:tcW w:w="1593" w:type="dxa"/>
          </w:tcPr>
          <w:p w14:paraId="29D3BB93" w14:textId="16ED0940" w:rsidR="00A60811" w:rsidRDefault="00A60811" w:rsidP="007710D3">
            <w:pPr>
              <w:pStyle w:val="Prrafodelista"/>
              <w:spacing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>
              <w:rPr>
                <w:rFonts w:ascii="Trebuchet MS" w:hAnsi="Trebuchet MS" w:cstheme="majorHAnsi"/>
                <w:bCs/>
                <w:vertAlign w:val="superscript"/>
              </w:rPr>
              <w:t>Artículo 32, numeral 1, fracción I</w:t>
            </w:r>
            <w:r w:rsidR="005228CA">
              <w:rPr>
                <w:rFonts w:ascii="Trebuchet MS" w:hAnsi="Trebuchet MS" w:cstheme="majorHAnsi"/>
                <w:bCs/>
                <w:vertAlign w:val="superscript"/>
              </w:rPr>
              <w:t>I</w:t>
            </w:r>
            <w:r w:rsidRPr="003E7C2D">
              <w:rPr>
                <w:rFonts w:ascii="Trebuchet MS" w:hAnsi="Trebuchet MS" w:cstheme="majorHAnsi"/>
                <w:bCs/>
                <w:vertAlign w:val="superscript"/>
              </w:rPr>
              <w:t xml:space="preserve"> del Reglamento Interior del Instituto Electoral y de Participación Ciudadana de</w:t>
            </w:r>
            <w:r>
              <w:rPr>
                <w:rFonts w:ascii="Trebuchet MS" w:hAnsi="Trebuchet MS" w:cstheme="majorHAnsi"/>
                <w:bCs/>
                <w:vertAlign w:val="superscript"/>
              </w:rPr>
              <w:t>l Estado de Jalisco.</w:t>
            </w:r>
          </w:p>
        </w:tc>
      </w:tr>
    </w:tbl>
    <w:p w14:paraId="7F055F9F" w14:textId="77777777" w:rsidR="007B3A3F" w:rsidRDefault="007B3A3F" w:rsidP="007B3A3F">
      <w:pPr>
        <w:pStyle w:val="Prrafodelista"/>
        <w:spacing w:line="276" w:lineRule="auto"/>
        <w:ind w:left="1080"/>
        <w:jc w:val="both"/>
        <w:rPr>
          <w:rFonts w:ascii="Trebuchet MS" w:hAnsi="Trebuchet MS" w:cstheme="majorHAnsi"/>
          <w:b/>
          <w:bCs/>
        </w:rPr>
      </w:pPr>
    </w:p>
    <w:p w14:paraId="65B098C4" w14:textId="38E3D183" w:rsidR="005A2710" w:rsidRPr="00F43F33" w:rsidRDefault="00F43F33" w:rsidP="00F43F33">
      <w:pPr>
        <w:pStyle w:val="Prrafodelista"/>
        <w:spacing w:line="276" w:lineRule="auto"/>
        <w:ind w:left="0"/>
        <w:jc w:val="both"/>
        <w:rPr>
          <w:rFonts w:ascii="Trebuchet MS" w:hAnsi="Trebuchet MS" w:cstheme="majorHAnsi"/>
          <w:bCs/>
          <w:sz w:val="18"/>
          <w:szCs w:val="18"/>
        </w:rPr>
      </w:pPr>
      <w:r w:rsidRPr="00F43F33">
        <w:rPr>
          <w:rFonts w:ascii="Trebuchet MS" w:hAnsi="Trebuchet MS" w:cstheme="majorHAnsi"/>
          <w:bCs/>
          <w:sz w:val="18"/>
          <w:szCs w:val="18"/>
        </w:rPr>
        <w:t>El conten</w:t>
      </w:r>
      <w:r w:rsidR="000A6C12">
        <w:rPr>
          <w:rFonts w:ascii="Trebuchet MS" w:hAnsi="Trebuchet MS" w:cstheme="majorHAnsi"/>
          <w:bCs/>
          <w:sz w:val="18"/>
          <w:szCs w:val="18"/>
        </w:rPr>
        <w:t>ido de la agenda de trabajo 2022</w:t>
      </w:r>
      <w:r w:rsidRPr="00F43F33">
        <w:rPr>
          <w:rFonts w:ascii="Trebuchet MS" w:hAnsi="Trebuchet MS" w:cstheme="majorHAnsi"/>
          <w:bCs/>
          <w:sz w:val="18"/>
          <w:szCs w:val="18"/>
        </w:rPr>
        <w:t>-202</w:t>
      </w:r>
      <w:r w:rsidR="000A6C12">
        <w:rPr>
          <w:rFonts w:ascii="Trebuchet MS" w:hAnsi="Trebuchet MS" w:cstheme="majorHAnsi"/>
          <w:bCs/>
          <w:sz w:val="18"/>
          <w:szCs w:val="18"/>
        </w:rPr>
        <w:t>3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, de la Comisión de </w:t>
      </w:r>
      <w:r w:rsidR="002B4544">
        <w:rPr>
          <w:rFonts w:ascii="Trebuchet MS" w:hAnsi="Trebuchet MS" w:cstheme="majorHAnsi"/>
          <w:bCs/>
          <w:sz w:val="18"/>
          <w:szCs w:val="18"/>
        </w:rPr>
        <w:t>Quejas y Denuncias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 del Instituto Electoral y de Participación Ciudadana del Estado de Jalisco, fue aprobado en </w:t>
      </w:r>
      <w:r w:rsidR="000A6C12">
        <w:rPr>
          <w:rFonts w:ascii="Trebuchet MS" w:hAnsi="Trebuchet MS" w:cstheme="majorHAnsi"/>
          <w:bCs/>
          <w:sz w:val="18"/>
          <w:szCs w:val="18"/>
        </w:rPr>
        <w:t xml:space="preserve">la segunda 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sesión </w:t>
      </w:r>
      <w:r w:rsidR="000A6C12">
        <w:rPr>
          <w:rFonts w:ascii="Trebuchet MS" w:hAnsi="Trebuchet MS" w:cstheme="majorHAnsi"/>
          <w:bCs/>
          <w:sz w:val="18"/>
          <w:szCs w:val="18"/>
        </w:rPr>
        <w:t>extra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ordinaria celebrada el </w:t>
      </w:r>
      <w:r w:rsidR="000A6C12">
        <w:rPr>
          <w:rFonts w:ascii="Trebuchet MS" w:hAnsi="Trebuchet MS" w:cstheme="majorHAnsi"/>
          <w:bCs/>
          <w:sz w:val="18"/>
          <w:szCs w:val="18"/>
        </w:rPr>
        <w:t xml:space="preserve">03 </w:t>
      </w:r>
      <w:r w:rsidRPr="000A6C12">
        <w:rPr>
          <w:rFonts w:ascii="Trebuchet MS" w:hAnsi="Trebuchet MS" w:cstheme="majorHAnsi"/>
          <w:bCs/>
          <w:sz w:val="18"/>
          <w:szCs w:val="18"/>
        </w:rPr>
        <w:t>de marzo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 de 202</w:t>
      </w:r>
      <w:r w:rsidR="000A6C12">
        <w:rPr>
          <w:rFonts w:ascii="Trebuchet MS" w:hAnsi="Trebuchet MS" w:cstheme="majorHAnsi"/>
          <w:bCs/>
          <w:sz w:val="18"/>
          <w:szCs w:val="18"/>
        </w:rPr>
        <w:t>2</w:t>
      </w:r>
      <w:r w:rsidRPr="00F43F33">
        <w:rPr>
          <w:rFonts w:ascii="Trebuchet MS" w:hAnsi="Trebuchet MS" w:cstheme="majorHAnsi"/>
          <w:bCs/>
          <w:sz w:val="18"/>
          <w:szCs w:val="18"/>
        </w:rPr>
        <w:t>, por unanimidad de votos de las consejeras electorales Silvia Guadalupe Bustos Vásquez,</w:t>
      </w:r>
      <w:r w:rsidR="002B4544">
        <w:rPr>
          <w:rFonts w:ascii="Trebuchet MS" w:hAnsi="Trebuchet MS" w:cstheme="majorHAnsi"/>
          <w:bCs/>
          <w:sz w:val="18"/>
          <w:szCs w:val="18"/>
        </w:rPr>
        <w:t xml:space="preserve"> </w:t>
      </w:r>
      <w:r w:rsidR="002B4544" w:rsidRPr="00F43F33">
        <w:rPr>
          <w:rFonts w:ascii="Trebuchet MS" w:hAnsi="Trebuchet MS" w:cstheme="majorHAnsi"/>
          <w:bCs/>
          <w:sz w:val="18"/>
          <w:szCs w:val="18"/>
        </w:rPr>
        <w:t>Claudia Alejandra Vargas Bautista</w:t>
      </w:r>
      <w:r w:rsidRPr="00F43F33">
        <w:rPr>
          <w:rFonts w:ascii="Trebuchet MS" w:hAnsi="Trebuchet MS" w:cstheme="majorHAnsi"/>
          <w:bCs/>
          <w:sz w:val="18"/>
          <w:szCs w:val="18"/>
        </w:rPr>
        <w:t xml:space="preserve"> y Zoad Jeanine García González, esta última en carácter de presidenta de la Comisión.-</w:t>
      </w:r>
      <w:r>
        <w:rPr>
          <w:rFonts w:ascii="Trebuchet MS" w:hAnsi="Trebuchet MS" w:cstheme="majorHAnsi"/>
          <w:bCs/>
          <w:sz w:val="18"/>
          <w:szCs w:val="18"/>
        </w:rPr>
        <w:t xml:space="preserve"> </w:t>
      </w:r>
      <w:r w:rsidRPr="00F43F33">
        <w:rPr>
          <w:rFonts w:ascii="Trebuchet MS" w:hAnsi="Trebuchet MS" w:cstheme="majorHAnsi"/>
          <w:bCs/>
          <w:sz w:val="18"/>
          <w:szCs w:val="18"/>
        </w:rPr>
        <w:t>-</w:t>
      </w:r>
      <w:r>
        <w:rPr>
          <w:rFonts w:ascii="Trebuchet MS" w:hAnsi="Trebuchet MS" w:cstheme="majorHAnsi"/>
          <w:bCs/>
          <w:sz w:val="18"/>
          <w:szCs w:val="18"/>
        </w:rPr>
        <w:t xml:space="preserve"> </w:t>
      </w:r>
      <w:r w:rsidRPr="00F43F33">
        <w:rPr>
          <w:rFonts w:ascii="Trebuchet MS" w:hAnsi="Trebuchet MS" w:cstheme="majorHAnsi"/>
          <w:bCs/>
          <w:sz w:val="18"/>
          <w:szCs w:val="18"/>
        </w:rPr>
        <w:t>-</w:t>
      </w:r>
      <w:r>
        <w:rPr>
          <w:rFonts w:ascii="Trebuchet MS" w:hAnsi="Trebuchet MS" w:cstheme="majorHAnsi"/>
          <w:bCs/>
          <w:sz w:val="18"/>
          <w:szCs w:val="18"/>
        </w:rPr>
        <w:t xml:space="preserve"> - - - - - - - - - - - - - - - - - - - - - - - - - - - - - - - - - - - - - - - - - - - - - - - - - - - </w:t>
      </w:r>
    </w:p>
    <w:p w14:paraId="5E333F3C" w14:textId="457DDDE0" w:rsidR="0005285F" w:rsidRDefault="0005285F" w:rsidP="00AD4C14">
      <w:pPr>
        <w:spacing w:line="276" w:lineRule="auto"/>
        <w:jc w:val="both"/>
        <w:rPr>
          <w:rFonts w:ascii="Trebuchet MS" w:hAnsi="Trebuchet MS" w:cstheme="majorHAnsi"/>
        </w:rPr>
      </w:pPr>
    </w:p>
    <w:p w14:paraId="6F0DCCEA" w14:textId="77777777" w:rsidR="0005285F" w:rsidRPr="0037132C" w:rsidRDefault="0005285F" w:rsidP="00962EF8">
      <w:pPr>
        <w:spacing w:line="276" w:lineRule="auto"/>
        <w:jc w:val="both"/>
      </w:pPr>
    </w:p>
    <w:p w14:paraId="5FC790E8" w14:textId="77777777" w:rsidR="00962EF8" w:rsidRPr="0037132C" w:rsidRDefault="00962EF8">
      <w:pPr>
        <w:spacing w:line="276" w:lineRule="auto"/>
        <w:jc w:val="both"/>
      </w:pPr>
    </w:p>
    <w:sectPr w:rsidR="00962EF8" w:rsidRPr="0037132C" w:rsidSect="0037132C">
      <w:footerReference w:type="default" r:id="rId8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6B2FC" w14:textId="77777777" w:rsidR="00B42EF0" w:rsidRDefault="00B42EF0" w:rsidP="0037132C">
      <w:r>
        <w:separator/>
      </w:r>
    </w:p>
  </w:endnote>
  <w:endnote w:type="continuationSeparator" w:id="0">
    <w:p w14:paraId="586BE9D7" w14:textId="77777777" w:rsidR="00B42EF0" w:rsidRDefault="00B42EF0" w:rsidP="003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6A50" w14:textId="77777777" w:rsidR="0037132C" w:rsidRDefault="0037132C" w:rsidP="0037132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58136856" w14:textId="77777777" w:rsidR="0037132C" w:rsidRDefault="000A6C12" w:rsidP="0037132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>
      <w:rPr>
        <w:rFonts w:ascii="Trebuchet MS" w:hAnsi="Trebuchet MS" w:cs="Tahoma"/>
        <w:bCs/>
        <w:color w:val="A6A6A6"/>
        <w:sz w:val="16"/>
        <w:szCs w:val="16"/>
      </w:rPr>
      <w:pict w14:anchorId="484092AA">
        <v:rect id="_x0000_i1025" style="width:433.05pt;height:.75pt" o:hrpct="980" o:hralign="center" o:hrstd="t" o:hr="t" fillcolor="#a0a0a0" stroked="f"/>
      </w:pict>
    </w:r>
  </w:p>
  <w:p w14:paraId="7B968CF2" w14:textId="77777777" w:rsidR="0037132C" w:rsidRDefault="0037132C" w:rsidP="0037132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59AA1AB8" w14:textId="77777777" w:rsidR="0037132C" w:rsidRDefault="0037132C" w:rsidP="0037132C">
    <w:pPr>
      <w:tabs>
        <w:tab w:val="center" w:pos="4252"/>
        <w:tab w:val="right" w:pos="8504"/>
      </w:tabs>
      <w:ind w:right="360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14:paraId="6DCFF9F4" w14:textId="77777777" w:rsidR="0037132C" w:rsidRDefault="0037132C" w:rsidP="0037132C">
    <w:pPr>
      <w:tabs>
        <w:tab w:val="center" w:pos="4252"/>
        <w:tab w:val="right" w:pos="8504"/>
      </w:tabs>
      <w:ind w:right="360"/>
      <w:jc w:val="right"/>
    </w:pPr>
    <w:r>
      <w:rPr>
        <w:rFonts w:ascii="Trebuchet MS" w:eastAsia="Calibri" w:hAnsi="Trebuchet MS" w:cs="Arial"/>
        <w:sz w:val="20"/>
        <w:szCs w:val="20"/>
        <w:lang w:eastAsia="en-US"/>
      </w:rPr>
      <w:t xml:space="preserve">Página </w:t>
    </w:r>
    <w:r>
      <w:rPr>
        <w:rFonts w:ascii="Trebuchet MS" w:eastAsia="Calibri" w:hAnsi="Trebuchet MS" w:cs="Arial"/>
        <w:sz w:val="20"/>
        <w:szCs w:val="20"/>
        <w:lang w:eastAsia="en-US"/>
      </w:rPr>
      <w:fldChar w:fldCharType="begin"/>
    </w:r>
    <w:r>
      <w:rPr>
        <w:rFonts w:ascii="Trebuchet MS" w:eastAsia="Calibri" w:hAnsi="Trebuchet MS" w:cs="Arial"/>
        <w:sz w:val="20"/>
        <w:szCs w:val="20"/>
        <w:lang w:eastAsia="en-US"/>
      </w:rPr>
      <w:instrText xml:space="preserve"> PAGE </w:instrText>
    </w:r>
    <w:r>
      <w:rPr>
        <w:rFonts w:ascii="Trebuchet MS" w:eastAsia="Calibri" w:hAnsi="Trebuchet MS" w:cs="Arial"/>
        <w:sz w:val="20"/>
        <w:szCs w:val="20"/>
        <w:lang w:eastAsia="en-US"/>
      </w:rPr>
      <w:fldChar w:fldCharType="separate"/>
    </w:r>
    <w:r w:rsidR="000A6C12">
      <w:rPr>
        <w:rFonts w:ascii="Trebuchet MS" w:eastAsia="Calibri" w:hAnsi="Trebuchet MS" w:cs="Arial"/>
        <w:noProof/>
        <w:sz w:val="20"/>
        <w:szCs w:val="20"/>
        <w:lang w:eastAsia="en-US"/>
      </w:rPr>
      <w:t>2</w:t>
    </w:r>
    <w:r>
      <w:rPr>
        <w:rFonts w:ascii="Trebuchet MS" w:eastAsia="Calibri" w:hAnsi="Trebuchet MS" w:cs="Arial"/>
        <w:sz w:val="20"/>
        <w:szCs w:val="20"/>
        <w:lang w:eastAsia="en-US"/>
      </w:rPr>
      <w:fldChar w:fldCharType="end"/>
    </w:r>
    <w:r>
      <w:rPr>
        <w:rFonts w:ascii="Trebuchet MS" w:eastAsia="Calibri" w:hAnsi="Trebuchet MS" w:cs="Arial"/>
        <w:sz w:val="20"/>
        <w:szCs w:val="20"/>
        <w:lang w:eastAsia="en-US"/>
      </w:rPr>
      <w:t xml:space="preserve"> de </w:t>
    </w:r>
    <w:r>
      <w:rPr>
        <w:rFonts w:ascii="Trebuchet MS" w:eastAsia="Calibri" w:hAnsi="Trebuchet MS" w:cs="Arial"/>
        <w:sz w:val="20"/>
        <w:szCs w:val="20"/>
        <w:lang w:eastAsia="en-US"/>
      </w:rPr>
      <w:fldChar w:fldCharType="begin"/>
    </w:r>
    <w:r>
      <w:rPr>
        <w:rFonts w:ascii="Trebuchet MS" w:eastAsia="Calibri" w:hAnsi="Trebuchet MS" w:cs="Arial"/>
        <w:sz w:val="20"/>
        <w:szCs w:val="20"/>
        <w:lang w:eastAsia="en-US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  <w:lang w:eastAsia="en-US"/>
      </w:rPr>
      <w:fldChar w:fldCharType="separate"/>
    </w:r>
    <w:r w:rsidR="000A6C12">
      <w:rPr>
        <w:rFonts w:ascii="Trebuchet MS" w:eastAsia="Calibri" w:hAnsi="Trebuchet MS" w:cs="Arial"/>
        <w:noProof/>
        <w:sz w:val="20"/>
        <w:szCs w:val="20"/>
        <w:lang w:eastAsia="en-US"/>
      </w:rPr>
      <w:t>6</w:t>
    </w:r>
    <w:r>
      <w:rPr>
        <w:rFonts w:ascii="Trebuchet MS" w:eastAsia="Calibri" w:hAnsi="Trebuchet MS" w:cs="Arial"/>
        <w:sz w:val="20"/>
        <w:szCs w:val="20"/>
        <w:lang w:eastAsia="en-US"/>
      </w:rPr>
      <w:fldChar w:fldCharType="end"/>
    </w:r>
  </w:p>
  <w:p w14:paraId="5EB5022B" w14:textId="77777777" w:rsidR="0037132C" w:rsidRDefault="00371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ECEF" w14:textId="77777777" w:rsidR="00B42EF0" w:rsidRDefault="00B42EF0" w:rsidP="0037132C">
      <w:r>
        <w:separator/>
      </w:r>
    </w:p>
  </w:footnote>
  <w:footnote w:type="continuationSeparator" w:id="0">
    <w:p w14:paraId="52327FC4" w14:textId="77777777" w:rsidR="00B42EF0" w:rsidRDefault="00B42EF0" w:rsidP="0037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34B7"/>
    <w:multiLevelType w:val="hybridMultilevel"/>
    <w:tmpl w:val="0CE63E1A"/>
    <w:lvl w:ilvl="0" w:tplc="FDDEDAF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B6669A"/>
    <w:multiLevelType w:val="hybridMultilevel"/>
    <w:tmpl w:val="C61E15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A062F3"/>
    <w:multiLevelType w:val="hybridMultilevel"/>
    <w:tmpl w:val="F57E6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766AD7"/>
    <w:multiLevelType w:val="hybridMultilevel"/>
    <w:tmpl w:val="0CE63E1A"/>
    <w:lvl w:ilvl="0" w:tplc="FDDEDAF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791558"/>
    <w:multiLevelType w:val="hybridMultilevel"/>
    <w:tmpl w:val="15B8995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5"/>
    <w:rsid w:val="00004D63"/>
    <w:rsid w:val="00031819"/>
    <w:rsid w:val="0005285F"/>
    <w:rsid w:val="00055314"/>
    <w:rsid w:val="00056750"/>
    <w:rsid w:val="000574B5"/>
    <w:rsid w:val="00057899"/>
    <w:rsid w:val="00067071"/>
    <w:rsid w:val="00086EF9"/>
    <w:rsid w:val="000908D6"/>
    <w:rsid w:val="000A1EA3"/>
    <w:rsid w:val="000A6C12"/>
    <w:rsid w:val="000B24AE"/>
    <w:rsid w:val="000B33E9"/>
    <w:rsid w:val="000C1A7F"/>
    <w:rsid w:val="000C6042"/>
    <w:rsid w:val="001007ED"/>
    <w:rsid w:val="00110E71"/>
    <w:rsid w:val="00115D7E"/>
    <w:rsid w:val="00133C74"/>
    <w:rsid w:val="001450A0"/>
    <w:rsid w:val="001562B1"/>
    <w:rsid w:val="00173DC2"/>
    <w:rsid w:val="0017560F"/>
    <w:rsid w:val="001D56E9"/>
    <w:rsid w:val="001E308C"/>
    <w:rsid w:val="001F207F"/>
    <w:rsid w:val="001F25BE"/>
    <w:rsid w:val="001F25CC"/>
    <w:rsid w:val="002110F4"/>
    <w:rsid w:val="00213D35"/>
    <w:rsid w:val="002B04A7"/>
    <w:rsid w:val="002B4544"/>
    <w:rsid w:val="002C7329"/>
    <w:rsid w:val="00313D7F"/>
    <w:rsid w:val="003344FB"/>
    <w:rsid w:val="00337746"/>
    <w:rsid w:val="00344562"/>
    <w:rsid w:val="00356521"/>
    <w:rsid w:val="003572A0"/>
    <w:rsid w:val="0037132C"/>
    <w:rsid w:val="00376B94"/>
    <w:rsid w:val="00391F1A"/>
    <w:rsid w:val="00397AA0"/>
    <w:rsid w:val="003A4F42"/>
    <w:rsid w:val="003B286D"/>
    <w:rsid w:val="003D19C7"/>
    <w:rsid w:val="003E68A9"/>
    <w:rsid w:val="003E7C2D"/>
    <w:rsid w:val="003F2C5F"/>
    <w:rsid w:val="00416241"/>
    <w:rsid w:val="00417763"/>
    <w:rsid w:val="00424ED5"/>
    <w:rsid w:val="004264F4"/>
    <w:rsid w:val="004301B2"/>
    <w:rsid w:val="00451763"/>
    <w:rsid w:val="004547E8"/>
    <w:rsid w:val="00455566"/>
    <w:rsid w:val="004845B9"/>
    <w:rsid w:val="0048607F"/>
    <w:rsid w:val="004A37A7"/>
    <w:rsid w:val="004C771C"/>
    <w:rsid w:val="004D5573"/>
    <w:rsid w:val="004E3414"/>
    <w:rsid w:val="00512AC2"/>
    <w:rsid w:val="005228CA"/>
    <w:rsid w:val="00535047"/>
    <w:rsid w:val="005714F0"/>
    <w:rsid w:val="005901AB"/>
    <w:rsid w:val="005A13E2"/>
    <w:rsid w:val="005A2710"/>
    <w:rsid w:val="005B3222"/>
    <w:rsid w:val="005B7875"/>
    <w:rsid w:val="005D315E"/>
    <w:rsid w:val="005D729E"/>
    <w:rsid w:val="005E4347"/>
    <w:rsid w:val="005F04AC"/>
    <w:rsid w:val="0062102E"/>
    <w:rsid w:val="00622974"/>
    <w:rsid w:val="00623F33"/>
    <w:rsid w:val="006549A6"/>
    <w:rsid w:val="006620B5"/>
    <w:rsid w:val="0067542E"/>
    <w:rsid w:val="006A11E2"/>
    <w:rsid w:val="006A3D01"/>
    <w:rsid w:val="006C4178"/>
    <w:rsid w:val="006C7D96"/>
    <w:rsid w:val="006F1ED4"/>
    <w:rsid w:val="007044C5"/>
    <w:rsid w:val="007212EA"/>
    <w:rsid w:val="007511CF"/>
    <w:rsid w:val="00751361"/>
    <w:rsid w:val="007710D3"/>
    <w:rsid w:val="00771F2E"/>
    <w:rsid w:val="007A7017"/>
    <w:rsid w:val="007B06F8"/>
    <w:rsid w:val="007B3A3F"/>
    <w:rsid w:val="007C16FD"/>
    <w:rsid w:val="007C492F"/>
    <w:rsid w:val="007D49C6"/>
    <w:rsid w:val="007D60D1"/>
    <w:rsid w:val="00801543"/>
    <w:rsid w:val="00810DE6"/>
    <w:rsid w:val="00813961"/>
    <w:rsid w:val="0083308D"/>
    <w:rsid w:val="0083320B"/>
    <w:rsid w:val="0083339F"/>
    <w:rsid w:val="00833FE4"/>
    <w:rsid w:val="008507B8"/>
    <w:rsid w:val="008540C2"/>
    <w:rsid w:val="0086335A"/>
    <w:rsid w:val="00863D60"/>
    <w:rsid w:val="00865663"/>
    <w:rsid w:val="00870DDB"/>
    <w:rsid w:val="00884AAD"/>
    <w:rsid w:val="00890A20"/>
    <w:rsid w:val="008A5CF7"/>
    <w:rsid w:val="008B3424"/>
    <w:rsid w:val="008B3841"/>
    <w:rsid w:val="008B439C"/>
    <w:rsid w:val="008C0326"/>
    <w:rsid w:val="008D38C4"/>
    <w:rsid w:val="008E0382"/>
    <w:rsid w:val="008E586E"/>
    <w:rsid w:val="00900EE5"/>
    <w:rsid w:val="00911A75"/>
    <w:rsid w:val="0092324A"/>
    <w:rsid w:val="00955A93"/>
    <w:rsid w:val="00962EF8"/>
    <w:rsid w:val="00985E85"/>
    <w:rsid w:val="009C5629"/>
    <w:rsid w:val="009D79F5"/>
    <w:rsid w:val="009E007D"/>
    <w:rsid w:val="00A03119"/>
    <w:rsid w:val="00A055F3"/>
    <w:rsid w:val="00A138CE"/>
    <w:rsid w:val="00A2309E"/>
    <w:rsid w:val="00A252B2"/>
    <w:rsid w:val="00A3168C"/>
    <w:rsid w:val="00A60811"/>
    <w:rsid w:val="00A8619B"/>
    <w:rsid w:val="00AB2948"/>
    <w:rsid w:val="00AB3B31"/>
    <w:rsid w:val="00AD4C14"/>
    <w:rsid w:val="00AE1877"/>
    <w:rsid w:val="00B024B8"/>
    <w:rsid w:val="00B1042E"/>
    <w:rsid w:val="00B23D1B"/>
    <w:rsid w:val="00B26805"/>
    <w:rsid w:val="00B3061F"/>
    <w:rsid w:val="00B42EF0"/>
    <w:rsid w:val="00B81E15"/>
    <w:rsid w:val="00B85EB0"/>
    <w:rsid w:val="00BA567E"/>
    <w:rsid w:val="00BD3E53"/>
    <w:rsid w:val="00BE3239"/>
    <w:rsid w:val="00C471E3"/>
    <w:rsid w:val="00C76DE4"/>
    <w:rsid w:val="00C83896"/>
    <w:rsid w:val="00C944CB"/>
    <w:rsid w:val="00C97557"/>
    <w:rsid w:val="00CA2A83"/>
    <w:rsid w:val="00CC15ED"/>
    <w:rsid w:val="00CC1BB2"/>
    <w:rsid w:val="00CC2451"/>
    <w:rsid w:val="00CD3D9D"/>
    <w:rsid w:val="00CD58F5"/>
    <w:rsid w:val="00CF20D6"/>
    <w:rsid w:val="00D072C7"/>
    <w:rsid w:val="00D164C8"/>
    <w:rsid w:val="00D47DF6"/>
    <w:rsid w:val="00D66EB7"/>
    <w:rsid w:val="00D73358"/>
    <w:rsid w:val="00D86560"/>
    <w:rsid w:val="00DC52CD"/>
    <w:rsid w:val="00DC53ED"/>
    <w:rsid w:val="00DD3EAB"/>
    <w:rsid w:val="00DE6368"/>
    <w:rsid w:val="00E21F17"/>
    <w:rsid w:val="00E279E2"/>
    <w:rsid w:val="00E43327"/>
    <w:rsid w:val="00E52648"/>
    <w:rsid w:val="00E56181"/>
    <w:rsid w:val="00E62EA5"/>
    <w:rsid w:val="00E7354F"/>
    <w:rsid w:val="00E873D3"/>
    <w:rsid w:val="00EB02A3"/>
    <w:rsid w:val="00ED0EE4"/>
    <w:rsid w:val="00EE473B"/>
    <w:rsid w:val="00EF260D"/>
    <w:rsid w:val="00EF44EF"/>
    <w:rsid w:val="00F01AE0"/>
    <w:rsid w:val="00F134B9"/>
    <w:rsid w:val="00F3344E"/>
    <w:rsid w:val="00F400BC"/>
    <w:rsid w:val="00F40384"/>
    <w:rsid w:val="00F4191C"/>
    <w:rsid w:val="00F43F33"/>
    <w:rsid w:val="00F5547A"/>
    <w:rsid w:val="00F765A0"/>
    <w:rsid w:val="00F84215"/>
    <w:rsid w:val="00FA31AA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8D35A6B"/>
  <w15:chartTrackingRefBased/>
  <w15:docId w15:val="{6E58A850-97A2-4EE4-9D96-9E10B01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3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71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3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1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1CF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55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566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45556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285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05285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1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4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4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4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4F0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7B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DF9F-B7D8-4223-8630-9881A2B0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4</cp:revision>
  <cp:lastPrinted>2022-02-24T21:31:00Z</cp:lastPrinted>
  <dcterms:created xsi:type="dcterms:W3CDTF">2022-03-02T17:57:00Z</dcterms:created>
  <dcterms:modified xsi:type="dcterms:W3CDTF">2022-03-02T18:15:00Z</dcterms:modified>
</cp:coreProperties>
</file>