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3819C" w14:textId="77777777" w:rsidR="0005285F" w:rsidRPr="00057899" w:rsidRDefault="0005285F" w:rsidP="00AD4C14">
      <w:pPr>
        <w:pStyle w:val="Sinespaciado"/>
        <w:spacing w:line="276" w:lineRule="auto"/>
        <w:jc w:val="center"/>
        <w:rPr>
          <w:rFonts w:ascii="Trebuchet MS" w:hAnsi="Trebuchet MS"/>
          <w:b/>
        </w:rPr>
      </w:pPr>
      <w:r w:rsidRPr="00057899">
        <w:rPr>
          <w:rFonts w:ascii="Trebuchet MS" w:hAnsi="Trebuchet MS"/>
          <w:b/>
        </w:rPr>
        <w:t>ANEXO 1</w:t>
      </w:r>
    </w:p>
    <w:p w14:paraId="7F50388D" w14:textId="5E35CA70" w:rsidR="0005285F" w:rsidRPr="00057899" w:rsidRDefault="0005285F" w:rsidP="00AD4C14">
      <w:pPr>
        <w:pStyle w:val="Sinespaciado"/>
        <w:spacing w:line="276" w:lineRule="auto"/>
        <w:jc w:val="both"/>
        <w:rPr>
          <w:rFonts w:ascii="Trebuchet MS" w:hAnsi="Trebuchet MS"/>
          <w:b/>
        </w:rPr>
      </w:pPr>
      <w:r w:rsidRPr="00057899">
        <w:rPr>
          <w:rFonts w:ascii="Trebuchet MS" w:hAnsi="Trebuchet MS"/>
          <w:b/>
        </w:rPr>
        <w:t xml:space="preserve">AGENDA DE TRABAJO DE LA COMISIÓN DE </w:t>
      </w:r>
      <w:r w:rsidR="0083339F" w:rsidRPr="00057899">
        <w:rPr>
          <w:rFonts w:ascii="Trebuchet MS" w:hAnsi="Trebuchet MS"/>
          <w:b/>
        </w:rPr>
        <w:t>ASUNTOS DE PU</w:t>
      </w:r>
      <w:r w:rsidR="00F83549">
        <w:rPr>
          <w:rFonts w:ascii="Trebuchet MS" w:hAnsi="Trebuchet MS"/>
          <w:b/>
        </w:rPr>
        <w:t>E</w:t>
      </w:r>
      <w:r w:rsidR="0083339F" w:rsidRPr="00057899">
        <w:rPr>
          <w:rFonts w:ascii="Trebuchet MS" w:hAnsi="Trebuchet MS"/>
          <w:b/>
        </w:rPr>
        <w:t>BLOS ORIGINARIOS</w:t>
      </w:r>
      <w:r w:rsidRPr="00057899">
        <w:rPr>
          <w:rFonts w:ascii="Trebuchet MS" w:hAnsi="Trebuchet MS"/>
          <w:b/>
        </w:rPr>
        <w:t xml:space="preserve"> </w:t>
      </w:r>
      <w:r w:rsidR="00F83549">
        <w:rPr>
          <w:rFonts w:ascii="Trebuchet MS" w:hAnsi="Trebuchet MS"/>
          <w:b/>
        </w:rPr>
        <w:t>DEL</w:t>
      </w:r>
      <w:r w:rsidRPr="00057899">
        <w:rPr>
          <w:rFonts w:ascii="Trebuchet MS" w:hAnsi="Trebuchet MS"/>
          <w:b/>
        </w:rPr>
        <w:t xml:space="preserve"> INSTITUTO ELECTORAL</w:t>
      </w:r>
      <w:r w:rsidR="00F83549">
        <w:rPr>
          <w:rFonts w:ascii="Trebuchet MS" w:hAnsi="Trebuchet MS"/>
          <w:b/>
        </w:rPr>
        <w:t xml:space="preserve"> Y DE PARTICIPACIÓN CIUDADANA DEL ESTADO DE JALISCO</w:t>
      </w:r>
      <w:r w:rsidRPr="00057899">
        <w:rPr>
          <w:rFonts w:ascii="Trebuchet MS" w:hAnsi="Trebuchet MS"/>
          <w:b/>
        </w:rPr>
        <w:t xml:space="preserve"> PARA EL EJERCICIO 2022</w:t>
      </w:r>
      <w:r w:rsidR="00F83549">
        <w:rPr>
          <w:rFonts w:ascii="Trebuchet MS" w:hAnsi="Trebuchet MS"/>
          <w:b/>
        </w:rPr>
        <w:t>-2023</w:t>
      </w:r>
      <w:r w:rsidR="0062102E" w:rsidRPr="00057899">
        <w:rPr>
          <w:rFonts w:ascii="Trebuchet MS" w:hAnsi="Trebuchet MS"/>
          <w:b/>
        </w:rPr>
        <w:t>.</w:t>
      </w:r>
    </w:p>
    <w:p w14:paraId="4396753B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color w:val="7030A0"/>
          <w:sz w:val="22"/>
          <w:szCs w:val="22"/>
        </w:rPr>
      </w:pPr>
    </w:p>
    <w:p w14:paraId="7E1C2395" w14:textId="77777777" w:rsidR="0005285F" w:rsidRPr="00057899" w:rsidRDefault="0005285F" w:rsidP="00AD4C14">
      <w:pPr>
        <w:pStyle w:val="Prrafodelista"/>
        <w:numPr>
          <w:ilvl w:val="0"/>
          <w:numId w:val="1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057899">
        <w:rPr>
          <w:rFonts w:ascii="Trebuchet MS" w:hAnsi="Trebuchet MS" w:cstheme="majorHAnsi"/>
          <w:b/>
        </w:rPr>
        <w:t xml:space="preserve">PRESENTACIÓN </w:t>
      </w:r>
    </w:p>
    <w:p w14:paraId="188E1274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 xml:space="preserve">La Agenda que se pone a consideración propone </w:t>
      </w:r>
      <w:proofErr w:type="spellStart"/>
      <w:r w:rsidRPr="00057899">
        <w:rPr>
          <w:rFonts w:ascii="Trebuchet MS" w:hAnsi="Trebuchet MS" w:cstheme="majorHAnsi"/>
          <w:sz w:val="22"/>
          <w:szCs w:val="22"/>
        </w:rPr>
        <w:t>transversalizar</w:t>
      </w:r>
      <w:proofErr w:type="spellEnd"/>
      <w:r w:rsidRPr="00057899">
        <w:rPr>
          <w:rFonts w:ascii="Trebuchet MS" w:hAnsi="Trebuchet MS" w:cstheme="majorHAnsi"/>
          <w:sz w:val="22"/>
          <w:szCs w:val="22"/>
        </w:rPr>
        <w:t xml:space="preserve"> e institucionalizar </w:t>
      </w:r>
      <w:r w:rsidR="0062102E" w:rsidRPr="00057899">
        <w:rPr>
          <w:rFonts w:ascii="Trebuchet MS" w:hAnsi="Trebuchet MS" w:cstheme="majorHAnsi"/>
          <w:sz w:val="22"/>
          <w:szCs w:val="22"/>
        </w:rPr>
        <w:t>los</w:t>
      </w:r>
      <w:r w:rsidRPr="00057899">
        <w:rPr>
          <w:rFonts w:ascii="Trebuchet MS" w:hAnsi="Trebuchet MS" w:cstheme="majorHAnsi"/>
          <w:sz w:val="22"/>
          <w:szCs w:val="22"/>
        </w:rPr>
        <w:t xml:space="preserve"> principio</w:t>
      </w:r>
      <w:r w:rsidR="0062102E" w:rsidRPr="00057899">
        <w:rPr>
          <w:rFonts w:ascii="Trebuchet MS" w:hAnsi="Trebuchet MS" w:cstheme="majorHAnsi"/>
          <w:sz w:val="22"/>
          <w:szCs w:val="22"/>
        </w:rPr>
        <w:t>s</w:t>
      </w:r>
      <w:r w:rsidRPr="00057899">
        <w:rPr>
          <w:rFonts w:ascii="Trebuchet MS" w:hAnsi="Trebuchet MS" w:cstheme="majorHAnsi"/>
          <w:sz w:val="22"/>
          <w:szCs w:val="22"/>
        </w:rPr>
        <w:t xml:space="preserve"> de</w:t>
      </w:r>
      <w:r w:rsidR="0062102E" w:rsidRPr="00057899">
        <w:rPr>
          <w:rFonts w:ascii="Trebuchet MS" w:hAnsi="Trebuchet MS" w:cstheme="majorHAnsi"/>
          <w:sz w:val="22"/>
          <w:szCs w:val="22"/>
        </w:rPr>
        <w:t xml:space="preserve"> interculturalidad y</w:t>
      </w:r>
      <w:r w:rsidRPr="00057899">
        <w:rPr>
          <w:rFonts w:ascii="Trebuchet MS" w:hAnsi="Trebuchet MS" w:cstheme="majorHAnsi"/>
          <w:sz w:val="22"/>
          <w:szCs w:val="22"/>
        </w:rPr>
        <w:t xml:space="preserve"> no discriminación en el quehacer de este Instituto Electoral, conforme a su competencia y en observancia al artículo 1º de la Constitución Política de los Estados Unidos Mexicanos, la Constitución Local y los tratados internacionales en materia de derechos humanos, a fin de asegurar el acceso y ejercicio efectivo de los derechos políticos y electorales</w:t>
      </w:r>
      <w:r w:rsidR="0062102E" w:rsidRPr="00057899">
        <w:rPr>
          <w:rFonts w:ascii="Trebuchet MS" w:hAnsi="Trebuchet MS" w:cstheme="majorHAnsi"/>
          <w:sz w:val="22"/>
          <w:szCs w:val="22"/>
        </w:rPr>
        <w:t xml:space="preserve"> para las personas indígenas</w:t>
      </w:r>
      <w:r w:rsidRPr="00057899">
        <w:rPr>
          <w:rFonts w:ascii="Trebuchet MS" w:hAnsi="Trebuchet MS" w:cstheme="majorHAnsi"/>
          <w:sz w:val="22"/>
          <w:szCs w:val="22"/>
        </w:rPr>
        <w:t xml:space="preserve">. </w:t>
      </w:r>
    </w:p>
    <w:p w14:paraId="1D66A16B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054B3EF8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 xml:space="preserve">Impulsar las sinergias y mecanismos de colaboración pertinentes con diferentes sectores de la sociedad con la finalidad de responder a los compromisos derivados de la normatividad vigente </w:t>
      </w:r>
      <w:r w:rsidR="00DD3EAB" w:rsidRPr="00057899">
        <w:rPr>
          <w:rFonts w:ascii="Trebuchet MS" w:hAnsi="Trebuchet MS" w:cstheme="majorHAnsi"/>
          <w:sz w:val="22"/>
          <w:szCs w:val="22"/>
        </w:rPr>
        <w:t>conforme con los principios de interculturalidad y no discriminación</w:t>
      </w:r>
      <w:r w:rsidRPr="00057899">
        <w:rPr>
          <w:rFonts w:ascii="Trebuchet MS" w:hAnsi="Trebuchet MS" w:cstheme="majorHAnsi"/>
          <w:sz w:val="22"/>
          <w:szCs w:val="22"/>
        </w:rPr>
        <w:t>.</w:t>
      </w:r>
    </w:p>
    <w:p w14:paraId="32BB734E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C434E8D" w14:textId="77777777" w:rsidR="007A7017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 xml:space="preserve">Propiciar espacios de análisis y discusión con </w:t>
      </w:r>
      <w:r w:rsidR="007A7017" w:rsidRPr="00057899">
        <w:rPr>
          <w:rFonts w:ascii="Trebuchet MS" w:hAnsi="Trebuchet MS" w:cstheme="majorHAnsi"/>
          <w:sz w:val="22"/>
          <w:szCs w:val="22"/>
        </w:rPr>
        <w:t xml:space="preserve">autoridades tradicionales o representantes de comunidades originarias o grupos poblacionales con auto adscripción indígena, con la finalidad de realizar consultas y mesas de trabajo, a efecto de establecer: </w:t>
      </w:r>
    </w:p>
    <w:p w14:paraId="1D29618C" w14:textId="77777777" w:rsidR="007A7017" w:rsidRPr="00057899" w:rsidRDefault="007A7017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57900808" w14:textId="77777777" w:rsidR="002110F4" w:rsidRPr="00057899" w:rsidRDefault="007A7017" w:rsidP="00AD4C14">
      <w:pPr>
        <w:pStyle w:val="Prrafodelista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Los elementos cualitativos y cuantitativos respecto de la transferencia de responsabilidades relacionadas con el </w:t>
      </w:r>
      <w:r w:rsidRPr="00057899">
        <w:rPr>
          <w:rFonts w:ascii="Trebuchet MS" w:hAnsi="Trebuchet MS" w:cstheme="majorHAnsi"/>
          <w:b/>
        </w:rPr>
        <w:t>ejercicio y administración directa de los recursos públicos</w:t>
      </w:r>
      <w:r w:rsidRPr="00057899">
        <w:rPr>
          <w:rFonts w:ascii="Trebuchet MS" w:hAnsi="Trebuchet MS" w:cstheme="majorHAnsi"/>
        </w:rPr>
        <w:t xml:space="preserve"> que le corresponde a la Comunidad Indígena </w:t>
      </w:r>
      <w:proofErr w:type="spellStart"/>
      <w:r w:rsidRPr="00057899">
        <w:rPr>
          <w:rFonts w:ascii="Trebuchet MS" w:hAnsi="Trebuchet MS" w:cstheme="majorHAnsi"/>
        </w:rPr>
        <w:t>Wixárika</w:t>
      </w:r>
      <w:proofErr w:type="spellEnd"/>
      <w:r w:rsidRPr="00057899">
        <w:rPr>
          <w:rFonts w:ascii="Trebuchet MS" w:hAnsi="Trebuchet MS" w:cstheme="majorHAnsi"/>
        </w:rPr>
        <w:t xml:space="preserve"> de Tuxpan, asentada en el municipio de Bolaños, Jalisco. Que debe realizarse en acatamiento a la sentencia emitida por el Tribunal Electoral del Estado de Jalisco en el Juicio para la Protección de los Derechos Político-Electorales del Ciudadano JDC-005/2019 y en los Incidentes de Inejecución e Incumplimiento de sentencia relacionados con dicha ejecutoria.</w:t>
      </w:r>
    </w:p>
    <w:p w14:paraId="4B910262" w14:textId="77777777" w:rsidR="002110F4" w:rsidRPr="00057899" w:rsidRDefault="002110F4" w:rsidP="00AD4C14">
      <w:pPr>
        <w:pStyle w:val="Prrafodelista"/>
        <w:spacing w:line="276" w:lineRule="auto"/>
        <w:ind w:left="709" w:hanging="283"/>
        <w:jc w:val="both"/>
        <w:rPr>
          <w:rFonts w:ascii="Trebuchet MS" w:hAnsi="Trebuchet MS" w:cstheme="majorHAnsi"/>
        </w:rPr>
      </w:pPr>
    </w:p>
    <w:p w14:paraId="15153D86" w14:textId="62033557" w:rsidR="002110F4" w:rsidRPr="00057899" w:rsidRDefault="008B3841" w:rsidP="00AD4C14">
      <w:pPr>
        <w:pStyle w:val="Prrafodelista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El porcentaje de los recursos, </w:t>
      </w:r>
      <w:r w:rsidR="008D7D65">
        <w:rPr>
          <w:rFonts w:ascii="Trebuchet MS" w:hAnsi="Trebuchet MS" w:cstheme="majorHAnsi"/>
        </w:rPr>
        <w:t>las personas que lo administrará</w:t>
      </w:r>
      <w:r w:rsidRPr="00057899">
        <w:rPr>
          <w:rFonts w:ascii="Trebuchet MS" w:hAnsi="Trebuchet MS" w:cstheme="majorHAnsi"/>
        </w:rPr>
        <w:t xml:space="preserve">n y su fiscalización, la forma en que serán recibidos, entre otros aspectos respecto a la transferencia de responsabilidades relacionadas con la </w:t>
      </w:r>
      <w:r w:rsidRPr="00057899">
        <w:rPr>
          <w:rFonts w:ascii="Trebuchet MS" w:hAnsi="Trebuchet MS" w:cstheme="majorHAnsi"/>
          <w:b/>
        </w:rPr>
        <w:t xml:space="preserve">administración directa de los recursos económicos </w:t>
      </w:r>
      <w:r w:rsidRPr="00057899">
        <w:rPr>
          <w:rFonts w:ascii="Trebuchet MS" w:hAnsi="Trebuchet MS" w:cstheme="majorHAnsi"/>
        </w:rPr>
        <w:t>que le corresponden</w:t>
      </w:r>
      <w:r w:rsidR="00870DDB" w:rsidRPr="00057899">
        <w:rPr>
          <w:rFonts w:ascii="Trebuchet MS" w:hAnsi="Trebuchet MS" w:cstheme="majorHAnsi"/>
        </w:rPr>
        <w:t xml:space="preserve"> a</w:t>
      </w:r>
      <w:r w:rsidR="00870DDB" w:rsidRPr="00057899">
        <w:t xml:space="preserve"> </w:t>
      </w:r>
      <w:r w:rsidR="00870DDB" w:rsidRPr="00057899">
        <w:rPr>
          <w:rFonts w:ascii="Trebuchet MS" w:hAnsi="Trebuchet MS" w:cstheme="majorHAnsi"/>
        </w:rPr>
        <w:t xml:space="preserve">la Comunidad Indígena </w:t>
      </w:r>
      <w:proofErr w:type="spellStart"/>
      <w:r w:rsidR="00870DDB" w:rsidRPr="00057899">
        <w:rPr>
          <w:rFonts w:ascii="Trebuchet MS" w:hAnsi="Trebuchet MS" w:cstheme="majorHAnsi"/>
        </w:rPr>
        <w:t>Wixá</w:t>
      </w:r>
      <w:r w:rsidR="008D7D65">
        <w:rPr>
          <w:rFonts w:ascii="Trebuchet MS" w:hAnsi="Trebuchet MS" w:cstheme="majorHAnsi"/>
        </w:rPr>
        <w:t>rika</w:t>
      </w:r>
      <w:proofErr w:type="spellEnd"/>
      <w:r w:rsidR="008D7D65">
        <w:rPr>
          <w:rFonts w:ascii="Trebuchet MS" w:hAnsi="Trebuchet MS" w:cstheme="majorHAnsi"/>
        </w:rPr>
        <w:t xml:space="preserve"> de San Sebastián </w:t>
      </w:r>
      <w:proofErr w:type="spellStart"/>
      <w:r w:rsidR="008D7D65">
        <w:rPr>
          <w:rFonts w:ascii="Trebuchet MS" w:hAnsi="Trebuchet MS" w:cstheme="majorHAnsi"/>
        </w:rPr>
        <w:t>Teponahuax</w:t>
      </w:r>
      <w:r w:rsidR="00870DDB" w:rsidRPr="00057899">
        <w:rPr>
          <w:rFonts w:ascii="Trebuchet MS" w:hAnsi="Trebuchet MS" w:cstheme="majorHAnsi"/>
        </w:rPr>
        <w:t>tlán</w:t>
      </w:r>
      <w:proofErr w:type="spellEnd"/>
      <w:r w:rsidR="00870DDB" w:rsidRPr="00057899">
        <w:rPr>
          <w:rFonts w:ascii="Trebuchet MS" w:hAnsi="Trebuchet MS" w:cstheme="majorHAnsi"/>
        </w:rPr>
        <w:t xml:space="preserve">, asentada en el municipio de </w:t>
      </w:r>
      <w:proofErr w:type="spellStart"/>
      <w:r w:rsidR="00870DDB" w:rsidRPr="00057899">
        <w:rPr>
          <w:rFonts w:ascii="Trebuchet MS" w:hAnsi="Trebuchet MS" w:cstheme="majorHAnsi"/>
        </w:rPr>
        <w:t>Mezquitic</w:t>
      </w:r>
      <w:proofErr w:type="spellEnd"/>
      <w:r w:rsidR="00870DDB" w:rsidRPr="00057899">
        <w:rPr>
          <w:rFonts w:ascii="Trebuchet MS" w:hAnsi="Trebuchet MS" w:cstheme="majorHAnsi"/>
        </w:rPr>
        <w:t>, Jalisco</w:t>
      </w:r>
      <w:r w:rsidR="006C7D96" w:rsidRPr="00057899">
        <w:rPr>
          <w:rFonts w:ascii="Trebuchet MS" w:hAnsi="Trebuchet MS" w:cstheme="majorHAnsi"/>
        </w:rPr>
        <w:t xml:space="preserve">. </w:t>
      </w:r>
      <w:r w:rsidR="002B04A7" w:rsidRPr="00057899">
        <w:rPr>
          <w:rFonts w:ascii="Trebuchet MS" w:hAnsi="Trebuchet MS" w:cstheme="majorHAnsi"/>
        </w:rPr>
        <w:t>Que debe realizarse en acatamiento a la sentencia emitida por la Sala Regional Guadalajara del Tribunal Electoral del Poder Judicial de la Federación en el Juicio para la Protección de los Derechos Político-Electorales del Ciudadano SG-JDC-035/2019.</w:t>
      </w:r>
    </w:p>
    <w:p w14:paraId="6AE601F0" w14:textId="77777777" w:rsidR="002110F4" w:rsidRPr="00057899" w:rsidRDefault="002110F4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14E5403D" w14:textId="501E3209" w:rsidR="002110F4" w:rsidRPr="00057899" w:rsidRDefault="002B04A7" w:rsidP="00AD4C14">
      <w:pPr>
        <w:pStyle w:val="Prrafodelista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lastRenderedPageBreak/>
        <w:t>Si la Comu</w:t>
      </w:r>
      <w:r w:rsidR="00727FAF">
        <w:rPr>
          <w:rFonts w:ascii="Trebuchet MS" w:hAnsi="Trebuchet MS" w:cstheme="majorHAnsi"/>
        </w:rPr>
        <w:t xml:space="preserve">nidad Indígena </w:t>
      </w:r>
      <w:proofErr w:type="spellStart"/>
      <w:r w:rsidR="00727FAF">
        <w:rPr>
          <w:rFonts w:ascii="Trebuchet MS" w:hAnsi="Trebuchet MS" w:cstheme="majorHAnsi"/>
        </w:rPr>
        <w:t>Wixárika</w:t>
      </w:r>
      <w:proofErr w:type="spellEnd"/>
      <w:r w:rsidR="00727FAF">
        <w:rPr>
          <w:rFonts w:ascii="Trebuchet MS" w:hAnsi="Trebuchet MS" w:cstheme="majorHAnsi"/>
        </w:rPr>
        <w:t xml:space="preserve"> de Tuxpá</w:t>
      </w:r>
      <w:r w:rsidRPr="00057899">
        <w:rPr>
          <w:rFonts w:ascii="Trebuchet MS" w:hAnsi="Trebuchet MS" w:cstheme="majorHAnsi"/>
        </w:rPr>
        <w:t xml:space="preserve">n, asentada en el </w:t>
      </w:r>
      <w:r w:rsidR="00862748">
        <w:rPr>
          <w:rFonts w:ascii="Trebuchet MS" w:hAnsi="Trebuchet MS" w:cstheme="majorHAnsi"/>
        </w:rPr>
        <w:t xml:space="preserve">municipio de Bolaños, Jalisco, </w:t>
      </w:r>
      <w:r w:rsidRPr="00057899">
        <w:rPr>
          <w:rFonts w:ascii="Trebuchet MS" w:hAnsi="Trebuchet MS" w:cstheme="majorHAnsi"/>
        </w:rPr>
        <w:t xml:space="preserve">está de acuerdo en </w:t>
      </w:r>
      <w:r w:rsidRPr="00057899">
        <w:rPr>
          <w:rFonts w:ascii="Trebuchet MS" w:hAnsi="Trebuchet MS" w:cstheme="majorHAnsi"/>
          <w:b/>
        </w:rPr>
        <w:t>transitar de un proceso electoral bajo el sistema de partidos a un proceso de usos y costumbres</w:t>
      </w:r>
      <w:r w:rsidR="00AE0E93">
        <w:rPr>
          <w:rFonts w:ascii="Trebuchet MS" w:hAnsi="Trebuchet MS" w:cstheme="majorHAnsi"/>
          <w:b/>
        </w:rPr>
        <w:t xml:space="preserve"> para la elección de sus autoridades municipales</w:t>
      </w:r>
      <w:r w:rsidRPr="00057899">
        <w:rPr>
          <w:rFonts w:ascii="Trebuchet MS" w:hAnsi="Trebuchet MS" w:cstheme="majorHAnsi"/>
        </w:rPr>
        <w:t xml:space="preserve">. </w:t>
      </w:r>
      <w:r w:rsidR="00C944CB" w:rsidRPr="00057899">
        <w:rPr>
          <w:rFonts w:ascii="Trebuchet MS" w:hAnsi="Trebuchet MS" w:cstheme="majorHAnsi"/>
        </w:rPr>
        <w:t>Ordenada en la resolución emitida por el Consejo General de este Instituto, recurso de revisión REV-005/2020.</w:t>
      </w:r>
    </w:p>
    <w:p w14:paraId="39DE14F0" w14:textId="77777777" w:rsidR="002110F4" w:rsidRPr="00057899" w:rsidRDefault="002110F4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17D61E8C" w14:textId="0B99A780" w:rsidR="002110F4" w:rsidRPr="00057899" w:rsidRDefault="00E873D3" w:rsidP="00AD4C14">
      <w:pPr>
        <w:pStyle w:val="Prrafodelista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proofErr w:type="spellStart"/>
      <w:r w:rsidRPr="00057899">
        <w:rPr>
          <w:rFonts w:ascii="Trebuchet MS" w:hAnsi="Trebuchet MS" w:cstheme="majorHAnsi"/>
        </w:rPr>
        <w:t>Dictaminación</w:t>
      </w:r>
      <w:proofErr w:type="spellEnd"/>
      <w:r w:rsidRPr="00057899">
        <w:rPr>
          <w:rFonts w:ascii="Trebuchet MS" w:hAnsi="Trebuchet MS" w:cstheme="majorHAnsi"/>
        </w:rPr>
        <w:t xml:space="preserve"> sobre la viabilidad de realizar una consulta a la Comunidad Indígena de Chacala, asentada en el municipio de Cabo Corrientes, Jalisco, encaminada a determinar si la comunidad está de acuerdo en la obtención de su </w:t>
      </w:r>
      <w:r w:rsidRPr="00057899">
        <w:rPr>
          <w:rFonts w:ascii="Trebuchet MS" w:hAnsi="Trebuchet MS" w:cstheme="majorHAnsi"/>
          <w:b/>
        </w:rPr>
        <w:t>reconocimiento como comunidad indígena y con ello, elegir a sus autoridades conforme a su sistema normativo interno</w:t>
      </w:r>
      <w:r w:rsidRPr="00057899">
        <w:rPr>
          <w:rFonts w:ascii="Trebuchet MS" w:hAnsi="Trebuchet MS" w:cstheme="majorHAnsi"/>
        </w:rPr>
        <w:t xml:space="preserve"> (elecciones por usos y costumbre</w:t>
      </w:r>
      <w:r w:rsidR="004264F4" w:rsidRPr="00057899">
        <w:rPr>
          <w:rFonts w:ascii="Trebuchet MS" w:hAnsi="Trebuchet MS" w:cstheme="majorHAnsi"/>
        </w:rPr>
        <w:t>s</w:t>
      </w:r>
      <w:r w:rsidRPr="00057899">
        <w:rPr>
          <w:rFonts w:ascii="Trebuchet MS" w:hAnsi="Trebuchet MS" w:cstheme="majorHAnsi"/>
        </w:rPr>
        <w:t>)</w:t>
      </w:r>
      <w:r w:rsidR="003723D9">
        <w:rPr>
          <w:rFonts w:ascii="Trebuchet MS" w:hAnsi="Trebuchet MS" w:cstheme="majorHAnsi"/>
        </w:rPr>
        <w:t>, así como nombrar un representante ante el ayuntamiento de Cabo Corrientes</w:t>
      </w:r>
      <w:r w:rsidRPr="00057899">
        <w:rPr>
          <w:rFonts w:ascii="Trebuchet MS" w:hAnsi="Trebuchet MS" w:cstheme="majorHAnsi"/>
        </w:rPr>
        <w:t>.</w:t>
      </w:r>
      <w:r w:rsidR="004264F4" w:rsidRPr="00057899">
        <w:t xml:space="preserve"> </w:t>
      </w:r>
      <w:r w:rsidR="004264F4" w:rsidRPr="00057899">
        <w:rPr>
          <w:rFonts w:ascii="Trebuchet MS" w:hAnsi="Trebuchet MS" w:cstheme="majorHAnsi"/>
        </w:rPr>
        <w:t>Ordenada en la resolución emitida por el Consejo General de este Instituto, recurso de revisión REV-007/2020.</w:t>
      </w:r>
      <w:r w:rsidRPr="00057899">
        <w:rPr>
          <w:rFonts w:ascii="Trebuchet MS" w:hAnsi="Trebuchet MS" w:cstheme="majorHAnsi"/>
        </w:rPr>
        <w:t xml:space="preserve"> </w:t>
      </w:r>
    </w:p>
    <w:p w14:paraId="0C5E8ECB" w14:textId="77777777" w:rsidR="002110F4" w:rsidRPr="00057899" w:rsidRDefault="002110F4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2298C27C" w14:textId="77777777" w:rsidR="004264F4" w:rsidRPr="00057899" w:rsidRDefault="002110F4" w:rsidP="00AD4C14">
      <w:pPr>
        <w:pStyle w:val="Prrafodelista"/>
        <w:numPr>
          <w:ilvl w:val="0"/>
          <w:numId w:val="3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Las </w:t>
      </w:r>
      <w:r w:rsidRPr="00057899">
        <w:rPr>
          <w:rFonts w:ascii="Trebuchet MS" w:hAnsi="Trebuchet MS" w:cstheme="majorHAnsi"/>
          <w:b/>
        </w:rPr>
        <w:t>medidas compensatorias en materia indígena</w:t>
      </w:r>
      <w:r w:rsidRPr="00057899">
        <w:rPr>
          <w:rFonts w:ascii="Trebuchet MS" w:hAnsi="Trebuchet MS" w:cstheme="majorHAnsi"/>
        </w:rPr>
        <w:t xml:space="preserve"> que sean aplicables en el siguiente proceso electoral local ordinario, para el caso de registro y postulación de </w:t>
      </w:r>
      <w:r w:rsidRPr="00057899">
        <w:rPr>
          <w:rFonts w:ascii="Trebuchet MS" w:hAnsi="Trebuchet MS" w:cstheme="majorHAnsi"/>
          <w:b/>
        </w:rPr>
        <w:t>candidaturas al Congreso y Ayuntamientos del estado de Jalisco</w:t>
      </w:r>
      <w:r w:rsidRPr="00057899">
        <w:rPr>
          <w:rFonts w:ascii="Trebuchet MS" w:hAnsi="Trebuchet MS" w:cstheme="majorHAnsi"/>
        </w:rPr>
        <w:t xml:space="preserve">, en que ello sea viable. Trabajos que deben realizarse en acatamiento a la sentencia emitida por el Tribunal Electoral del Estado de Jalisco en el Juicio para la Protección de los Derechos Político-Electorales del Ciudadano JDC-036 y ACUMULADO. </w:t>
      </w:r>
    </w:p>
    <w:p w14:paraId="5969E67D" w14:textId="77777777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4EBC2246" w14:textId="77777777" w:rsidR="0005285F" w:rsidRPr="00057899" w:rsidRDefault="0005285F" w:rsidP="00AD4C14">
      <w:pPr>
        <w:pStyle w:val="Prrafodelista"/>
        <w:numPr>
          <w:ilvl w:val="0"/>
          <w:numId w:val="1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057899">
        <w:rPr>
          <w:rFonts w:ascii="Trebuchet MS" w:hAnsi="Trebuchet MS" w:cstheme="majorHAnsi"/>
          <w:b/>
        </w:rPr>
        <w:t>MARCO NORMATIVO</w:t>
      </w:r>
    </w:p>
    <w:p w14:paraId="227BC19B" w14:textId="3CC22C6C" w:rsidR="0005285F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>La programación de las actividades contenidas en la presente age</w:t>
      </w:r>
      <w:r w:rsidR="00AA5ED8">
        <w:rPr>
          <w:rFonts w:ascii="Trebuchet MS" w:hAnsi="Trebuchet MS" w:cstheme="majorHAnsi"/>
          <w:sz w:val="22"/>
          <w:szCs w:val="22"/>
        </w:rPr>
        <w:t>nda que se pone a consideración</w:t>
      </w:r>
      <w:r w:rsidRPr="00057899">
        <w:rPr>
          <w:rFonts w:ascii="Trebuchet MS" w:hAnsi="Trebuchet MS" w:cstheme="majorHAnsi"/>
          <w:sz w:val="22"/>
          <w:szCs w:val="22"/>
        </w:rPr>
        <w:t xml:space="preserve"> se formuló en apego a lo </w:t>
      </w:r>
      <w:r w:rsidRPr="00D6572D">
        <w:rPr>
          <w:rFonts w:ascii="Trebuchet MS" w:hAnsi="Trebuchet MS" w:cstheme="majorHAnsi"/>
          <w:sz w:val="22"/>
          <w:szCs w:val="22"/>
        </w:rPr>
        <w:t xml:space="preserve">establecido </w:t>
      </w:r>
      <w:r w:rsidR="00514116" w:rsidRPr="00D6572D">
        <w:rPr>
          <w:rFonts w:ascii="Trebuchet MS" w:hAnsi="Trebuchet MS" w:cstheme="majorHAnsi"/>
          <w:sz w:val="22"/>
          <w:szCs w:val="22"/>
        </w:rPr>
        <w:t xml:space="preserve">en los artículos 1 y 2 de la Constitución Política de los Estados Unidos Mexicanos; 4 de la Constitución Política del Estado de Jalisco; </w:t>
      </w:r>
      <w:r w:rsidR="00AA5ED8" w:rsidRPr="00D6572D">
        <w:rPr>
          <w:rFonts w:ascii="Trebuchet MS" w:hAnsi="Trebuchet MS" w:cstheme="majorHAnsi"/>
          <w:sz w:val="22"/>
          <w:szCs w:val="22"/>
        </w:rPr>
        <w:t>el Convenio 169 de la Organización In</w:t>
      </w:r>
      <w:r w:rsidR="00AA5ED8">
        <w:rPr>
          <w:rFonts w:ascii="Trebuchet MS" w:hAnsi="Trebuchet MS" w:cstheme="majorHAnsi"/>
          <w:sz w:val="22"/>
          <w:szCs w:val="22"/>
        </w:rPr>
        <w:t xml:space="preserve">ternacional del Trabajo sobre Pueblos Indígenas y Tribales en Países Independientes, la Declaración sobre los Derechos de los Pueblos Indígenas, así como en lo dispuesto </w:t>
      </w:r>
      <w:r w:rsidRPr="00057899">
        <w:rPr>
          <w:rFonts w:ascii="Trebuchet MS" w:hAnsi="Trebuchet MS" w:cstheme="majorHAnsi"/>
          <w:sz w:val="22"/>
          <w:szCs w:val="22"/>
        </w:rPr>
        <w:t xml:space="preserve">por los artículos 134, fracción II, del Código Electoral </w:t>
      </w:r>
      <w:r w:rsidR="00CC15ED" w:rsidRPr="00057899">
        <w:rPr>
          <w:rFonts w:ascii="Trebuchet MS" w:hAnsi="Trebuchet MS" w:cstheme="majorHAnsi"/>
          <w:sz w:val="22"/>
          <w:szCs w:val="22"/>
        </w:rPr>
        <w:t>del Estado de Jalisco referente</w:t>
      </w:r>
      <w:r w:rsidRPr="00057899">
        <w:rPr>
          <w:rFonts w:ascii="Trebuchet MS" w:hAnsi="Trebuchet MS" w:cstheme="majorHAnsi"/>
          <w:sz w:val="22"/>
          <w:szCs w:val="22"/>
        </w:rPr>
        <w:t xml:space="preserve"> a la integración de las comisiones del Instituto; 13, fracción XVII, 32, numeral 1, fracción I; del Reglamento Interior del Instituto Electoral y de Participación Ciudadana del Estado de Jalisco, que refiere a la obligación de las y los titulares de las direcciones de área de </w:t>
      </w:r>
      <w:r w:rsidR="00356521" w:rsidRPr="00057899">
        <w:rPr>
          <w:rFonts w:ascii="Trebuchet MS" w:hAnsi="Trebuchet MS" w:cstheme="majorHAnsi"/>
          <w:sz w:val="22"/>
          <w:szCs w:val="22"/>
        </w:rPr>
        <w:t xml:space="preserve">emitir los informes, dictámenes, datos, documentos y opiniones sobre asuntos propios de la Dirección, que le soliciten las Comisiones del Instituto, así como </w:t>
      </w:r>
      <w:r w:rsidRPr="00057899">
        <w:rPr>
          <w:rFonts w:ascii="Trebuchet MS" w:hAnsi="Trebuchet MS" w:cstheme="majorHAnsi"/>
          <w:sz w:val="22"/>
          <w:szCs w:val="22"/>
        </w:rPr>
        <w:t>aportar los insumos necesarios y coadyuvar en la elaboración de las agendas de trabajo de las Comisiones de este Instituto.</w:t>
      </w:r>
    </w:p>
    <w:p w14:paraId="00BF198D" w14:textId="77777777" w:rsidR="00CC15ED" w:rsidRPr="00057899" w:rsidRDefault="00CC15ED" w:rsidP="00AD4C1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3E43D937" w14:textId="77777777" w:rsidR="0037132C" w:rsidRPr="00057899" w:rsidRDefault="0005285F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>Adicionalmente, es importante precisar que</w:t>
      </w:r>
      <w:r w:rsidR="00356521" w:rsidRPr="00057899">
        <w:rPr>
          <w:rFonts w:ascii="Trebuchet MS" w:hAnsi="Trebuchet MS" w:cstheme="majorHAnsi"/>
          <w:sz w:val="22"/>
          <w:szCs w:val="22"/>
        </w:rPr>
        <w:t xml:space="preserve"> conforme con lo ordenado en las sentencias emitidas en los expedientes SG-JDC-035/2019 de la Sala Regional Guadalajara del Tribunal </w:t>
      </w:r>
      <w:r w:rsidR="00356521" w:rsidRPr="00057899">
        <w:rPr>
          <w:rFonts w:ascii="Trebuchet MS" w:hAnsi="Trebuchet MS" w:cstheme="majorHAnsi"/>
          <w:sz w:val="22"/>
          <w:szCs w:val="22"/>
        </w:rPr>
        <w:lastRenderedPageBreak/>
        <w:t xml:space="preserve">Electoral del Poder Judicial de la Federación; JDC-005/2019 y sus Incidentes de Inejecución e Incumplimiento, JDC-036 y ACUMULADO del Tribunal Electoral del Estado de Jalisco; y REV-005/2020 y REV-007/2020 del Consejo General de este Instituto Electoral local, las actividades que aquí de proponen son en cumplimiento a lo dispuesto en dichas resoluciones.  </w:t>
      </w:r>
    </w:p>
    <w:p w14:paraId="4BF0E627" w14:textId="77777777" w:rsidR="00115D7E" w:rsidRPr="00057899" w:rsidRDefault="00115D7E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</w:p>
    <w:p w14:paraId="73BA3CEF" w14:textId="77777777" w:rsidR="0005285F" w:rsidRPr="00057899" w:rsidRDefault="0005285F" w:rsidP="00AD4C14">
      <w:pPr>
        <w:spacing w:line="276" w:lineRule="auto"/>
        <w:rPr>
          <w:rFonts w:ascii="Trebuchet MS" w:hAnsi="Trebuchet MS" w:cstheme="majorHAnsi"/>
          <w:sz w:val="22"/>
          <w:szCs w:val="22"/>
        </w:rPr>
      </w:pPr>
    </w:p>
    <w:p w14:paraId="4AC083B3" w14:textId="77777777" w:rsidR="005A2710" w:rsidRPr="00057899" w:rsidRDefault="005A2710" w:rsidP="00AD4C14">
      <w:pPr>
        <w:pStyle w:val="Prrafodelista"/>
        <w:numPr>
          <w:ilvl w:val="0"/>
          <w:numId w:val="1"/>
        </w:numPr>
        <w:spacing w:line="276" w:lineRule="auto"/>
        <w:ind w:hanging="1080"/>
        <w:rPr>
          <w:rFonts w:ascii="Trebuchet MS" w:hAnsi="Trebuchet MS" w:cstheme="majorHAnsi"/>
          <w:b/>
        </w:rPr>
      </w:pPr>
      <w:r w:rsidRPr="00057899">
        <w:rPr>
          <w:rFonts w:ascii="Trebuchet MS" w:hAnsi="Trebuchet MS" w:cstheme="majorHAnsi"/>
          <w:b/>
        </w:rPr>
        <w:t>INTEGRACIÓN</w:t>
      </w:r>
    </w:p>
    <w:p w14:paraId="56895300" w14:textId="77777777" w:rsidR="005A2710" w:rsidRPr="00057899" w:rsidRDefault="005A2710" w:rsidP="00AD4C14">
      <w:pPr>
        <w:spacing w:line="276" w:lineRule="auto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>El 15 de febrero de 2022, el Consejo General del Instituto celebró sesión extraordinaria en la que, entre otros acuerdos, emitió el identificado con la clave IEPC-ACG-010/2022, mediante el cual aprobó la integración de la Comisión, la cual quedó conformada como sigue:</w:t>
      </w:r>
    </w:p>
    <w:p w14:paraId="6D421332" w14:textId="77777777" w:rsidR="005A2710" w:rsidRDefault="003E68A9" w:rsidP="00AD4C1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proofErr w:type="spellStart"/>
      <w:r w:rsidRPr="00057899">
        <w:rPr>
          <w:rFonts w:ascii="Trebuchet MS" w:hAnsi="Trebuchet MS" w:cstheme="majorHAnsi"/>
        </w:rPr>
        <w:t>Zoad</w:t>
      </w:r>
      <w:proofErr w:type="spellEnd"/>
      <w:r w:rsidRPr="00057899">
        <w:rPr>
          <w:rFonts w:ascii="Trebuchet MS" w:hAnsi="Trebuchet MS" w:cstheme="majorHAnsi"/>
        </w:rPr>
        <w:t xml:space="preserve"> </w:t>
      </w:r>
      <w:proofErr w:type="spellStart"/>
      <w:r w:rsidRPr="00057899">
        <w:rPr>
          <w:rFonts w:ascii="Trebuchet MS" w:hAnsi="Trebuchet MS" w:cstheme="majorHAnsi"/>
        </w:rPr>
        <w:t>Jeanine</w:t>
      </w:r>
      <w:proofErr w:type="spellEnd"/>
      <w:r w:rsidRPr="00057899">
        <w:rPr>
          <w:rFonts w:ascii="Trebuchet MS" w:hAnsi="Trebuchet MS" w:cstheme="majorHAnsi"/>
        </w:rPr>
        <w:t xml:space="preserve"> García González</w:t>
      </w:r>
      <w:r w:rsidR="005A2710" w:rsidRPr="00057899">
        <w:rPr>
          <w:rFonts w:ascii="Trebuchet MS" w:hAnsi="Trebuchet MS" w:cstheme="majorHAnsi"/>
        </w:rPr>
        <w:t>. Consejera Electoral Presidenta de la Comisión.</w:t>
      </w:r>
    </w:p>
    <w:p w14:paraId="6572B3C2" w14:textId="77777777" w:rsidR="00965034" w:rsidRPr="00057899" w:rsidRDefault="00965034" w:rsidP="009650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>Silvia Guadalupe Bustos Vásquez</w:t>
      </w:r>
      <w:r w:rsidRPr="00057899">
        <w:rPr>
          <w:rFonts w:ascii="Trebuchet MS" w:eastAsia="Arial Narrow" w:hAnsi="Trebuchet MS" w:cs="Arial Narrow"/>
        </w:rPr>
        <w:t>. Consejera Electoral integrante.</w:t>
      </w:r>
    </w:p>
    <w:p w14:paraId="1AE74A18" w14:textId="77777777" w:rsidR="005A2710" w:rsidRPr="00057899" w:rsidRDefault="001F207F" w:rsidP="00AD4C1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eastAsia="Arial Narrow" w:hAnsi="Trebuchet MS" w:cs="Arial Narrow"/>
        </w:rPr>
        <w:t>Claudia Alejandra Vargas Bautista</w:t>
      </w:r>
      <w:r w:rsidR="005A2710" w:rsidRPr="00057899">
        <w:rPr>
          <w:rFonts w:ascii="Trebuchet MS" w:hAnsi="Trebuchet MS" w:cstheme="majorHAnsi"/>
        </w:rPr>
        <w:t>. Consejera Electoral integrante.</w:t>
      </w:r>
    </w:p>
    <w:p w14:paraId="765FD958" w14:textId="7BB1D46D" w:rsidR="005A2710" w:rsidRPr="00057899" w:rsidRDefault="005A2710" w:rsidP="009650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eastAsia="Arial Narrow" w:hAnsi="Trebuchet MS" w:cs="Arial Narrow"/>
        </w:rPr>
        <w:t>R</w:t>
      </w:r>
      <w:r w:rsidR="003E2B77">
        <w:rPr>
          <w:rFonts w:ascii="Trebuchet MS" w:eastAsia="Arial Narrow" w:hAnsi="Trebuchet MS" w:cs="Arial Narrow"/>
        </w:rPr>
        <w:t>epresen</w:t>
      </w:r>
      <w:r w:rsidR="00965034">
        <w:rPr>
          <w:rFonts w:ascii="Trebuchet MS" w:eastAsia="Arial Narrow" w:hAnsi="Trebuchet MS" w:cs="Arial Narrow"/>
        </w:rPr>
        <w:t>taciones</w:t>
      </w:r>
      <w:r w:rsidRPr="00057899">
        <w:rPr>
          <w:rFonts w:ascii="Trebuchet MS" w:eastAsia="Arial Narrow" w:hAnsi="Trebuchet MS" w:cs="Arial Narrow"/>
        </w:rPr>
        <w:t xml:space="preserve"> de los partidos políticos. </w:t>
      </w:r>
    </w:p>
    <w:p w14:paraId="56220685" w14:textId="77777777" w:rsidR="005A2710" w:rsidRPr="00057899" w:rsidRDefault="005A2710" w:rsidP="009650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eastAsia="Arial Narrow" w:hAnsi="Trebuchet MS" w:cs="Arial Narrow"/>
        </w:rPr>
        <w:t xml:space="preserve">Luis Alfonso Campos Guzmán. Secretario Técnico de Comisiones. </w:t>
      </w:r>
    </w:p>
    <w:p w14:paraId="7260F867" w14:textId="77777777" w:rsidR="005A2710" w:rsidRPr="00057899" w:rsidRDefault="005A2710" w:rsidP="00965034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="Trebuchet MS" w:hAnsi="Trebuchet MS" w:cstheme="majorHAnsi"/>
        </w:rPr>
      </w:pPr>
      <w:r w:rsidRPr="00057899">
        <w:rPr>
          <w:rFonts w:ascii="Trebuchet MS" w:eastAsia="Arial Narrow" w:hAnsi="Trebuchet MS" w:cs="Arial Narrow"/>
        </w:rPr>
        <w:t>María Rosas Palacios. Directora de Igualdad de Género y No Discriminación.</w:t>
      </w:r>
    </w:p>
    <w:p w14:paraId="0D266A54" w14:textId="77777777" w:rsidR="005A2710" w:rsidRPr="00057899" w:rsidRDefault="005A2710" w:rsidP="00AD4C14">
      <w:pPr>
        <w:spacing w:line="276" w:lineRule="auto"/>
        <w:jc w:val="both"/>
        <w:rPr>
          <w:rFonts w:ascii="Trebuchet MS" w:hAnsi="Trebuchet MS" w:cstheme="majorHAnsi"/>
          <w:b/>
          <w:bCs/>
          <w:sz w:val="22"/>
          <w:szCs w:val="22"/>
        </w:rPr>
      </w:pPr>
    </w:p>
    <w:p w14:paraId="15C9C301" w14:textId="77777777" w:rsidR="005A2710" w:rsidRPr="00057899" w:rsidRDefault="005A2710" w:rsidP="00AD4C14">
      <w:pPr>
        <w:pStyle w:val="Prrafodelista"/>
        <w:numPr>
          <w:ilvl w:val="0"/>
          <w:numId w:val="1"/>
        </w:numPr>
        <w:spacing w:line="276" w:lineRule="auto"/>
        <w:ind w:hanging="1080"/>
        <w:jc w:val="both"/>
        <w:rPr>
          <w:rFonts w:ascii="Trebuchet MS" w:hAnsi="Trebuchet MS" w:cstheme="majorHAnsi"/>
          <w:b/>
          <w:bCs/>
        </w:rPr>
      </w:pPr>
      <w:r w:rsidRPr="00057899">
        <w:rPr>
          <w:rFonts w:ascii="Trebuchet MS" w:hAnsi="Trebuchet MS" w:cstheme="majorHAnsi"/>
          <w:b/>
          <w:bCs/>
        </w:rPr>
        <w:t xml:space="preserve">OBJETIVOS </w:t>
      </w:r>
    </w:p>
    <w:p w14:paraId="784AB076" w14:textId="77777777" w:rsidR="005A2710" w:rsidRPr="00057899" w:rsidRDefault="005A2710" w:rsidP="00AD4C14">
      <w:pPr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  <w:r w:rsidRPr="00057899">
        <w:rPr>
          <w:rFonts w:ascii="Trebuchet MS" w:hAnsi="Trebuchet MS" w:cstheme="majorHAnsi"/>
          <w:b/>
          <w:bCs/>
          <w:sz w:val="22"/>
          <w:szCs w:val="22"/>
        </w:rPr>
        <w:t xml:space="preserve">OBJETIVO GENERAL </w:t>
      </w:r>
    </w:p>
    <w:p w14:paraId="495F079E" w14:textId="487DE961" w:rsidR="004E3414" w:rsidRPr="00057899" w:rsidRDefault="004E3414" w:rsidP="00AD4C14">
      <w:pPr>
        <w:tabs>
          <w:tab w:val="left" w:pos="6663"/>
        </w:tabs>
        <w:spacing w:line="276" w:lineRule="auto"/>
        <w:ind w:left="360"/>
        <w:jc w:val="both"/>
        <w:rPr>
          <w:rFonts w:ascii="Trebuchet MS" w:hAnsi="Trebuchet MS" w:cstheme="majorHAnsi"/>
          <w:sz w:val="22"/>
          <w:szCs w:val="22"/>
        </w:rPr>
      </w:pPr>
      <w:r w:rsidRPr="00057899">
        <w:rPr>
          <w:rFonts w:ascii="Trebuchet MS" w:hAnsi="Trebuchet MS" w:cstheme="majorHAnsi"/>
          <w:sz w:val="22"/>
          <w:szCs w:val="22"/>
        </w:rPr>
        <w:t xml:space="preserve">Cumplimentar las resoluciones emitidas en los expedientes SG-JDC-035/2019 de la Sala Regional Guadalajara del Tribunal Electoral del Poder Judicial de la Federación; JDC-005/2019 y sus Incidentes de Inejecución e Incumplimiento, JDC-036 y ACUMULADO del Tribunal Electoral del Estado de Jalisco; y REV-005/2020 y REV-007/2020 del Consejo General de este Instituto Electoral local.  </w:t>
      </w:r>
    </w:p>
    <w:p w14:paraId="5DD3BADC" w14:textId="77777777" w:rsidR="004E3414" w:rsidRPr="00057899" w:rsidRDefault="004E3414" w:rsidP="00AD4C14">
      <w:pPr>
        <w:tabs>
          <w:tab w:val="left" w:pos="6663"/>
        </w:tabs>
        <w:spacing w:line="276" w:lineRule="auto"/>
        <w:ind w:left="360"/>
        <w:jc w:val="both"/>
        <w:rPr>
          <w:rFonts w:ascii="Trebuchet MS" w:hAnsi="Trebuchet MS" w:cstheme="majorHAnsi"/>
          <w:sz w:val="22"/>
          <w:szCs w:val="22"/>
        </w:rPr>
      </w:pPr>
    </w:p>
    <w:p w14:paraId="69110F4D" w14:textId="77777777" w:rsidR="005A2710" w:rsidRPr="00057899" w:rsidRDefault="005A2710" w:rsidP="00AD4C14">
      <w:pPr>
        <w:spacing w:line="276" w:lineRule="auto"/>
        <w:ind w:left="360"/>
        <w:jc w:val="both"/>
        <w:rPr>
          <w:rFonts w:ascii="Trebuchet MS" w:hAnsi="Trebuchet MS" w:cstheme="majorHAnsi"/>
          <w:b/>
          <w:bCs/>
          <w:sz w:val="22"/>
          <w:szCs w:val="22"/>
        </w:rPr>
      </w:pPr>
      <w:r w:rsidRPr="00057899">
        <w:rPr>
          <w:rFonts w:ascii="Trebuchet MS" w:hAnsi="Trebuchet MS" w:cstheme="majorHAnsi"/>
          <w:b/>
          <w:bCs/>
          <w:sz w:val="22"/>
          <w:szCs w:val="22"/>
        </w:rPr>
        <w:t xml:space="preserve">OBJETIVOS ESPECÍFICOS  </w:t>
      </w:r>
    </w:p>
    <w:p w14:paraId="4E84F6A8" w14:textId="77777777" w:rsidR="005A2710" w:rsidRPr="00057899" w:rsidRDefault="005A2710" w:rsidP="00AD4C14">
      <w:pPr>
        <w:pStyle w:val="Prrafodelista"/>
        <w:spacing w:line="276" w:lineRule="auto"/>
        <w:ind w:left="360"/>
        <w:jc w:val="both"/>
        <w:rPr>
          <w:rFonts w:ascii="Trebuchet MS" w:hAnsi="Trebuchet MS" w:cstheme="majorHAnsi"/>
        </w:rPr>
      </w:pPr>
    </w:p>
    <w:p w14:paraId="65538811" w14:textId="65AB0E3F" w:rsidR="00451763" w:rsidRPr="00057899" w:rsidRDefault="00451763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Dar seguimiento al desarrollo de la consulta a la Comunidad </w:t>
      </w:r>
      <w:r w:rsidR="000141CE">
        <w:rPr>
          <w:rFonts w:ascii="Trebuchet MS" w:hAnsi="Trebuchet MS" w:cstheme="majorHAnsi"/>
        </w:rPr>
        <w:t xml:space="preserve">Indígena </w:t>
      </w:r>
      <w:proofErr w:type="spellStart"/>
      <w:r w:rsidR="000141CE">
        <w:rPr>
          <w:rFonts w:ascii="Trebuchet MS" w:hAnsi="Trebuchet MS" w:cstheme="majorHAnsi"/>
        </w:rPr>
        <w:t>Wixárika</w:t>
      </w:r>
      <w:proofErr w:type="spellEnd"/>
      <w:r w:rsidR="000141CE">
        <w:rPr>
          <w:rFonts w:ascii="Trebuchet MS" w:hAnsi="Trebuchet MS" w:cstheme="majorHAnsi"/>
        </w:rPr>
        <w:t xml:space="preserve"> de Tuxpá</w:t>
      </w:r>
      <w:r w:rsidRPr="00057899">
        <w:rPr>
          <w:rFonts w:ascii="Trebuchet MS" w:hAnsi="Trebuchet MS" w:cstheme="majorHAnsi"/>
        </w:rPr>
        <w:t>n, asentada en el municipio de Bolaños, Jalisco, encaminada a establecer los elementos cualitativos y cuantitativos respecto de la transferencia de responsabilidades relacionadas con el ejercicio y administración directa de los recursos públicos que le corresponde.</w:t>
      </w:r>
    </w:p>
    <w:p w14:paraId="5097DCC6" w14:textId="77777777" w:rsidR="00451763" w:rsidRPr="00057899" w:rsidRDefault="00451763" w:rsidP="00AD4C14">
      <w:pPr>
        <w:pStyle w:val="Prrafodelista"/>
        <w:spacing w:line="276" w:lineRule="auto"/>
        <w:ind w:left="709" w:hanging="283"/>
        <w:jc w:val="both"/>
        <w:rPr>
          <w:rFonts w:ascii="Trebuchet MS" w:hAnsi="Trebuchet MS" w:cstheme="majorHAnsi"/>
        </w:rPr>
      </w:pPr>
    </w:p>
    <w:p w14:paraId="6CFD87A5" w14:textId="650EFD46" w:rsidR="00451763" w:rsidRPr="00057899" w:rsidRDefault="007B06F8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Dar seguimiento al desarrollo de la consulta a la Comunidad Indígena </w:t>
      </w:r>
      <w:proofErr w:type="spellStart"/>
      <w:r w:rsidRPr="00057899">
        <w:rPr>
          <w:rFonts w:ascii="Trebuchet MS" w:hAnsi="Trebuchet MS" w:cstheme="majorHAnsi"/>
        </w:rPr>
        <w:t>Wixá</w:t>
      </w:r>
      <w:r w:rsidR="00770CC8">
        <w:rPr>
          <w:rFonts w:ascii="Trebuchet MS" w:hAnsi="Trebuchet MS" w:cstheme="majorHAnsi"/>
        </w:rPr>
        <w:t>rika</w:t>
      </w:r>
      <w:proofErr w:type="spellEnd"/>
      <w:r w:rsidR="00770CC8">
        <w:rPr>
          <w:rFonts w:ascii="Trebuchet MS" w:hAnsi="Trebuchet MS" w:cstheme="majorHAnsi"/>
        </w:rPr>
        <w:t xml:space="preserve"> de San Sebastián </w:t>
      </w:r>
      <w:proofErr w:type="spellStart"/>
      <w:r w:rsidR="00770CC8">
        <w:rPr>
          <w:rFonts w:ascii="Trebuchet MS" w:hAnsi="Trebuchet MS" w:cstheme="majorHAnsi"/>
        </w:rPr>
        <w:t>Teponahuax</w:t>
      </w:r>
      <w:r w:rsidRPr="00057899">
        <w:rPr>
          <w:rFonts w:ascii="Trebuchet MS" w:hAnsi="Trebuchet MS" w:cstheme="majorHAnsi"/>
        </w:rPr>
        <w:t>tlán</w:t>
      </w:r>
      <w:proofErr w:type="spellEnd"/>
      <w:r w:rsidRPr="00057899">
        <w:rPr>
          <w:rFonts w:ascii="Trebuchet MS" w:hAnsi="Trebuchet MS" w:cstheme="majorHAnsi"/>
        </w:rPr>
        <w:t xml:space="preserve">, asentada en el municipio de </w:t>
      </w:r>
      <w:proofErr w:type="spellStart"/>
      <w:r w:rsidRPr="00057899">
        <w:rPr>
          <w:rFonts w:ascii="Trebuchet MS" w:hAnsi="Trebuchet MS" w:cstheme="majorHAnsi"/>
        </w:rPr>
        <w:t>Mezquitic</w:t>
      </w:r>
      <w:proofErr w:type="spellEnd"/>
      <w:r w:rsidRPr="00057899">
        <w:rPr>
          <w:rFonts w:ascii="Trebuchet MS" w:hAnsi="Trebuchet MS" w:cstheme="majorHAnsi"/>
        </w:rPr>
        <w:t>, Jalisco, encaminada a establecer el</w:t>
      </w:r>
      <w:r w:rsidR="00451763" w:rsidRPr="00057899">
        <w:rPr>
          <w:rFonts w:ascii="Trebuchet MS" w:hAnsi="Trebuchet MS" w:cstheme="majorHAnsi"/>
        </w:rPr>
        <w:t xml:space="preserve"> porcentaje de los recursos, </w:t>
      </w:r>
      <w:r w:rsidRPr="00057899">
        <w:rPr>
          <w:rFonts w:ascii="Trebuchet MS" w:hAnsi="Trebuchet MS" w:cstheme="majorHAnsi"/>
        </w:rPr>
        <w:t>las personas que lo administrará</w:t>
      </w:r>
      <w:r w:rsidR="00451763" w:rsidRPr="00057899">
        <w:rPr>
          <w:rFonts w:ascii="Trebuchet MS" w:hAnsi="Trebuchet MS" w:cstheme="majorHAnsi"/>
        </w:rPr>
        <w:t xml:space="preserve">n y su fiscalización, la forma en que serán recibidos, entre otros </w:t>
      </w:r>
      <w:r w:rsidR="00451763" w:rsidRPr="00057899">
        <w:rPr>
          <w:rFonts w:ascii="Trebuchet MS" w:hAnsi="Trebuchet MS" w:cstheme="majorHAnsi"/>
        </w:rPr>
        <w:lastRenderedPageBreak/>
        <w:t>aspectos</w:t>
      </w:r>
      <w:r w:rsidRPr="00057899">
        <w:rPr>
          <w:rFonts w:ascii="Trebuchet MS" w:hAnsi="Trebuchet MS" w:cstheme="majorHAnsi"/>
        </w:rPr>
        <w:t>,</w:t>
      </w:r>
      <w:r w:rsidR="00451763" w:rsidRPr="00057899">
        <w:rPr>
          <w:rFonts w:ascii="Trebuchet MS" w:hAnsi="Trebuchet MS" w:cstheme="majorHAnsi"/>
        </w:rPr>
        <w:t xml:space="preserve"> respecto a la transferencia de responsabilidades relacionadas con la administración directa de los recursos económicos que le </w:t>
      </w:r>
      <w:r w:rsidRPr="00057899">
        <w:rPr>
          <w:rFonts w:ascii="Trebuchet MS" w:hAnsi="Trebuchet MS" w:cstheme="majorHAnsi"/>
        </w:rPr>
        <w:t>corresponden.</w:t>
      </w:r>
    </w:p>
    <w:p w14:paraId="5549BE79" w14:textId="77777777" w:rsidR="00451763" w:rsidRPr="00057899" w:rsidRDefault="00451763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091D19C7" w14:textId="5D7B4D07" w:rsidR="00451763" w:rsidRPr="00057899" w:rsidRDefault="00F3344E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>Dar seguimiento al desarrollo de la consulta a</w:t>
      </w:r>
      <w:r w:rsidR="00451763" w:rsidRPr="00057899">
        <w:rPr>
          <w:rFonts w:ascii="Trebuchet MS" w:hAnsi="Trebuchet MS" w:cstheme="majorHAnsi"/>
        </w:rPr>
        <w:t xml:space="preserve"> la Comu</w:t>
      </w:r>
      <w:r w:rsidR="00D66265">
        <w:rPr>
          <w:rFonts w:ascii="Trebuchet MS" w:hAnsi="Trebuchet MS" w:cstheme="majorHAnsi"/>
        </w:rPr>
        <w:t xml:space="preserve">nidad Indígena </w:t>
      </w:r>
      <w:proofErr w:type="spellStart"/>
      <w:r w:rsidR="00D66265">
        <w:rPr>
          <w:rFonts w:ascii="Trebuchet MS" w:hAnsi="Trebuchet MS" w:cstheme="majorHAnsi"/>
        </w:rPr>
        <w:t>Wixárika</w:t>
      </w:r>
      <w:proofErr w:type="spellEnd"/>
      <w:r w:rsidR="00D66265">
        <w:rPr>
          <w:rFonts w:ascii="Trebuchet MS" w:hAnsi="Trebuchet MS" w:cstheme="majorHAnsi"/>
        </w:rPr>
        <w:t xml:space="preserve"> de Tuxpá</w:t>
      </w:r>
      <w:r w:rsidR="00451763" w:rsidRPr="00057899">
        <w:rPr>
          <w:rFonts w:ascii="Trebuchet MS" w:hAnsi="Trebuchet MS" w:cstheme="majorHAnsi"/>
        </w:rPr>
        <w:t xml:space="preserve">n, asentada en el municipio de Bolaños, Jalisco, </w:t>
      </w:r>
      <w:r w:rsidRPr="00057899">
        <w:rPr>
          <w:rFonts w:ascii="Trebuchet MS" w:hAnsi="Trebuchet MS" w:cstheme="majorHAnsi"/>
        </w:rPr>
        <w:t>encaminada a establecer si</w:t>
      </w:r>
      <w:r w:rsidR="00451763" w:rsidRPr="00057899">
        <w:rPr>
          <w:rFonts w:ascii="Trebuchet MS" w:hAnsi="Trebuchet MS" w:cstheme="majorHAnsi"/>
        </w:rPr>
        <w:t xml:space="preserve"> está de acuerdo en transitar de un proceso electoral bajo el sistema de partidos a un proceso de usos y costumbres</w:t>
      </w:r>
      <w:r w:rsidR="00D66265">
        <w:rPr>
          <w:rFonts w:ascii="Trebuchet MS" w:hAnsi="Trebuchet MS" w:cstheme="majorHAnsi"/>
        </w:rPr>
        <w:t xml:space="preserve"> </w:t>
      </w:r>
      <w:r w:rsidR="00D66265" w:rsidRPr="00D66265">
        <w:rPr>
          <w:rFonts w:ascii="Trebuchet MS" w:hAnsi="Trebuchet MS" w:cstheme="majorHAnsi"/>
        </w:rPr>
        <w:t>para la elección de sus autoridades municipales</w:t>
      </w:r>
      <w:r w:rsidRPr="00D66265">
        <w:rPr>
          <w:rFonts w:ascii="Trebuchet MS" w:hAnsi="Trebuchet MS" w:cstheme="majorHAnsi"/>
        </w:rPr>
        <w:t xml:space="preserve">, </w:t>
      </w:r>
      <w:r w:rsidRPr="00057899">
        <w:rPr>
          <w:rFonts w:ascii="Trebuchet MS" w:hAnsi="Trebuchet MS" w:cstheme="majorHAnsi"/>
        </w:rPr>
        <w:t>conforme con su sistema normativo interno.</w:t>
      </w:r>
    </w:p>
    <w:p w14:paraId="3C729766" w14:textId="77777777" w:rsidR="00451763" w:rsidRPr="00057899" w:rsidRDefault="00451763" w:rsidP="00AD4C14">
      <w:pPr>
        <w:pStyle w:val="Prrafodelista"/>
        <w:spacing w:line="276" w:lineRule="auto"/>
        <w:ind w:left="709" w:hanging="283"/>
        <w:rPr>
          <w:rFonts w:ascii="Trebuchet MS" w:hAnsi="Trebuchet MS" w:cstheme="majorHAnsi"/>
        </w:rPr>
      </w:pPr>
    </w:p>
    <w:p w14:paraId="66FBD272" w14:textId="285DBB33" w:rsidR="00451763" w:rsidRPr="00057899" w:rsidRDefault="002C7329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Dar seguimiento a los trabajos de </w:t>
      </w:r>
      <w:proofErr w:type="spellStart"/>
      <w:r w:rsidRPr="00057899">
        <w:rPr>
          <w:rFonts w:ascii="Trebuchet MS" w:hAnsi="Trebuchet MS" w:cstheme="majorHAnsi"/>
        </w:rPr>
        <w:t>d</w:t>
      </w:r>
      <w:r w:rsidR="00451763" w:rsidRPr="00057899">
        <w:rPr>
          <w:rFonts w:ascii="Trebuchet MS" w:hAnsi="Trebuchet MS" w:cstheme="majorHAnsi"/>
        </w:rPr>
        <w:t>ictaminación</w:t>
      </w:r>
      <w:proofErr w:type="spellEnd"/>
      <w:r w:rsidR="00451763" w:rsidRPr="00057899">
        <w:rPr>
          <w:rFonts w:ascii="Trebuchet MS" w:hAnsi="Trebuchet MS" w:cstheme="majorHAnsi"/>
        </w:rPr>
        <w:t xml:space="preserve"> sobre la viabilidad de realizar una consulta a la Comunidad Indígena de Chacala, asentada en el municipio de Cabo Corrientes, Jalisco, encaminada a determinar si la comunidad está de acuerdo en la obtención de su reconocimiento como comunidad indígena y con ello, elegir a sus autoridades conforme a su sistema normativo interno (elecciones por usos y costumbres).</w:t>
      </w:r>
      <w:r w:rsidR="00451763" w:rsidRPr="00057899">
        <w:t xml:space="preserve"> </w:t>
      </w:r>
    </w:p>
    <w:p w14:paraId="62808801" w14:textId="77777777" w:rsidR="002C7329" w:rsidRPr="00057899" w:rsidRDefault="002C7329" w:rsidP="00AD4C14">
      <w:pPr>
        <w:pStyle w:val="Prrafodelista"/>
        <w:spacing w:line="276" w:lineRule="auto"/>
        <w:rPr>
          <w:rFonts w:ascii="Trebuchet MS" w:hAnsi="Trebuchet MS" w:cstheme="majorHAnsi"/>
        </w:rPr>
      </w:pPr>
    </w:p>
    <w:p w14:paraId="1F73638B" w14:textId="095C0F9F" w:rsidR="00D47DF6" w:rsidRPr="00057899" w:rsidRDefault="00344562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Coordinar los trabajos relacionados a los estudios concernientes e implementación de </w:t>
      </w:r>
      <w:r w:rsidR="00451763" w:rsidRPr="00057899">
        <w:rPr>
          <w:rFonts w:ascii="Trebuchet MS" w:hAnsi="Trebuchet MS" w:cstheme="majorHAnsi"/>
        </w:rPr>
        <w:t xml:space="preserve">medidas compensatorias en materia indígena que sean aplicables en el siguiente proceso electoral local ordinario, para el caso de registro y postulación de candidaturas al Congreso y Ayuntamientos del estado de Jalisco, en que ello sea viable. </w:t>
      </w:r>
    </w:p>
    <w:p w14:paraId="16E3A421" w14:textId="77777777" w:rsidR="00344562" w:rsidRPr="00057899" w:rsidRDefault="00344562" w:rsidP="00AD4C14">
      <w:pPr>
        <w:pStyle w:val="Prrafodelista"/>
        <w:spacing w:line="276" w:lineRule="auto"/>
        <w:rPr>
          <w:rFonts w:ascii="Trebuchet MS" w:hAnsi="Trebuchet MS" w:cstheme="majorHAnsi"/>
        </w:rPr>
      </w:pPr>
    </w:p>
    <w:p w14:paraId="221A67A9" w14:textId="77777777" w:rsidR="00344562" w:rsidRPr="00057899" w:rsidRDefault="00344562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>Generar sinergias con otras comisiones y áreas técnicas de Instituto Electoral, a efecto de c</w:t>
      </w:r>
      <w:r w:rsidR="00D47DF6" w:rsidRPr="00057899">
        <w:rPr>
          <w:rFonts w:ascii="Trebuchet MS" w:hAnsi="Trebuchet MS" w:cstheme="majorHAnsi"/>
        </w:rPr>
        <w:t xml:space="preserve">oadyuvar, proponer y dar seguimiento a las acciones para la consecución de </w:t>
      </w:r>
      <w:r w:rsidRPr="00057899">
        <w:rPr>
          <w:rFonts w:ascii="Trebuchet MS" w:hAnsi="Trebuchet MS" w:cstheme="majorHAnsi"/>
        </w:rPr>
        <w:t>una cultura de inclusión, interculturalidad y</w:t>
      </w:r>
      <w:r w:rsidR="00D47DF6" w:rsidRPr="00057899">
        <w:rPr>
          <w:rFonts w:ascii="Trebuchet MS" w:hAnsi="Trebuchet MS" w:cstheme="majorHAnsi"/>
        </w:rPr>
        <w:t xml:space="preserve"> no discriminación en el quehacer institucional y para fortalecer una cultura democrática que garantice el acceso y ejercicio efectivo de los derechos político – electorales </w:t>
      </w:r>
      <w:r w:rsidRPr="00057899">
        <w:rPr>
          <w:rFonts w:ascii="Trebuchet MS" w:hAnsi="Trebuchet MS" w:cstheme="majorHAnsi"/>
        </w:rPr>
        <w:t>de personas indígenas</w:t>
      </w:r>
      <w:r w:rsidR="00D47DF6" w:rsidRPr="00057899">
        <w:rPr>
          <w:rFonts w:ascii="Trebuchet MS" w:hAnsi="Trebuchet MS" w:cstheme="majorHAnsi"/>
        </w:rPr>
        <w:t xml:space="preserve"> de manera sustantiva.</w:t>
      </w:r>
    </w:p>
    <w:p w14:paraId="3EFDD7C4" w14:textId="77777777" w:rsidR="00344562" w:rsidRPr="00057899" w:rsidRDefault="00344562" w:rsidP="00AD4C14">
      <w:pPr>
        <w:pStyle w:val="Prrafodelista"/>
        <w:spacing w:line="276" w:lineRule="auto"/>
        <w:rPr>
          <w:rFonts w:ascii="Trebuchet MS" w:hAnsi="Trebuchet MS" w:cstheme="majorHAnsi"/>
        </w:rPr>
      </w:pPr>
    </w:p>
    <w:p w14:paraId="6DB913D6" w14:textId="6A078ECA" w:rsidR="005A2710" w:rsidRPr="00057899" w:rsidRDefault="005A2710" w:rsidP="00AD4C14">
      <w:pPr>
        <w:pStyle w:val="Prrafodelista"/>
        <w:numPr>
          <w:ilvl w:val="0"/>
          <w:numId w:val="6"/>
        </w:numPr>
        <w:spacing w:line="276" w:lineRule="auto"/>
        <w:ind w:left="709" w:hanging="283"/>
        <w:jc w:val="both"/>
        <w:rPr>
          <w:rFonts w:ascii="Trebuchet MS" w:hAnsi="Trebuchet MS" w:cstheme="majorHAnsi"/>
        </w:rPr>
      </w:pPr>
      <w:r w:rsidRPr="00057899">
        <w:rPr>
          <w:rFonts w:ascii="Trebuchet MS" w:hAnsi="Trebuchet MS" w:cstheme="majorHAnsi"/>
        </w:rPr>
        <w:t xml:space="preserve">Impulsar alianzas y mecanismos de coordinación interinstitucional y con organizaciones de la sociedad civil para realizar proyectos y ampliar el impacto de las actividades en materia </w:t>
      </w:r>
      <w:r w:rsidR="00344562" w:rsidRPr="00057899">
        <w:rPr>
          <w:rFonts w:ascii="Trebuchet MS" w:hAnsi="Trebuchet MS" w:cstheme="majorHAnsi"/>
        </w:rPr>
        <w:t>indígena</w:t>
      </w:r>
      <w:r w:rsidRPr="00057899">
        <w:rPr>
          <w:rFonts w:ascii="Trebuchet MS" w:hAnsi="Trebuchet MS" w:cstheme="majorHAnsi"/>
        </w:rPr>
        <w:t xml:space="preserve"> que promueva el Instituto Electoral.</w:t>
      </w:r>
    </w:p>
    <w:p w14:paraId="6F1C3820" w14:textId="77777777" w:rsidR="00D47DF6" w:rsidRPr="00D47DF6" w:rsidRDefault="00D47DF6" w:rsidP="00AD4C14">
      <w:pPr>
        <w:pStyle w:val="Prrafodelista"/>
        <w:spacing w:line="276" w:lineRule="auto"/>
        <w:rPr>
          <w:rFonts w:ascii="Trebuchet MS" w:hAnsi="Trebuchet MS" w:cstheme="majorHAnsi"/>
        </w:rPr>
      </w:pPr>
    </w:p>
    <w:p w14:paraId="08EFB5C0" w14:textId="77777777" w:rsidR="00D47DF6" w:rsidRPr="009C0E38" w:rsidRDefault="00D47DF6" w:rsidP="00AD4C14">
      <w:pPr>
        <w:pStyle w:val="Prrafodelista"/>
        <w:spacing w:line="276" w:lineRule="auto"/>
        <w:jc w:val="both"/>
        <w:rPr>
          <w:rFonts w:ascii="Trebuchet MS" w:hAnsi="Trebuchet MS" w:cstheme="majorHAnsi"/>
        </w:rPr>
      </w:pPr>
    </w:p>
    <w:p w14:paraId="2D926EC7" w14:textId="6EB492C9" w:rsidR="005A2710" w:rsidRDefault="00E52648" w:rsidP="00AD4C14">
      <w:pPr>
        <w:pStyle w:val="Prrafodelista"/>
        <w:numPr>
          <w:ilvl w:val="0"/>
          <w:numId w:val="1"/>
        </w:numPr>
        <w:spacing w:line="276" w:lineRule="auto"/>
        <w:ind w:hanging="1080"/>
        <w:jc w:val="both"/>
        <w:rPr>
          <w:rFonts w:ascii="Trebuchet MS" w:hAnsi="Trebuchet MS" w:cstheme="majorHAnsi"/>
          <w:b/>
          <w:bCs/>
        </w:rPr>
      </w:pPr>
      <w:r>
        <w:rPr>
          <w:rFonts w:ascii="Trebuchet MS" w:hAnsi="Trebuchet MS" w:cstheme="majorHAnsi"/>
          <w:b/>
          <w:bCs/>
        </w:rPr>
        <w:t xml:space="preserve">AGENDA CONFORME CON LOS </w:t>
      </w:r>
      <w:r w:rsidR="005A2710" w:rsidRPr="005774AB">
        <w:rPr>
          <w:rFonts w:ascii="Trebuchet MS" w:hAnsi="Trebuchet MS" w:cstheme="majorHAnsi"/>
          <w:b/>
          <w:bCs/>
        </w:rPr>
        <w:t xml:space="preserve">EJES TEMÁTICOS </w:t>
      </w:r>
    </w:p>
    <w:p w14:paraId="4AA0345B" w14:textId="77777777" w:rsidR="007B3A3F" w:rsidRDefault="007B3A3F" w:rsidP="007B3A3F">
      <w:pPr>
        <w:pStyle w:val="Prrafodelista"/>
        <w:spacing w:line="276" w:lineRule="auto"/>
        <w:ind w:left="1080"/>
        <w:jc w:val="both"/>
        <w:rPr>
          <w:rFonts w:ascii="Trebuchet MS" w:hAnsi="Trebuchet MS" w:cstheme="majorHAnsi"/>
          <w:b/>
          <w:bCs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055"/>
        <w:gridCol w:w="1928"/>
        <w:gridCol w:w="1580"/>
        <w:gridCol w:w="1574"/>
        <w:gridCol w:w="1696"/>
      </w:tblGrid>
      <w:tr w:rsidR="007B3A3F" w:rsidRPr="00E73ABC" w14:paraId="5802598F" w14:textId="7FBAFDBF" w:rsidTr="00514116">
        <w:tc>
          <w:tcPr>
            <w:tcW w:w="0" w:type="auto"/>
            <w:shd w:val="clear" w:color="auto" w:fill="7030A0"/>
            <w:vAlign w:val="center"/>
          </w:tcPr>
          <w:p w14:paraId="5B1A3A45" w14:textId="79E01499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E73ABC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Proyecto</w:t>
            </w:r>
          </w:p>
        </w:tc>
        <w:tc>
          <w:tcPr>
            <w:tcW w:w="0" w:type="auto"/>
            <w:shd w:val="clear" w:color="auto" w:fill="7030A0"/>
            <w:vAlign w:val="center"/>
          </w:tcPr>
          <w:p w14:paraId="183A4E86" w14:textId="248326B2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E73ABC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Actividades</w:t>
            </w:r>
          </w:p>
        </w:tc>
        <w:tc>
          <w:tcPr>
            <w:tcW w:w="0" w:type="auto"/>
            <w:shd w:val="clear" w:color="auto" w:fill="7030A0"/>
            <w:vAlign w:val="center"/>
          </w:tcPr>
          <w:p w14:paraId="0FE31BE9" w14:textId="567050E8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E73ABC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Periodo de ejecución</w:t>
            </w:r>
          </w:p>
        </w:tc>
        <w:tc>
          <w:tcPr>
            <w:tcW w:w="0" w:type="auto"/>
            <w:shd w:val="clear" w:color="auto" w:fill="7030A0"/>
            <w:vAlign w:val="center"/>
          </w:tcPr>
          <w:p w14:paraId="16B27A16" w14:textId="2DDCB0BF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E73ABC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Producto</w:t>
            </w:r>
          </w:p>
        </w:tc>
        <w:tc>
          <w:tcPr>
            <w:tcW w:w="0" w:type="auto"/>
            <w:shd w:val="clear" w:color="auto" w:fill="7030A0"/>
            <w:vAlign w:val="center"/>
          </w:tcPr>
          <w:p w14:paraId="71CA7EC0" w14:textId="77777777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</w:p>
          <w:p w14:paraId="43A591A8" w14:textId="06754869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center"/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</w:pPr>
            <w:r w:rsidRPr="00E73ABC">
              <w:rPr>
                <w:rFonts w:ascii="Trebuchet MS" w:hAnsi="Trebuchet MS" w:cstheme="majorHAnsi"/>
                <w:b/>
                <w:bCs/>
                <w:color w:val="FFFFFF" w:themeColor="background1"/>
                <w:vertAlign w:val="superscript"/>
              </w:rPr>
              <w:t>Marco jurídico</w:t>
            </w:r>
          </w:p>
        </w:tc>
      </w:tr>
      <w:tr w:rsidR="007B3A3F" w:rsidRPr="00E73ABC" w14:paraId="5C5024E2" w14:textId="41D1AAE1" w:rsidTr="00514116">
        <w:tc>
          <w:tcPr>
            <w:tcW w:w="0" w:type="auto"/>
          </w:tcPr>
          <w:p w14:paraId="6D32AC4C" w14:textId="78D7AE91" w:rsidR="007B3A3F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</w:t>
            </w:r>
            <w:r w:rsidR="007B3A3F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genda de trabajo de la Comisión. </w:t>
            </w:r>
          </w:p>
        </w:tc>
        <w:tc>
          <w:tcPr>
            <w:tcW w:w="0" w:type="auto"/>
          </w:tcPr>
          <w:p w14:paraId="4C08C849" w14:textId="7EFCE379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Proyección y calendarización integral de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las actividades de la Comisión</w:t>
            </w:r>
            <w:r w:rsidR="004D5573" w:rsidRPr="00E73ABC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0" w:type="auto"/>
          </w:tcPr>
          <w:p w14:paraId="07F868EC" w14:textId="13C3ACA2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Marzo 2022</w:t>
            </w:r>
          </w:p>
        </w:tc>
        <w:tc>
          <w:tcPr>
            <w:tcW w:w="0" w:type="auto"/>
          </w:tcPr>
          <w:p w14:paraId="5FDDD563" w14:textId="46AFA838" w:rsidR="007B3A3F" w:rsidRPr="00E73ABC" w:rsidRDefault="007B3A3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Agenda de Trabajo</w:t>
            </w:r>
            <w:r w:rsidR="004D5573" w:rsidRPr="00E73ABC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0" w:type="auto"/>
          </w:tcPr>
          <w:p w14:paraId="23955334" w14:textId="16D5DF0A" w:rsidR="007B3A3F" w:rsidRPr="00E73ABC" w:rsidRDefault="003E7C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Artículos 134, fracción II, del Código Electoral del Estado de Jalisco; y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artículo 32, numeral 1, fracción I del Reglamento Interior del Instituto Electoral y de Participación Ciudadana del Estado de Jalisco. </w:t>
            </w:r>
          </w:p>
        </w:tc>
      </w:tr>
      <w:tr w:rsidR="007B3A3F" w:rsidRPr="00E73ABC" w14:paraId="24E4D6A5" w14:textId="32A5C716" w:rsidTr="00514116">
        <w:tc>
          <w:tcPr>
            <w:tcW w:w="0" w:type="auto"/>
          </w:tcPr>
          <w:p w14:paraId="09A3DDDA" w14:textId="7433B7B0" w:rsidR="007B3A3F" w:rsidRPr="00E73ABC" w:rsidRDefault="00C471E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Sesiones de la Comisión. </w:t>
            </w:r>
          </w:p>
        </w:tc>
        <w:tc>
          <w:tcPr>
            <w:tcW w:w="0" w:type="auto"/>
          </w:tcPr>
          <w:p w14:paraId="6E82AF50" w14:textId="4317B162" w:rsidR="007B3A3F" w:rsidRPr="00E73ABC" w:rsidRDefault="004D557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Calendarización de las actividades de la Comisión.</w:t>
            </w:r>
          </w:p>
        </w:tc>
        <w:tc>
          <w:tcPr>
            <w:tcW w:w="0" w:type="auto"/>
          </w:tcPr>
          <w:p w14:paraId="5EBF38A3" w14:textId="57EE894F" w:rsidR="001F25CC" w:rsidRPr="00E73ABC" w:rsidRDefault="001F25CC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1r</w:t>
            </w:r>
            <w:r w:rsidR="00DF4550"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a sesión ordinaria </w:t>
            </w:r>
          </w:p>
          <w:p w14:paraId="75168220" w14:textId="1B693602" w:rsidR="00DF4550" w:rsidRPr="00E73ABC" w:rsidRDefault="00DF4550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3 de marzo</w:t>
            </w:r>
          </w:p>
          <w:p w14:paraId="01D8DA5D" w14:textId="77777777" w:rsidR="001F25CC" w:rsidRPr="00E73ABC" w:rsidRDefault="001F25CC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68ECAA71" w14:textId="14E89F2D" w:rsidR="001F25CC" w:rsidRPr="00E73ABC" w:rsidRDefault="001F25CC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2da sesión ordinaria 25 de mayo</w:t>
            </w:r>
          </w:p>
          <w:p w14:paraId="4E5C7F81" w14:textId="77777777" w:rsidR="00110E71" w:rsidRPr="00E73ABC" w:rsidRDefault="00110E71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55CB75A" w14:textId="77777777" w:rsidR="001F25CC" w:rsidRPr="00E73ABC" w:rsidRDefault="001F25CC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3ra sesión ordinaria</w:t>
            </w:r>
          </w:p>
          <w:p w14:paraId="5A539A19" w14:textId="20C1C985" w:rsidR="001F25CC" w:rsidRPr="00E73ABC" w:rsidRDefault="001F25CC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25 de agosto</w:t>
            </w:r>
          </w:p>
          <w:p w14:paraId="4DF5CB19" w14:textId="77777777" w:rsidR="001F25CC" w:rsidRPr="00E73ABC" w:rsidRDefault="001F25CC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36C114F" w14:textId="77777777" w:rsidR="001F25CC" w:rsidRPr="00E73ABC" w:rsidRDefault="001F25CC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4ta sesión ordinaria</w:t>
            </w:r>
          </w:p>
          <w:p w14:paraId="07CE13FB" w14:textId="77777777" w:rsidR="007B3A3F" w:rsidRPr="00E73ABC" w:rsidRDefault="001F25CC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25 de noviembre</w:t>
            </w:r>
          </w:p>
          <w:p w14:paraId="34C91065" w14:textId="77777777" w:rsidR="001F25CC" w:rsidRPr="00E73ABC" w:rsidRDefault="001F25CC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68C75F8" w14:textId="1FE573BF" w:rsidR="001F25CC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Adicionalmente,</w:t>
            </w:r>
            <w:r w:rsidR="001F25CC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se celebrarán las sesiones extraordinarias cu</w:t>
            </w:r>
            <w:r w:rsidR="00492006" w:rsidRPr="00E73ABC">
              <w:rPr>
                <w:rFonts w:ascii="Trebuchet MS" w:hAnsi="Trebuchet MS" w:cstheme="majorHAnsi"/>
                <w:bCs/>
                <w:vertAlign w:val="superscript"/>
              </w:rPr>
              <w:t>ando lo considere conveniente</w:t>
            </w:r>
            <w:r w:rsidR="001F25CC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la Presidenta y/o sus integrantes.</w:t>
            </w:r>
          </w:p>
        </w:tc>
        <w:tc>
          <w:tcPr>
            <w:tcW w:w="0" w:type="auto"/>
          </w:tcPr>
          <w:p w14:paraId="75965FC4" w14:textId="697D5260" w:rsidR="007B3A3F" w:rsidRPr="00E73ABC" w:rsidRDefault="001F25CC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Actas de sesiones. </w:t>
            </w:r>
          </w:p>
        </w:tc>
        <w:tc>
          <w:tcPr>
            <w:tcW w:w="0" w:type="auto"/>
          </w:tcPr>
          <w:p w14:paraId="1CD35EA0" w14:textId="33CF1D78" w:rsidR="007B3A3F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Artículo 36 del Reglamento Interior del Instituto Electoral y de Participación Ciudadana del Estado de Jalisco.</w:t>
            </w:r>
          </w:p>
        </w:tc>
      </w:tr>
      <w:tr w:rsidR="00110E71" w:rsidRPr="00E73ABC" w14:paraId="44298B61" w14:textId="77777777" w:rsidTr="00514116">
        <w:tc>
          <w:tcPr>
            <w:tcW w:w="0" w:type="auto"/>
          </w:tcPr>
          <w:p w14:paraId="538BEBBA" w14:textId="7B8AEB13" w:rsidR="00110E71" w:rsidRPr="00E73ABC" w:rsidRDefault="00110E7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Informes de la Dirección Jurídica y de la Dirección de Igualdad de Género y No Discriminación. </w:t>
            </w:r>
          </w:p>
        </w:tc>
        <w:tc>
          <w:tcPr>
            <w:tcW w:w="0" w:type="auto"/>
          </w:tcPr>
          <w:p w14:paraId="39DF12B7" w14:textId="388B2D7A" w:rsidR="00110E71" w:rsidRPr="00E73ABC" w:rsidRDefault="00110E7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Recepción de informes de actividades. </w:t>
            </w:r>
          </w:p>
        </w:tc>
        <w:tc>
          <w:tcPr>
            <w:tcW w:w="0" w:type="auto"/>
          </w:tcPr>
          <w:p w14:paraId="21FAE5CC" w14:textId="24FE8DAF" w:rsidR="00110E71" w:rsidRPr="00E73ABC" w:rsidRDefault="00110E71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De forma ordinaria los días 25 de mayo; 25 de agosto y 25 de noviembre. </w:t>
            </w:r>
          </w:p>
          <w:p w14:paraId="314E851F" w14:textId="77777777" w:rsidR="00110E71" w:rsidRPr="00E73ABC" w:rsidRDefault="00110E7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DDDCFA5" w14:textId="14FEAA5B" w:rsidR="00110E71" w:rsidRPr="00E73ABC" w:rsidRDefault="00110E71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Adicionalmente, las Direcciones emitirán los informes dictámenes, datos, documentos y opiniones que les sean solicitados por la Comisión cuando lo considere conveniente la Presidenta y/o sus integrantes.</w:t>
            </w:r>
          </w:p>
        </w:tc>
        <w:tc>
          <w:tcPr>
            <w:tcW w:w="0" w:type="auto"/>
          </w:tcPr>
          <w:p w14:paraId="0173CCA1" w14:textId="73029FD6" w:rsidR="00110E71" w:rsidRPr="00E73ABC" w:rsidRDefault="00110E7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Informes de actividades y oficios con los soportes documentales correspondientes,  según corresponda. </w:t>
            </w:r>
          </w:p>
        </w:tc>
        <w:tc>
          <w:tcPr>
            <w:tcW w:w="0" w:type="auto"/>
          </w:tcPr>
          <w:p w14:paraId="527DEE3D" w14:textId="376A10E4" w:rsidR="00110E71" w:rsidRPr="00E73ABC" w:rsidRDefault="00110E7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Artículo 13, fracciones VI y XVII del Reglamento Interior del Instituto Electoral y de Participación Ciudadana del Estado de Jalisco.</w:t>
            </w:r>
          </w:p>
        </w:tc>
      </w:tr>
      <w:tr w:rsidR="007B3A3F" w:rsidRPr="00E73ABC" w14:paraId="694D697E" w14:textId="73E1EC79" w:rsidTr="00514116">
        <w:tc>
          <w:tcPr>
            <w:tcW w:w="0" w:type="auto"/>
          </w:tcPr>
          <w:p w14:paraId="7A0B35E7" w14:textId="4CAE7CCE" w:rsidR="007B3A3F" w:rsidRPr="00E73ABC" w:rsidRDefault="00AB2948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Consulta a la Comu</w:t>
            </w:r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nidad Indígena </w:t>
            </w:r>
            <w:proofErr w:type="spellStart"/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>Wixárika</w:t>
            </w:r>
            <w:proofErr w:type="spellEnd"/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de Tuxpá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n,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asentada en el municipio de Bolaños, Jalisco, encaminada a establecer los elementos cualitativos y cuantitativos respecto de la transferencia de responsabilidades relacionadas con el ejercicio y administración directa de los recursos públicos que le corresponde.</w:t>
            </w:r>
          </w:p>
        </w:tc>
        <w:tc>
          <w:tcPr>
            <w:tcW w:w="0" w:type="auto"/>
          </w:tcPr>
          <w:p w14:paraId="1B1FE771" w14:textId="7778BF68" w:rsidR="007B3A3F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Dar seguimiento al desarrollo de la consulta.</w:t>
            </w:r>
          </w:p>
        </w:tc>
        <w:tc>
          <w:tcPr>
            <w:tcW w:w="0" w:type="auto"/>
          </w:tcPr>
          <w:p w14:paraId="31FE8BBB" w14:textId="08441341" w:rsidR="007B3A3F" w:rsidRPr="00E73ABC" w:rsidRDefault="00AB3B3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Marzo 2022 a febrero 2023. </w:t>
            </w:r>
          </w:p>
        </w:tc>
        <w:tc>
          <w:tcPr>
            <w:tcW w:w="0" w:type="auto"/>
          </w:tcPr>
          <w:p w14:paraId="0D4348D2" w14:textId="1BFF9F70" w:rsidR="007B3A3F" w:rsidRPr="00E73ABC" w:rsidRDefault="00F765A0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Actas de sesiones, mesas de trabajo, 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oficialías electorales, oficios de gestión y solicitudes de información, acuerdos, constancias de notificación.  </w:t>
            </w:r>
          </w:p>
        </w:tc>
        <w:tc>
          <w:tcPr>
            <w:tcW w:w="0" w:type="auto"/>
          </w:tcPr>
          <w:p w14:paraId="3D39E1AE" w14:textId="2B83834D" w:rsidR="007B3A3F" w:rsidRPr="00E73ABC" w:rsidRDefault="00AB2948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JDC-005/2019 y sus Incidentes de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Inejecución e Incumplimiento, del Tribunal Electoral del Estado de Jalisco.</w:t>
            </w:r>
          </w:p>
        </w:tc>
      </w:tr>
      <w:tr w:rsidR="007B3A3F" w:rsidRPr="00E73ABC" w14:paraId="5A863C53" w14:textId="7093B6A3" w:rsidTr="00514116">
        <w:tc>
          <w:tcPr>
            <w:tcW w:w="0" w:type="auto"/>
          </w:tcPr>
          <w:p w14:paraId="59D4F25F" w14:textId="706DC5BD" w:rsidR="007B3A3F" w:rsidRPr="00E73ABC" w:rsidRDefault="007D49C6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Consulta a la Comunidad Indígena </w:t>
            </w:r>
            <w:proofErr w:type="spellStart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Wixá</w:t>
            </w:r>
            <w:r w:rsidR="00770CC8" w:rsidRPr="00E73ABC">
              <w:rPr>
                <w:rFonts w:ascii="Trebuchet MS" w:hAnsi="Trebuchet MS" w:cstheme="majorHAnsi"/>
                <w:bCs/>
                <w:vertAlign w:val="superscript"/>
              </w:rPr>
              <w:t>rika</w:t>
            </w:r>
            <w:proofErr w:type="spellEnd"/>
            <w:r w:rsidR="00770CC8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de San Sebastián </w:t>
            </w:r>
            <w:proofErr w:type="spellStart"/>
            <w:r w:rsidR="00770CC8" w:rsidRPr="00E73ABC">
              <w:rPr>
                <w:rFonts w:ascii="Trebuchet MS" w:hAnsi="Trebuchet MS" w:cstheme="majorHAnsi"/>
                <w:bCs/>
                <w:vertAlign w:val="superscript"/>
              </w:rPr>
              <w:t>Teponahuax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>tlán</w:t>
            </w:r>
            <w:proofErr w:type="spellEnd"/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, asentada en el municipio de </w:t>
            </w:r>
            <w:proofErr w:type="spellStart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Mezquitic</w:t>
            </w:r>
            <w:proofErr w:type="spellEnd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, Jalisco, encaminada a establecer el porcentaje de los recursos, las personas que lo administrarán y su fiscalización, la forma en que serán recibidos, entre otros aspectos, respecto a la transferencia de responsabilidades relacionadas con la administración directa de los recursos económicos que le corresponden.</w:t>
            </w:r>
          </w:p>
        </w:tc>
        <w:tc>
          <w:tcPr>
            <w:tcW w:w="0" w:type="auto"/>
          </w:tcPr>
          <w:p w14:paraId="5962FA0E" w14:textId="7D773F91" w:rsidR="007B3A3F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Dar seguimiento al desarrollo de la consulta.</w:t>
            </w:r>
          </w:p>
        </w:tc>
        <w:tc>
          <w:tcPr>
            <w:tcW w:w="0" w:type="auto"/>
          </w:tcPr>
          <w:p w14:paraId="451FD93B" w14:textId="10579E32" w:rsidR="007B3A3F" w:rsidRPr="00E73ABC" w:rsidRDefault="00AB3B3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</w:tc>
        <w:tc>
          <w:tcPr>
            <w:tcW w:w="0" w:type="auto"/>
          </w:tcPr>
          <w:p w14:paraId="71DD86B8" w14:textId="79E725C5" w:rsidR="007B3A3F" w:rsidRPr="00E73ABC" w:rsidRDefault="00F43F3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Actas de sesiones, mesas de trabajo,  oficialías electorales, oficios de gestión y solicitudes de información, acuerdos, constancias de notificación.  </w:t>
            </w:r>
          </w:p>
        </w:tc>
        <w:tc>
          <w:tcPr>
            <w:tcW w:w="0" w:type="auto"/>
          </w:tcPr>
          <w:p w14:paraId="6DD270AA" w14:textId="6FFEE439" w:rsidR="007B3A3F" w:rsidRPr="00E73ABC" w:rsidRDefault="007D49C6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SG-JDC-035/2019 de la Sala Regional Guadalajara del Tribunal Electoral del Poder Judicial de la Federación. </w:t>
            </w:r>
          </w:p>
        </w:tc>
      </w:tr>
      <w:tr w:rsidR="00AB2948" w:rsidRPr="00E73ABC" w14:paraId="6ED68525" w14:textId="77777777" w:rsidTr="00514116">
        <w:tc>
          <w:tcPr>
            <w:tcW w:w="0" w:type="auto"/>
          </w:tcPr>
          <w:p w14:paraId="2D4B773A" w14:textId="06086BED" w:rsidR="00AB2948" w:rsidRPr="00E73ABC" w:rsidRDefault="00CC245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Consulta a la Comu</w:t>
            </w:r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nidad Indígena </w:t>
            </w:r>
            <w:proofErr w:type="spellStart"/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>Wixárika</w:t>
            </w:r>
            <w:proofErr w:type="spellEnd"/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de Tuxpá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>n, asentada en el municipio de Bolaños, Jalisco, encaminada a establecer si está de acuerdo en transitar de un proceso electoral bajo el sistema de partidos a un proceso de usos y costumbres</w:t>
            </w:r>
            <w:r w:rsidR="0000317A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</w:t>
            </w:r>
            <w:r w:rsidR="0000317A" w:rsidRPr="00E73ABC">
              <w:rPr>
                <w:rFonts w:ascii="Trebuchet MS" w:hAnsi="Trebuchet MS" w:cstheme="majorHAnsi"/>
                <w:vertAlign w:val="superscript"/>
              </w:rPr>
              <w:t>para la elección de sus autoridades municipales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>, conforme con su sistema normativo interno.</w:t>
            </w:r>
          </w:p>
        </w:tc>
        <w:tc>
          <w:tcPr>
            <w:tcW w:w="0" w:type="auto"/>
          </w:tcPr>
          <w:p w14:paraId="4329B50E" w14:textId="62CE8D04" w:rsidR="00AB2948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Dar seguimiento al desarrollo de la consulta.</w:t>
            </w:r>
          </w:p>
        </w:tc>
        <w:tc>
          <w:tcPr>
            <w:tcW w:w="0" w:type="auto"/>
          </w:tcPr>
          <w:p w14:paraId="3213A16B" w14:textId="0C5C9A31" w:rsidR="00AB2948" w:rsidRPr="00E73ABC" w:rsidRDefault="00AB3B3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</w:tc>
        <w:tc>
          <w:tcPr>
            <w:tcW w:w="0" w:type="auto"/>
          </w:tcPr>
          <w:p w14:paraId="36245CB7" w14:textId="33A0DF2B" w:rsidR="00AB2948" w:rsidRPr="00E73ABC" w:rsidRDefault="00F43F3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Actas de sesiones, mesas de trabajo,  oficialías electorales, oficios de gestión y solicitudes de información, acuerdos, constancias de notificación.  </w:t>
            </w:r>
          </w:p>
        </w:tc>
        <w:tc>
          <w:tcPr>
            <w:tcW w:w="0" w:type="auto"/>
          </w:tcPr>
          <w:p w14:paraId="2C059FF7" w14:textId="736A949C" w:rsidR="00AB2948" w:rsidRPr="00E73ABC" w:rsidRDefault="00CC245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REV-005/2020 del Consejo General de este Instituto Electoral local.</w:t>
            </w:r>
          </w:p>
        </w:tc>
      </w:tr>
      <w:tr w:rsidR="00AB2948" w:rsidRPr="00E73ABC" w14:paraId="151FFC56" w14:textId="77777777" w:rsidTr="00514116">
        <w:tc>
          <w:tcPr>
            <w:tcW w:w="0" w:type="auto"/>
          </w:tcPr>
          <w:p w14:paraId="2D6E9DF9" w14:textId="25B919A1" w:rsidR="00AB2948" w:rsidRPr="00E73ABC" w:rsidRDefault="00CC245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Trabajos de </w:t>
            </w:r>
            <w:proofErr w:type="spellStart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dictaminación</w:t>
            </w:r>
            <w:proofErr w:type="spellEnd"/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sobre la viabilidad de realizar una consulta a la Comunidad Indígena de Chacala, asentada en el municipio de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Cabo Corrientes, Jalisco, encaminada a determinar si la comunidad está de acuerdo en la obtención de su reconocimiento como comunidad indígena y con ello, elegir a sus autoridades conforme a su sistema normativo interno (elecciones por usos y costumbres).</w:t>
            </w:r>
          </w:p>
        </w:tc>
        <w:tc>
          <w:tcPr>
            <w:tcW w:w="0" w:type="auto"/>
          </w:tcPr>
          <w:p w14:paraId="07AF2D88" w14:textId="72A30ED4" w:rsidR="00AB2948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Dar seguimiento a los trabajos de </w:t>
            </w:r>
            <w:proofErr w:type="spellStart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dictaminación</w:t>
            </w:r>
            <w:proofErr w:type="spellEnd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</w:tc>
        <w:tc>
          <w:tcPr>
            <w:tcW w:w="0" w:type="auto"/>
          </w:tcPr>
          <w:p w14:paraId="6672663D" w14:textId="5793FBDA" w:rsidR="00AB2948" w:rsidRPr="00E73ABC" w:rsidRDefault="00AB3B3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</w:tc>
        <w:tc>
          <w:tcPr>
            <w:tcW w:w="0" w:type="auto"/>
          </w:tcPr>
          <w:p w14:paraId="4DC915F7" w14:textId="3D9E3DFA" w:rsidR="00AB2948" w:rsidRPr="00E73ABC" w:rsidRDefault="00F43F3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Actas de sesiones, mesas de trabajo,  oficialías electorales, oficios de gestión y solicitudes de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información, acuerdos, constancias de notificación.  </w:t>
            </w:r>
          </w:p>
        </w:tc>
        <w:tc>
          <w:tcPr>
            <w:tcW w:w="0" w:type="auto"/>
          </w:tcPr>
          <w:p w14:paraId="365C7C79" w14:textId="5AD42CAA" w:rsidR="00AB2948" w:rsidRPr="00E73ABC" w:rsidRDefault="00CC245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REV-007/2020 del Consejo General de este Instituto Electoral local.</w:t>
            </w:r>
          </w:p>
        </w:tc>
      </w:tr>
      <w:tr w:rsidR="007B3A3F" w:rsidRPr="00E73ABC" w14:paraId="10F559CB" w14:textId="3D3927DD" w:rsidTr="00514116">
        <w:tc>
          <w:tcPr>
            <w:tcW w:w="0" w:type="auto"/>
          </w:tcPr>
          <w:p w14:paraId="6AC5232D" w14:textId="15C241F9" w:rsidR="007B3A3F" w:rsidRPr="00E73ABC" w:rsidRDefault="00CC245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Trabajos relacionados a los estudios concernientes e implementación de medidas compensatorias en materia indígena que sean aplicables en el siguiente proceso electoral local ordinario, para el caso de registro y postulación de candidaturas al Congreso y Ayuntamientos del estado de Jalisco, en que ello sea viable.</w:t>
            </w:r>
          </w:p>
        </w:tc>
        <w:tc>
          <w:tcPr>
            <w:tcW w:w="0" w:type="auto"/>
          </w:tcPr>
          <w:p w14:paraId="797D0022" w14:textId="77777777" w:rsidR="007B3A3F" w:rsidRPr="00E73ABC" w:rsidRDefault="007710D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Coordinar los trabajos relacionados a los estudios concernientes e implementación de medidas compensatorias en materia indígena</w:t>
            </w:r>
            <w:r w:rsidR="00E21F17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. </w:t>
            </w:r>
          </w:p>
          <w:p w14:paraId="59F7348B" w14:textId="77777777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BA7A5D0" w14:textId="765AEEF4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Hacer un comparativo de las acciones afirmativas implementadas a nivel federal y en otros OPLE.</w:t>
            </w:r>
          </w:p>
          <w:p w14:paraId="0964D86D" w14:textId="77777777" w:rsidR="00D6572D" w:rsidRDefault="00D6572D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246558F3" w14:textId="261B3C8A" w:rsidR="00207383" w:rsidRPr="00E73ABC" w:rsidRDefault="00E21F17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Generar una mesa de trabajo</w:t>
            </w:r>
            <w:r w:rsidR="00207383"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con representaciones de pueblos originarios, autoridades involucradas, así como con representaciones partidistas, en las que se analicen las acciones afirmativas implementadas en materia indígena por el INE y en otros OPLE, con la finalidad de que, conjuntamente, se inicie el diseño de las acciones afirmativas para el Proceso Electoral 2023-2024</w:t>
            </w:r>
          </w:p>
          <w:p w14:paraId="41BD7D02" w14:textId="6588A57C" w:rsidR="00E21F17" w:rsidRPr="00E73ABC" w:rsidRDefault="00207383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  </w:t>
            </w:r>
          </w:p>
          <w:p w14:paraId="5D51C2A4" w14:textId="11E0F65B" w:rsidR="00E21F17" w:rsidRPr="00E73ABC" w:rsidRDefault="00E21F1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Presentación de la sistematización de la mesa de trabajo a favor del acceso de las candidaturas y a la representación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política </w:t>
            </w:r>
            <w:r w:rsidR="008B439C" w:rsidRPr="00E73ABC">
              <w:rPr>
                <w:rFonts w:ascii="Trebuchet MS" w:hAnsi="Trebuchet MS" w:cstheme="majorHAnsi"/>
                <w:bCs/>
                <w:vertAlign w:val="superscript"/>
              </w:rPr>
              <w:t>de la población indígena</w:t>
            </w:r>
            <w:r w:rsidR="00207383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en un foro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  <w:p w14:paraId="574A1F24" w14:textId="77777777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4A4F535" w14:textId="4DFC8D19" w:rsidR="003E2B77" w:rsidRPr="00E73ABC" w:rsidRDefault="003E2B7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Proponer al Consejo General las acciones afirmativas a implementarse en el Proceso Electoral 2023-2024</w:t>
            </w:r>
          </w:p>
          <w:p w14:paraId="27E36C30" w14:textId="3B17FB43" w:rsidR="003E2B77" w:rsidRPr="00E73ABC" w:rsidRDefault="003E2B7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</w:tc>
        <w:tc>
          <w:tcPr>
            <w:tcW w:w="0" w:type="auto"/>
          </w:tcPr>
          <w:p w14:paraId="6740143C" w14:textId="37D0B869" w:rsidR="007B3A3F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Abril</w:t>
            </w:r>
            <w:r w:rsidR="00AB3B31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2022 a febrero 2023.</w:t>
            </w:r>
          </w:p>
          <w:p w14:paraId="205540F4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1A98D7D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0A59467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B3B22C3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6B174FF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C673DDE" w14:textId="74C5A4D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Abril – junio</w:t>
            </w:r>
            <w:r w:rsidR="003E2B77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de 2022</w:t>
            </w:r>
          </w:p>
          <w:p w14:paraId="275727B7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59B5299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2BC9D7C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8F27915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6539E9C" w14:textId="6676E06D" w:rsidR="00313D7F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Junio</w:t>
            </w:r>
            <w:r w:rsidR="00313D7F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–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agosto de 2022</w:t>
            </w:r>
          </w:p>
          <w:p w14:paraId="0E8B7422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6F2F4A0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19F616A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A68D754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31997B9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7DE49DC" w14:textId="77777777" w:rsidR="00313D7F" w:rsidRPr="00E73ABC" w:rsidRDefault="00313D7F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5A8B695" w14:textId="77777777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4715B40" w14:textId="77777777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CCF8351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FEDC3B2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F795484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CABFF0F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D649148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6263EC9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44397BD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020E4A9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327A25B" w14:textId="76E3919A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Septiembre – noviembre de 2022</w:t>
            </w:r>
          </w:p>
          <w:p w14:paraId="6CA0830D" w14:textId="77777777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C5E0A3E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EBBE65B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9811862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89153F2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A4E5DC7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ABA2435" w14:textId="39C091EC" w:rsidR="00207383" w:rsidRPr="00E73ABC" w:rsidRDefault="0020738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Diciembre de 2022 a febrero de 2023. </w:t>
            </w:r>
          </w:p>
        </w:tc>
        <w:tc>
          <w:tcPr>
            <w:tcW w:w="0" w:type="auto"/>
          </w:tcPr>
          <w:p w14:paraId="7294E8F9" w14:textId="2C986C22" w:rsidR="007B3A3F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Minuta de la reunión.</w:t>
            </w:r>
          </w:p>
          <w:p w14:paraId="55BA948A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1E1442D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A016E94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3FC03E6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62E6A1F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DA9D964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80598A9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9BE623C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8C8ACAA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5D2C95B" w14:textId="1F070BEA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Minuta de la reunión. </w:t>
            </w:r>
          </w:p>
          <w:p w14:paraId="42838DA9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BDE71EC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2FC5494C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3E99A4ED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2758FA68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1B8B2740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446D6FF5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356CDC34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2C487455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72A3B89E" w14:textId="6C60CB46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Panel con propuestas. </w:t>
            </w:r>
          </w:p>
          <w:p w14:paraId="0DEE7A24" w14:textId="77777777" w:rsidR="00B23D1B" w:rsidRPr="00E73ABC" w:rsidRDefault="00B23D1B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</w:p>
          <w:p w14:paraId="320BFCFE" w14:textId="77777777" w:rsidR="00B23D1B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</w:tc>
        <w:tc>
          <w:tcPr>
            <w:tcW w:w="0" w:type="auto"/>
          </w:tcPr>
          <w:p w14:paraId="54BB17BC" w14:textId="4E3DB45C" w:rsidR="007B3A3F" w:rsidRPr="00E73ABC" w:rsidRDefault="00CC245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JDC-036 y ACUMULADO del Tribunal Electoral del Estado de Jalisco. </w:t>
            </w:r>
          </w:p>
        </w:tc>
      </w:tr>
      <w:tr w:rsidR="00D164C8" w:rsidRPr="00E73ABC" w14:paraId="0039E6A4" w14:textId="77777777" w:rsidTr="00514116">
        <w:tc>
          <w:tcPr>
            <w:tcW w:w="0" w:type="auto"/>
          </w:tcPr>
          <w:p w14:paraId="09C286D8" w14:textId="2FBD5C52" w:rsidR="00D164C8" w:rsidRPr="00E73ABC" w:rsidRDefault="005350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Generar sinergias con otras comisiones y áreas técnicas de Instituto Electoral, a efecto de coadyuvar, proponer y dar seguimiento a las acciones para la consecución de una cultura de inclusión, interculturalidad y no discriminación en el quehacer institucional y para fortalecer una cultura democrática que garantice el acceso y ejercicio efectivo de los derechos político – electorales de personas indígenas de manera sustantiva.</w:t>
            </w:r>
          </w:p>
        </w:tc>
        <w:tc>
          <w:tcPr>
            <w:tcW w:w="0" w:type="auto"/>
          </w:tcPr>
          <w:p w14:paraId="4A167B59" w14:textId="59744980" w:rsidR="005E4347" w:rsidRPr="00E73ABC" w:rsidRDefault="005E4347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Orientar para publicar los acuerdos de Consejo General en resumen oficial traducidos a le</w:t>
            </w:r>
            <w:r w:rsidR="005B26B6"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n</w:t>
            </w: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guas originarias.  (Secretaria  Ejecutiva). </w:t>
            </w:r>
          </w:p>
          <w:p w14:paraId="20C7159E" w14:textId="77777777" w:rsidR="005E4347" w:rsidRPr="00E73ABC" w:rsidRDefault="005E4347" w:rsidP="00E73ABC">
            <w:pPr>
              <w:jc w:val="both"/>
              <w:rPr>
                <w:rFonts w:ascii="Trebuchet MS" w:eastAsiaTheme="minorHAnsi" w:hAnsi="Trebuchet MS" w:cstheme="majorHAnsi"/>
                <w:bCs/>
                <w:sz w:val="22"/>
                <w:szCs w:val="22"/>
                <w:vertAlign w:val="superscript"/>
                <w:lang w:val="es-MX" w:eastAsia="en-US"/>
              </w:rPr>
            </w:pPr>
          </w:p>
          <w:p w14:paraId="2E6CBB3E" w14:textId="11E84908" w:rsidR="005E4347" w:rsidRPr="00E73ABC" w:rsidRDefault="005E4347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Orientar para generar un portal institucional incluyente (Informativa).</w:t>
            </w:r>
          </w:p>
          <w:p w14:paraId="1C58116B" w14:textId="77777777" w:rsidR="005E4347" w:rsidRPr="00E73ABC" w:rsidRDefault="005E4347" w:rsidP="00E73ABC">
            <w:pPr>
              <w:pStyle w:val="Prrafodelista"/>
              <w:spacing w:after="0" w:line="240" w:lineRule="auto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6BBB203" w14:textId="52614700" w:rsidR="00D164C8" w:rsidRPr="00E73ABC" w:rsidRDefault="005E4347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 xml:space="preserve">Orientar para promover publicaciones con perspectiva de inclusión e interculturalidad (Editorial). </w:t>
            </w:r>
          </w:p>
        </w:tc>
        <w:tc>
          <w:tcPr>
            <w:tcW w:w="0" w:type="auto"/>
          </w:tcPr>
          <w:p w14:paraId="69A8D0A3" w14:textId="06C2F8B3" w:rsidR="00D164C8" w:rsidRPr="00E73ABC" w:rsidRDefault="00AB3B3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</w:tc>
        <w:tc>
          <w:tcPr>
            <w:tcW w:w="0" w:type="auto"/>
          </w:tcPr>
          <w:p w14:paraId="6BAC6D48" w14:textId="77777777" w:rsidR="00D164C8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Acuerdos publicados.</w:t>
            </w:r>
          </w:p>
          <w:p w14:paraId="50E94ED4" w14:textId="77777777" w:rsidR="005E4347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181F59B" w14:textId="77777777" w:rsidR="005E4347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1B805F1" w14:textId="77777777" w:rsidR="005E4347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BC89EBA" w14:textId="77777777" w:rsidR="005E4347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A7E3DE8" w14:textId="77777777" w:rsidR="005E4347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5E80729" w14:textId="77777777" w:rsidR="005E4347" w:rsidRPr="00E73ABC" w:rsidRDefault="005E4347" w:rsidP="00E73ABC">
            <w:pPr>
              <w:jc w:val="both"/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sz w:val="22"/>
                <w:szCs w:val="22"/>
                <w:vertAlign w:val="superscript"/>
              </w:rPr>
              <w:t>Portal web accesible.</w:t>
            </w:r>
          </w:p>
          <w:p w14:paraId="11679247" w14:textId="77777777" w:rsidR="005E4347" w:rsidRPr="00E73ABC" w:rsidRDefault="005E4347" w:rsidP="00E73ABC">
            <w:pPr>
              <w:pStyle w:val="Prrafodelista"/>
              <w:spacing w:after="0" w:line="240" w:lineRule="auto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D63743A" w14:textId="77777777" w:rsidR="005E4347" w:rsidRPr="00E73ABC" w:rsidRDefault="005E4347" w:rsidP="00E73ABC">
            <w:pPr>
              <w:pStyle w:val="Prrafodelista"/>
              <w:spacing w:after="0" w:line="240" w:lineRule="auto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B6EA504" w14:textId="77777777" w:rsidR="005E4347" w:rsidRPr="00E73ABC" w:rsidRDefault="005E4347" w:rsidP="00E73ABC">
            <w:pPr>
              <w:pStyle w:val="Prrafodelista"/>
              <w:spacing w:after="0" w:line="240" w:lineRule="auto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C58FC39" w14:textId="5EBD8363" w:rsidR="005E4347" w:rsidRPr="00E73ABC" w:rsidRDefault="005E43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Audios accesibles y obras traducidas.</w:t>
            </w:r>
          </w:p>
        </w:tc>
        <w:tc>
          <w:tcPr>
            <w:tcW w:w="0" w:type="auto"/>
          </w:tcPr>
          <w:p w14:paraId="4CD0C59D" w14:textId="592F2E42" w:rsidR="00D164C8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Artículo 1º de la Constitución Política de los Estados Unidos Mexicanos, la Constitución Local y los tratados internacionales en materia de derechos humanos, a fin de asegurar el acceso y ejercicio efectivo de los derechos políticos y electorales para las personas indígenas.</w:t>
            </w:r>
          </w:p>
        </w:tc>
      </w:tr>
      <w:tr w:rsidR="00535047" w:rsidRPr="00E73ABC" w14:paraId="36E3636D" w14:textId="77777777" w:rsidTr="00514116">
        <w:tc>
          <w:tcPr>
            <w:tcW w:w="0" w:type="auto"/>
          </w:tcPr>
          <w:p w14:paraId="3D9D8474" w14:textId="4B7A6C66" w:rsidR="00535047" w:rsidRPr="00E73ABC" w:rsidRDefault="0053504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Impulsar alianzas y mecanismos de coordinación interinstitucional y con organizaciones de la sociedad civil para realizar proyectos y ampliar el impacto de las actividades en materia indígena que promueva el Instituto Electoral.</w:t>
            </w:r>
          </w:p>
        </w:tc>
        <w:tc>
          <w:tcPr>
            <w:tcW w:w="0" w:type="auto"/>
          </w:tcPr>
          <w:p w14:paraId="398E4958" w14:textId="1D891443" w:rsidR="0091118E" w:rsidRPr="00E73ABC" w:rsidRDefault="00DD249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Dar seguimiento a los foros y consultas a pueblos originarios que organice el Instituto Nacional Electoral dentro del proceso de </w:t>
            </w:r>
            <w:proofErr w:type="spellStart"/>
            <w:r w:rsidRPr="00E73ABC">
              <w:rPr>
                <w:rFonts w:ascii="Trebuchet MS" w:hAnsi="Trebuchet MS" w:cstheme="majorHAnsi"/>
                <w:bCs/>
                <w:vertAlign w:val="superscript"/>
              </w:rPr>
              <w:t>redistritación</w:t>
            </w:r>
            <w:proofErr w:type="spellEnd"/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local. </w:t>
            </w:r>
          </w:p>
          <w:p w14:paraId="60F65E1C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1CB82DD" w14:textId="05BE2946" w:rsidR="00535047" w:rsidRPr="00E73ABC" w:rsidRDefault="004301B2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Mesas de análisis con</w:t>
            </w:r>
            <w:r w:rsidR="00A67C68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el Instituto Nacional de Pueblos Indígenas (INPI)</w:t>
            </w:r>
            <w:r w:rsidR="00E73ABC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y</w:t>
            </w:r>
            <w:r w:rsidR="00A67C68"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la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Comisión Estatal Indígena del Estado.</w:t>
            </w:r>
          </w:p>
          <w:p w14:paraId="58B78C39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8AA8F0A" w14:textId="77777777" w:rsidR="00514116" w:rsidRDefault="00E10595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Gestionar la celebraci</w:t>
            </w:r>
            <w:r w:rsidR="00E73ABC" w:rsidRPr="00E73ABC">
              <w:rPr>
                <w:rFonts w:ascii="Trebuchet MS" w:hAnsi="Trebuchet MS" w:cstheme="majorHAnsi"/>
                <w:bCs/>
                <w:vertAlign w:val="superscript"/>
              </w:rPr>
              <w:t>ón de Convenios Marco, con el IN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PI y con la Comisión Estatal Indígena de Jalisco, para la impartición de 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cursos de capacitación, apoyo con traducciones e intercambio de información</w:t>
            </w:r>
            <w:r w:rsidR="009D21F3" w:rsidRPr="00E73ABC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  <w:p w14:paraId="6CF139B7" w14:textId="77777777" w:rsidR="00514116" w:rsidRDefault="00514116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EEF3260" w14:textId="5F995B0B" w:rsidR="00787994" w:rsidRPr="00E73ABC" w:rsidRDefault="00514116" w:rsidP="00514116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D6572D">
              <w:rPr>
                <w:rFonts w:ascii="Trebuchet MS" w:hAnsi="Trebuchet MS" w:cstheme="majorHAnsi"/>
                <w:bCs/>
                <w:vertAlign w:val="superscript"/>
              </w:rPr>
              <w:t>Conjuntamente con organizaciones de la sociedad civil y autoridades tradicionales, gestionar y/o implementar charlas y talleres con mujeres de pueblos originarios, para fomentar y fortalecer el ejercicio pleno de sus derechos político- electorales.</w:t>
            </w:r>
          </w:p>
        </w:tc>
        <w:tc>
          <w:tcPr>
            <w:tcW w:w="0" w:type="auto"/>
          </w:tcPr>
          <w:p w14:paraId="0989B111" w14:textId="77777777" w:rsidR="00E948B7" w:rsidRPr="00E73ABC" w:rsidRDefault="00E948B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17 de marzo 2022</w:t>
            </w:r>
          </w:p>
          <w:p w14:paraId="76AF138F" w14:textId="77777777" w:rsidR="00E948B7" w:rsidRPr="00E73ABC" w:rsidRDefault="00E948B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B7086AB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6EB0CD7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25848DB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FEFCE9B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DD5CA01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DB35CF6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568419E" w14:textId="5A1BC706" w:rsidR="0091118E" w:rsidRPr="00E73ABC" w:rsidRDefault="00E948B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18 de mayo 2022</w:t>
            </w:r>
          </w:p>
          <w:p w14:paraId="5BA9F64F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25B101D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12C32F8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7AC240B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CA09863" w14:textId="77777777" w:rsidR="00F70D03" w:rsidRPr="00E73ABC" w:rsidRDefault="00F70D0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81C78E0" w14:textId="77777777" w:rsidR="00535047" w:rsidRPr="00E73ABC" w:rsidRDefault="00AB3B3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Marzo 2022 a febrero 2023.</w:t>
            </w:r>
          </w:p>
          <w:p w14:paraId="1755E5EB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5623938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439F2CF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2E24C465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38F1E52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48B4CFD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bookmarkStart w:id="0" w:name="_GoBack"/>
            <w:bookmarkEnd w:id="0"/>
          </w:p>
          <w:p w14:paraId="0501FF9F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8B8175B" w14:textId="77777777" w:rsidR="00D6572D" w:rsidRDefault="00D6572D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96C7DB8" w14:textId="348B2281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Mayo 2022. </w:t>
            </w:r>
          </w:p>
        </w:tc>
        <w:tc>
          <w:tcPr>
            <w:tcW w:w="0" w:type="auto"/>
          </w:tcPr>
          <w:p w14:paraId="1A85F317" w14:textId="721C0E86" w:rsidR="0091118E" w:rsidRPr="00E73ABC" w:rsidRDefault="00E948B7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Videos, audios y minutas a las que el INE de acceso público. </w:t>
            </w:r>
          </w:p>
          <w:p w14:paraId="1FCB88EE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E50E88D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CD1EB1D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6C357F9D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5B6DA032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7A7893D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1148B24B" w14:textId="77777777" w:rsidR="0091118E" w:rsidRPr="00E73ABC" w:rsidRDefault="0091118E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F153710" w14:textId="77777777" w:rsidR="00535047" w:rsidRPr="00E73ABC" w:rsidRDefault="004301B2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Minutas de las reuniones</w:t>
            </w:r>
            <w:r w:rsidR="009D21F3" w:rsidRPr="00E73ABC">
              <w:rPr>
                <w:rFonts w:ascii="Trebuchet MS" w:hAnsi="Trebuchet MS" w:cstheme="majorHAnsi"/>
                <w:bCs/>
                <w:vertAlign w:val="superscript"/>
              </w:rPr>
              <w:t>.</w:t>
            </w:r>
          </w:p>
          <w:p w14:paraId="6E32DFFE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0C7FC40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324E92A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3A118F6E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4EB83805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0C49E61F" w14:textId="77777777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</w:p>
          <w:p w14:paraId="721FC472" w14:textId="51489E9E" w:rsidR="009D21F3" w:rsidRPr="00E73ABC" w:rsidRDefault="009D21F3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Convenios de colaboración interinstitucional. </w:t>
            </w:r>
          </w:p>
        </w:tc>
        <w:tc>
          <w:tcPr>
            <w:tcW w:w="0" w:type="auto"/>
          </w:tcPr>
          <w:p w14:paraId="47C049FE" w14:textId="01AE7162" w:rsidR="00535047" w:rsidRPr="00E73ABC" w:rsidRDefault="00B23D1B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>Artículo 1º de la Constitución Política de los Estados Unidos Mexicanos, la Constitución Local y los tratados internacionales en materia de derechos humanos, a fin de asegurar el acceso y ejercicio efectivo de los derechos políticos y electorales para las personas indígenas.</w:t>
            </w:r>
          </w:p>
        </w:tc>
      </w:tr>
      <w:tr w:rsidR="00A60811" w:rsidRPr="00E73ABC" w14:paraId="3ACFB531" w14:textId="77777777" w:rsidTr="00514116">
        <w:tc>
          <w:tcPr>
            <w:tcW w:w="0" w:type="auto"/>
          </w:tcPr>
          <w:p w14:paraId="311D92F7" w14:textId="2BEE40A6" w:rsidR="00A60811" w:rsidRPr="00E73ABC" w:rsidRDefault="00A6081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lastRenderedPageBreak/>
              <w:t xml:space="preserve">Informe anual de actividades. </w:t>
            </w:r>
          </w:p>
        </w:tc>
        <w:tc>
          <w:tcPr>
            <w:tcW w:w="0" w:type="auto"/>
          </w:tcPr>
          <w:p w14:paraId="569BE565" w14:textId="43832CA6" w:rsidR="00A60811" w:rsidRPr="00E73ABC" w:rsidRDefault="00A6081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Presentar el informe anual de actividades de la Comisión, en el que se precisen las tareas desarrolladas y proponerlo al Consejo General para su aprobación. </w:t>
            </w:r>
          </w:p>
        </w:tc>
        <w:tc>
          <w:tcPr>
            <w:tcW w:w="0" w:type="auto"/>
          </w:tcPr>
          <w:p w14:paraId="35BC4176" w14:textId="1A54C19C" w:rsidR="00A60811" w:rsidRPr="00E73ABC" w:rsidRDefault="00A6081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Febrero 2023.</w:t>
            </w:r>
          </w:p>
        </w:tc>
        <w:tc>
          <w:tcPr>
            <w:tcW w:w="0" w:type="auto"/>
          </w:tcPr>
          <w:p w14:paraId="122829AE" w14:textId="40944754" w:rsidR="00A60811" w:rsidRPr="00E73ABC" w:rsidRDefault="00A6081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Informe anual de actividades. </w:t>
            </w:r>
          </w:p>
        </w:tc>
        <w:tc>
          <w:tcPr>
            <w:tcW w:w="0" w:type="auto"/>
          </w:tcPr>
          <w:p w14:paraId="29D3BB93" w14:textId="16ED0940" w:rsidR="00A60811" w:rsidRPr="00E73ABC" w:rsidRDefault="00A60811" w:rsidP="00E73ABC">
            <w:pPr>
              <w:pStyle w:val="Prrafodelista"/>
              <w:spacing w:after="0" w:line="240" w:lineRule="auto"/>
              <w:ind w:left="0"/>
              <w:jc w:val="both"/>
              <w:rPr>
                <w:rFonts w:ascii="Trebuchet MS" w:hAnsi="Trebuchet MS" w:cstheme="majorHAnsi"/>
                <w:bCs/>
                <w:vertAlign w:val="superscript"/>
              </w:rPr>
            </w:pPr>
            <w:r w:rsidRPr="00E73ABC">
              <w:rPr>
                <w:rFonts w:ascii="Trebuchet MS" w:hAnsi="Trebuchet MS" w:cstheme="majorHAnsi"/>
                <w:bCs/>
                <w:vertAlign w:val="superscript"/>
              </w:rPr>
              <w:t>Artículo 32, numeral 1, fracción I</w:t>
            </w:r>
            <w:r w:rsidR="005228CA" w:rsidRPr="00E73ABC">
              <w:rPr>
                <w:rFonts w:ascii="Trebuchet MS" w:hAnsi="Trebuchet MS" w:cstheme="majorHAnsi"/>
                <w:bCs/>
                <w:vertAlign w:val="superscript"/>
              </w:rPr>
              <w:t>I</w:t>
            </w:r>
            <w:r w:rsidRPr="00E73ABC">
              <w:rPr>
                <w:rFonts w:ascii="Trebuchet MS" w:hAnsi="Trebuchet MS" w:cstheme="majorHAnsi"/>
                <w:bCs/>
                <w:vertAlign w:val="superscript"/>
              </w:rPr>
              <w:t xml:space="preserve"> del Reglamento Interior del Instituto Electoral y de Participación Ciudadana del Estado de Jalisco.</w:t>
            </w:r>
          </w:p>
        </w:tc>
      </w:tr>
    </w:tbl>
    <w:p w14:paraId="7F055F9F" w14:textId="77777777" w:rsidR="007B3A3F" w:rsidRPr="001A0472" w:rsidRDefault="007B3A3F" w:rsidP="007B3A3F">
      <w:pPr>
        <w:pStyle w:val="Prrafodelista"/>
        <w:spacing w:line="276" w:lineRule="auto"/>
        <w:ind w:left="1080"/>
        <w:jc w:val="both"/>
        <w:rPr>
          <w:rFonts w:ascii="Trebuchet MS" w:hAnsi="Trebuchet MS" w:cstheme="majorHAnsi"/>
          <w:b/>
          <w:bCs/>
        </w:rPr>
      </w:pPr>
    </w:p>
    <w:p w14:paraId="65B098C4" w14:textId="1382F7C5" w:rsidR="005A2710" w:rsidRPr="001A0472" w:rsidRDefault="00F43F33" w:rsidP="00F43F33">
      <w:pPr>
        <w:pStyle w:val="Prrafodelista"/>
        <w:spacing w:line="276" w:lineRule="auto"/>
        <w:ind w:left="0"/>
        <w:jc w:val="both"/>
        <w:rPr>
          <w:rFonts w:ascii="Trebuchet MS" w:hAnsi="Trebuchet MS" w:cstheme="majorHAnsi"/>
          <w:bCs/>
          <w:sz w:val="18"/>
          <w:szCs w:val="18"/>
        </w:rPr>
      </w:pPr>
      <w:r w:rsidRPr="001A0472">
        <w:rPr>
          <w:rFonts w:ascii="Trebuchet MS" w:hAnsi="Trebuchet MS" w:cstheme="majorHAnsi"/>
          <w:bCs/>
          <w:sz w:val="18"/>
          <w:szCs w:val="18"/>
        </w:rPr>
        <w:t>El contenido de la agenda de trabajo 202</w:t>
      </w:r>
      <w:r w:rsidR="00E30F39" w:rsidRPr="001A0472">
        <w:rPr>
          <w:rFonts w:ascii="Trebuchet MS" w:hAnsi="Trebuchet MS" w:cstheme="majorHAnsi"/>
          <w:bCs/>
          <w:sz w:val="18"/>
          <w:szCs w:val="18"/>
        </w:rPr>
        <w:t>2-2023</w:t>
      </w:r>
      <w:r w:rsidRPr="001A0472">
        <w:rPr>
          <w:rFonts w:ascii="Trebuchet MS" w:hAnsi="Trebuchet MS" w:cstheme="majorHAnsi"/>
          <w:bCs/>
          <w:sz w:val="18"/>
          <w:szCs w:val="18"/>
        </w:rPr>
        <w:t xml:space="preserve">, de la Comisión de Asuntos de los Pueblos Originarios del Instituto Electoral y de Participación Ciudadana del Estado de Jalisco, fue aprobado en </w:t>
      </w:r>
      <w:r w:rsidR="00E30F39" w:rsidRPr="001A0472">
        <w:rPr>
          <w:rFonts w:ascii="Trebuchet MS" w:hAnsi="Trebuchet MS" w:cstheme="majorHAnsi"/>
          <w:bCs/>
          <w:sz w:val="18"/>
          <w:szCs w:val="18"/>
        </w:rPr>
        <w:t xml:space="preserve">la primera </w:t>
      </w:r>
      <w:r w:rsidRPr="001A0472">
        <w:rPr>
          <w:rFonts w:ascii="Trebuchet MS" w:hAnsi="Trebuchet MS" w:cstheme="majorHAnsi"/>
          <w:bCs/>
          <w:sz w:val="18"/>
          <w:szCs w:val="18"/>
        </w:rPr>
        <w:t xml:space="preserve">sesión ordinaria celebrada el </w:t>
      </w:r>
      <w:r w:rsidR="00E30F39" w:rsidRPr="001A0472">
        <w:rPr>
          <w:rFonts w:ascii="Trebuchet MS" w:hAnsi="Trebuchet MS" w:cstheme="majorHAnsi"/>
          <w:bCs/>
          <w:sz w:val="18"/>
          <w:szCs w:val="18"/>
        </w:rPr>
        <w:t xml:space="preserve">03 </w:t>
      </w:r>
      <w:r w:rsidRPr="001A0472">
        <w:rPr>
          <w:rFonts w:ascii="Trebuchet MS" w:hAnsi="Trebuchet MS" w:cstheme="majorHAnsi"/>
          <w:bCs/>
          <w:sz w:val="18"/>
          <w:szCs w:val="18"/>
        </w:rPr>
        <w:t>de marzo de 202</w:t>
      </w:r>
      <w:r w:rsidR="00E30F39" w:rsidRPr="001A0472">
        <w:rPr>
          <w:rFonts w:ascii="Trebuchet MS" w:hAnsi="Trebuchet MS" w:cstheme="majorHAnsi"/>
          <w:bCs/>
          <w:sz w:val="18"/>
          <w:szCs w:val="18"/>
        </w:rPr>
        <w:t>2</w:t>
      </w:r>
      <w:r w:rsidRPr="001A0472">
        <w:rPr>
          <w:rFonts w:ascii="Trebuchet MS" w:hAnsi="Trebuchet MS" w:cstheme="majorHAnsi"/>
          <w:bCs/>
          <w:sz w:val="18"/>
          <w:szCs w:val="18"/>
        </w:rPr>
        <w:t xml:space="preserve">, por unanimidad de votos de las consejeras electorales Claudia Alejandra Vargas Bautista, </w:t>
      </w:r>
      <w:r w:rsidR="00E73ABC" w:rsidRPr="001A0472">
        <w:rPr>
          <w:rFonts w:ascii="Trebuchet MS" w:hAnsi="Trebuchet MS" w:cstheme="majorHAnsi"/>
          <w:bCs/>
          <w:sz w:val="18"/>
          <w:szCs w:val="18"/>
        </w:rPr>
        <w:t>Silvia Guadalupe Bustos Vásquez</w:t>
      </w:r>
      <w:r w:rsidRPr="001A0472">
        <w:rPr>
          <w:rFonts w:ascii="Trebuchet MS" w:hAnsi="Trebuchet MS" w:cstheme="majorHAnsi"/>
          <w:bCs/>
          <w:sz w:val="18"/>
          <w:szCs w:val="18"/>
        </w:rPr>
        <w:t xml:space="preserve"> y </w:t>
      </w:r>
      <w:proofErr w:type="spellStart"/>
      <w:r w:rsidRPr="001A0472">
        <w:rPr>
          <w:rFonts w:ascii="Trebuchet MS" w:hAnsi="Trebuchet MS" w:cstheme="majorHAnsi"/>
          <w:bCs/>
          <w:sz w:val="18"/>
          <w:szCs w:val="18"/>
        </w:rPr>
        <w:t>Zoad</w:t>
      </w:r>
      <w:proofErr w:type="spellEnd"/>
      <w:r w:rsidRPr="001A0472">
        <w:rPr>
          <w:rFonts w:ascii="Trebuchet MS" w:hAnsi="Trebuchet MS" w:cstheme="majorHAnsi"/>
          <w:bCs/>
          <w:sz w:val="18"/>
          <w:szCs w:val="18"/>
        </w:rPr>
        <w:t xml:space="preserve"> </w:t>
      </w:r>
      <w:proofErr w:type="spellStart"/>
      <w:r w:rsidRPr="001A0472">
        <w:rPr>
          <w:rFonts w:ascii="Trebuchet MS" w:hAnsi="Trebuchet MS" w:cstheme="majorHAnsi"/>
          <w:bCs/>
          <w:sz w:val="18"/>
          <w:szCs w:val="18"/>
        </w:rPr>
        <w:t>Jeanine</w:t>
      </w:r>
      <w:proofErr w:type="spellEnd"/>
      <w:r w:rsidRPr="001A0472">
        <w:rPr>
          <w:rFonts w:ascii="Trebuchet MS" w:hAnsi="Trebuchet MS" w:cstheme="majorHAnsi"/>
          <w:bCs/>
          <w:sz w:val="18"/>
          <w:szCs w:val="18"/>
        </w:rPr>
        <w:t xml:space="preserve"> García González, esta última</w:t>
      </w:r>
      <w:r w:rsidR="00E73ABC" w:rsidRPr="001A0472">
        <w:rPr>
          <w:rFonts w:ascii="Trebuchet MS" w:hAnsi="Trebuchet MS" w:cstheme="majorHAnsi"/>
          <w:bCs/>
          <w:sz w:val="18"/>
          <w:szCs w:val="18"/>
        </w:rPr>
        <w:t>,</w:t>
      </w:r>
      <w:r w:rsidRPr="001A0472">
        <w:rPr>
          <w:rFonts w:ascii="Trebuchet MS" w:hAnsi="Trebuchet MS" w:cstheme="majorHAnsi"/>
          <w:bCs/>
          <w:sz w:val="18"/>
          <w:szCs w:val="18"/>
        </w:rPr>
        <w:t xml:space="preserve"> en carácter de presidenta de la Comisión.- - - - - - - - - - - - - - - - - - - - - - - - - - - - - - - - - - - - - - - - - - - - - - - - </w:t>
      </w:r>
    </w:p>
    <w:p w14:paraId="5E333F3C" w14:textId="457DDDE0" w:rsidR="0005285F" w:rsidRPr="001A0472" w:rsidRDefault="0005285F" w:rsidP="00AD4C14">
      <w:pPr>
        <w:spacing w:line="276" w:lineRule="auto"/>
        <w:jc w:val="both"/>
        <w:rPr>
          <w:rFonts w:ascii="Trebuchet MS" w:hAnsi="Trebuchet MS" w:cstheme="majorHAnsi"/>
        </w:rPr>
      </w:pPr>
    </w:p>
    <w:p w14:paraId="6F0DCCEA" w14:textId="77777777" w:rsidR="0005285F" w:rsidRPr="001A0472" w:rsidRDefault="0005285F" w:rsidP="00962EF8">
      <w:pPr>
        <w:spacing w:line="276" w:lineRule="auto"/>
        <w:jc w:val="both"/>
      </w:pPr>
    </w:p>
    <w:p w14:paraId="5FC790E8" w14:textId="77777777" w:rsidR="00962EF8" w:rsidRPr="0037132C" w:rsidRDefault="00962EF8">
      <w:pPr>
        <w:spacing w:line="276" w:lineRule="auto"/>
        <w:jc w:val="both"/>
      </w:pPr>
    </w:p>
    <w:sectPr w:rsidR="00962EF8" w:rsidRPr="0037132C" w:rsidSect="00514116">
      <w:headerReference w:type="default" r:id="rId8"/>
      <w:footerReference w:type="default" r:id="rId9"/>
      <w:pgSz w:w="12240" w:h="15840" w:code="1"/>
      <w:pgMar w:top="1701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4A45DA" w14:textId="77777777" w:rsidR="00981FD0" w:rsidRDefault="00981FD0" w:rsidP="0037132C">
      <w:r>
        <w:separator/>
      </w:r>
    </w:p>
  </w:endnote>
  <w:endnote w:type="continuationSeparator" w:id="0">
    <w:p w14:paraId="17C017B4" w14:textId="77777777" w:rsidR="00981FD0" w:rsidRDefault="00981FD0" w:rsidP="0037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86A50" w14:textId="77777777" w:rsidR="0037132C" w:rsidRDefault="0037132C" w:rsidP="0037132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>
      <w:rPr>
        <w:rFonts w:ascii="Trebuchet MS" w:eastAsia="Calibri" w:hAnsi="Trebuchet MS" w:cs="Tahoma"/>
        <w:bCs/>
        <w:color w:val="A6A6A6"/>
        <w:sz w:val="18"/>
        <w:szCs w:val="18"/>
        <w:lang w:val="es-ES_tradnl" w:eastAsia="es-ES_tradnl"/>
      </w:rPr>
      <w:t>Parque de las Estrellas 2764, colonia Jardines del Bosque Centro, Guadalajara, Jalisco, México. C.P.44520</w:t>
    </w:r>
  </w:p>
  <w:p w14:paraId="58136856" w14:textId="77777777" w:rsidR="0037132C" w:rsidRDefault="001A0472" w:rsidP="0037132C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>
      <w:rPr>
        <w:rFonts w:ascii="Trebuchet MS" w:hAnsi="Trebuchet MS" w:cs="Tahoma"/>
        <w:bCs/>
        <w:color w:val="A6A6A6"/>
        <w:sz w:val="16"/>
        <w:szCs w:val="16"/>
      </w:rPr>
      <w:pict w14:anchorId="484092AA">
        <v:rect id="_x0000_i1025" style="width:433.05pt;height:.75pt" o:hrpct="980" o:hralign="center" o:hrstd="t" o:hr="t" fillcolor="#a0a0a0" stroked="f"/>
      </w:pict>
    </w:r>
  </w:p>
  <w:p w14:paraId="7B968CF2" w14:textId="77777777" w:rsidR="0037132C" w:rsidRDefault="0037132C" w:rsidP="0037132C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  <w:lang w:val="es-MX"/>
      </w:rPr>
    </w:pPr>
    <w:r>
      <w:rPr>
        <w:rFonts w:ascii="Trebuchet MS" w:hAnsi="Trebuchet MS" w:cs="Tahoma"/>
        <w:b/>
        <w:bCs/>
        <w:color w:val="7030A0"/>
        <w:sz w:val="16"/>
        <w:szCs w:val="16"/>
        <w:lang w:val="es-MX"/>
      </w:rPr>
      <w:t>www.iepcjalisco.org.mx</w:t>
    </w:r>
  </w:p>
  <w:p w14:paraId="6DCFF9F4" w14:textId="77777777" w:rsidR="0037132C" w:rsidRPr="00514116" w:rsidRDefault="0037132C" w:rsidP="0037132C">
    <w:pPr>
      <w:tabs>
        <w:tab w:val="center" w:pos="4252"/>
        <w:tab w:val="right" w:pos="8504"/>
      </w:tabs>
      <w:ind w:right="360"/>
      <w:jc w:val="right"/>
      <w:rPr>
        <w:sz w:val="18"/>
        <w:szCs w:val="18"/>
      </w:rPr>
    </w:pPr>
    <w:r w:rsidRPr="00514116">
      <w:rPr>
        <w:rFonts w:ascii="Trebuchet MS" w:eastAsia="Calibri" w:hAnsi="Trebuchet MS" w:cs="Arial"/>
        <w:sz w:val="18"/>
        <w:szCs w:val="18"/>
        <w:lang w:eastAsia="en-US"/>
      </w:rPr>
      <w:t xml:space="preserve">Página </w:t>
    </w:r>
    <w:r w:rsidRPr="00514116">
      <w:rPr>
        <w:rFonts w:ascii="Trebuchet MS" w:eastAsia="Calibri" w:hAnsi="Trebuchet MS" w:cs="Arial"/>
        <w:sz w:val="18"/>
        <w:szCs w:val="18"/>
        <w:lang w:eastAsia="en-US"/>
      </w:rPr>
      <w:fldChar w:fldCharType="begin"/>
    </w:r>
    <w:r w:rsidRPr="00514116">
      <w:rPr>
        <w:rFonts w:ascii="Trebuchet MS" w:eastAsia="Calibri" w:hAnsi="Trebuchet MS" w:cs="Arial"/>
        <w:sz w:val="18"/>
        <w:szCs w:val="18"/>
        <w:lang w:eastAsia="en-US"/>
      </w:rPr>
      <w:instrText xml:space="preserve"> PAGE </w:instrText>
    </w:r>
    <w:r w:rsidRPr="00514116">
      <w:rPr>
        <w:rFonts w:ascii="Trebuchet MS" w:eastAsia="Calibri" w:hAnsi="Trebuchet MS" w:cs="Arial"/>
        <w:sz w:val="18"/>
        <w:szCs w:val="18"/>
        <w:lang w:eastAsia="en-US"/>
      </w:rPr>
      <w:fldChar w:fldCharType="separate"/>
    </w:r>
    <w:r w:rsidR="001A0472">
      <w:rPr>
        <w:rFonts w:ascii="Trebuchet MS" w:eastAsia="Calibri" w:hAnsi="Trebuchet MS" w:cs="Arial"/>
        <w:noProof/>
        <w:sz w:val="18"/>
        <w:szCs w:val="18"/>
        <w:lang w:eastAsia="en-US"/>
      </w:rPr>
      <w:t>9</w:t>
    </w:r>
    <w:r w:rsidRPr="00514116">
      <w:rPr>
        <w:rFonts w:ascii="Trebuchet MS" w:eastAsia="Calibri" w:hAnsi="Trebuchet MS" w:cs="Arial"/>
        <w:sz w:val="18"/>
        <w:szCs w:val="18"/>
        <w:lang w:eastAsia="en-US"/>
      </w:rPr>
      <w:fldChar w:fldCharType="end"/>
    </w:r>
    <w:r w:rsidRPr="00514116">
      <w:rPr>
        <w:rFonts w:ascii="Trebuchet MS" w:eastAsia="Calibri" w:hAnsi="Trebuchet MS" w:cs="Arial"/>
        <w:sz w:val="18"/>
        <w:szCs w:val="18"/>
        <w:lang w:eastAsia="en-US"/>
      </w:rPr>
      <w:t xml:space="preserve"> de </w:t>
    </w:r>
    <w:r w:rsidRPr="00514116">
      <w:rPr>
        <w:rFonts w:ascii="Trebuchet MS" w:eastAsia="Calibri" w:hAnsi="Trebuchet MS" w:cs="Arial"/>
        <w:sz w:val="18"/>
        <w:szCs w:val="18"/>
        <w:lang w:eastAsia="en-US"/>
      </w:rPr>
      <w:fldChar w:fldCharType="begin"/>
    </w:r>
    <w:r w:rsidRPr="00514116">
      <w:rPr>
        <w:rFonts w:ascii="Trebuchet MS" w:eastAsia="Calibri" w:hAnsi="Trebuchet MS" w:cs="Arial"/>
        <w:sz w:val="18"/>
        <w:szCs w:val="18"/>
        <w:lang w:eastAsia="en-US"/>
      </w:rPr>
      <w:instrText xml:space="preserve"> NUMPAGES </w:instrText>
    </w:r>
    <w:r w:rsidRPr="00514116">
      <w:rPr>
        <w:rFonts w:ascii="Trebuchet MS" w:eastAsia="Calibri" w:hAnsi="Trebuchet MS" w:cs="Arial"/>
        <w:sz w:val="18"/>
        <w:szCs w:val="18"/>
        <w:lang w:eastAsia="en-US"/>
      </w:rPr>
      <w:fldChar w:fldCharType="separate"/>
    </w:r>
    <w:r w:rsidR="001A0472">
      <w:rPr>
        <w:rFonts w:ascii="Trebuchet MS" w:eastAsia="Calibri" w:hAnsi="Trebuchet MS" w:cs="Arial"/>
        <w:noProof/>
        <w:sz w:val="18"/>
        <w:szCs w:val="18"/>
        <w:lang w:eastAsia="en-US"/>
      </w:rPr>
      <w:t>9</w:t>
    </w:r>
    <w:r w:rsidRPr="00514116">
      <w:rPr>
        <w:rFonts w:ascii="Trebuchet MS" w:eastAsia="Calibri" w:hAnsi="Trebuchet MS" w:cs="Arial"/>
        <w:sz w:val="18"/>
        <w:szCs w:val="18"/>
        <w:lang w:eastAsia="en-US"/>
      </w:rPr>
      <w:fldChar w:fldCharType="end"/>
    </w:r>
  </w:p>
  <w:p w14:paraId="5EB5022B" w14:textId="77777777" w:rsidR="0037132C" w:rsidRDefault="003713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E5E63B" w14:textId="77777777" w:rsidR="00981FD0" w:rsidRDefault="00981FD0" w:rsidP="0037132C">
      <w:r>
        <w:separator/>
      </w:r>
    </w:p>
  </w:footnote>
  <w:footnote w:type="continuationSeparator" w:id="0">
    <w:p w14:paraId="4F02067A" w14:textId="77777777" w:rsidR="00981FD0" w:rsidRDefault="00981FD0" w:rsidP="003713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88F1AA" w14:textId="755E3F4D" w:rsidR="00514116" w:rsidRDefault="00514116">
    <w:pPr>
      <w:pStyle w:val="Encabezado"/>
    </w:pPr>
    <w:r w:rsidRPr="00131E98">
      <w:rPr>
        <w:noProof/>
        <w:lang w:val="es-MX" w:eastAsia="es-MX"/>
      </w:rPr>
      <w:drawing>
        <wp:inline distT="0" distB="0" distL="0" distR="0" wp14:anchorId="3BAF70B2" wp14:editId="54834317">
          <wp:extent cx="1495425" cy="8858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B34B7"/>
    <w:multiLevelType w:val="hybridMultilevel"/>
    <w:tmpl w:val="0CE63E1A"/>
    <w:lvl w:ilvl="0" w:tplc="FDDEDAF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3B6669A"/>
    <w:multiLevelType w:val="hybridMultilevel"/>
    <w:tmpl w:val="C61E159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A062F3"/>
    <w:multiLevelType w:val="hybridMultilevel"/>
    <w:tmpl w:val="F57E63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766AD7"/>
    <w:multiLevelType w:val="hybridMultilevel"/>
    <w:tmpl w:val="0CE63E1A"/>
    <w:lvl w:ilvl="0" w:tplc="FDDEDAFE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B791558"/>
    <w:multiLevelType w:val="hybridMultilevel"/>
    <w:tmpl w:val="15B89958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D7244B5"/>
    <w:multiLevelType w:val="multilevel"/>
    <w:tmpl w:val="9580C29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805"/>
    <w:rsid w:val="0000317A"/>
    <w:rsid w:val="000141CE"/>
    <w:rsid w:val="000407A5"/>
    <w:rsid w:val="00050F0A"/>
    <w:rsid w:val="0005285F"/>
    <w:rsid w:val="00055314"/>
    <w:rsid w:val="00056750"/>
    <w:rsid w:val="00057899"/>
    <w:rsid w:val="00086EF9"/>
    <w:rsid w:val="000B24AE"/>
    <w:rsid w:val="000B33E9"/>
    <w:rsid w:val="001007ED"/>
    <w:rsid w:val="00110E71"/>
    <w:rsid w:val="00115D7E"/>
    <w:rsid w:val="001562B1"/>
    <w:rsid w:val="00173DC2"/>
    <w:rsid w:val="0017560F"/>
    <w:rsid w:val="00175FC4"/>
    <w:rsid w:val="001A0472"/>
    <w:rsid w:val="001E308C"/>
    <w:rsid w:val="001F207F"/>
    <w:rsid w:val="001F25CC"/>
    <w:rsid w:val="00207383"/>
    <w:rsid w:val="002110F4"/>
    <w:rsid w:val="002B04A7"/>
    <w:rsid w:val="002C7329"/>
    <w:rsid w:val="00313D7F"/>
    <w:rsid w:val="003344FB"/>
    <w:rsid w:val="00337746"/>
    <w:rsid w:val="00344562"/>
    <w:rsid w:val="00356521"/>
    <w:rsid w:val="003572A0"/>
    <w:rsid w:val="0037132C"/>
    <w:rsid w:val="003723D9"/>
    <w:rsid w:val="00397AA0"/>
    <w:rsid w:val="003A4F42"/>
    <w:rsid w:val="003B286D"/>
    <w:rsid w:val="003D19C7"/>
    <w:rsid w:val="003E2B77"/>
    <w:rsid w:val="003E68A9"/>
    <w:rsid w:val="003E7C2D"/>
    <w:rsid w:val="00416241"/>
    <w:rsid w:val="00424ED5"/>
    <w:rsid w:val="004264F4"/>
    <w:rsid w:val="004301B2"/>
    <w:rsid w:val="00451763"/>
    <w:rsid w:val="004547E8"/>
    <w:rsid w:val="00455566"/>
    <w:rsid w:val="00492006"/>
    <w:rsid w:val="004C771C"/>
    <w:rsid w:val="004D5573"/>
    <w:rsid w:val="004E3414"/>
    <w:rsid w:val="00507588"/>
    <w:rsid w:val="00512AC2"/>
    <w:rsid w:val="00514116"/>
    <w:rsid w:val="005228CA"/>
    <w:rsid w:val="00535047"/>
    <w:rsid w:val="005714F0"/>
    <w:rsid w:val="005A0F1A"/>
    <w:rsid w:val="005A2710"/>
    <w:rsid w:val="005B26B6"/>
    <w:rsid w:val="005B3222"/>
    <w:rsid w:val="005B65E0"/>
    <w:rsid w:val="005D1F14"/>
    <w:rsid w:val="005D52DE"/>
    <w:rsid w:val="005D729E"/>
    <w:rsid w:val="005E4347"/>
    <w:rsid w:val="005F04AC"/>
    <w:rsid w:val="0062102E"/>
    <w:rsid w:val="00663284"/>
    <w:rsid w:val="00696A7A"/>
    <w:rsid w:val="006A11E2"/>
    <w:rsid w:val="006C7D96"/>
    <w:rsid w:val="00727FAF"/>
    <w:rsid w:val="007348C9"/>
    <w:rsid w:val="007511CF"/>
    <w:rsid w:val="00751361"/>
    <w:rsid w:val="00770CC8"/>
    <w:rsid w:val="007710D3"/>
    <w:rsid w:val="00787994"/>
    <w:rsid w:val="007A7017"/>
    <w:rsid w:val="007B06F8"/>
    <w:rsid w:val="007B2D21"/>
    <w:rsid w:val="007B3A3F"/>
    <w:rsid w:val="007C16FD"/>
    <w:rsid w:val="007C492F"/>
    <w:rsid w:val="007D49C6"/>
    <w:rsid w:val="0083339F"/>
    <w:rsid w:val="00833FE4"/>
    <w:rsid w:val="00842C36"/>
    <w:rsid w:val="008507B8"/>
    <w:rsid w:val="00862748"/>
    <w:rsid w:val="00865663"/>
    <w:rsid w:val="00870DDB"/>
    <w:rsid w:val="00884AAD"/>
    <w:rsid w:val="008B3424"/>
    <w:rsid w:val="008B3841"/>
    <w:rsid w:val="008B439C"/>
    <w:rsid w:val="008D7D65"/>
    <w:rsid w:val="008E586E"/>
    <w:rsid w:val="0091118E"/>
    <w:rsid w:val="00911A75"/>
    <w:rsid w:val="0092324A"/>
    <w:rsid w:val="00955A93"/>
    <w:rsid w:val="00962EF8"/>
    <w:rsid w:val="00965034"/>
    <w:rsid w:val="00981FD0"/>
    <w:rsid w:val="009C5629"/>
    <w:rsid w:val="009D21F3"/>
    <w:rsid w:val="009E007D"/>
    <w:rsid w:val="00A03119"/>
    <w:rsid w:val="00A049CF"/>
    <w:rsid w:val="00A138CE"/>
    <w:rsid w:val="00A3168C"/>
    <w:rsid w:val="00A60811"/>
    <w:rsid w:val="00A62BF0"/>
    <w:rsid w:val="00A67C68"/>
    <w:rsid w:val="00AA5ED8"/>
    <w:rsid w:val="00AB2948"/>
    <w:rsid w:val="00AB3B31"/>
    <w:rsid w:val="00AD4C14"/>
    <w:rsid w:val="00AE0E93"/>
    <w:rsid w:val="00AF5286"/>
    <w:rsid w:val="00B024B8"/>
    <w:rsid w:val="00B1042E"/>
    <w:rsid w:val="00B23D1B"/>
    <w:rsid w:val="00B26805"/>
    <w:rsid w:val="00B3061F"/>
    <w:rsid w:val="00B81E15"/>
    <w:rsid w:val="00B85EB0"/>
    <w:rsid w:val="00BD3E53"/>
    <w:rsid w:val="00BE3239"/>
    <w:rsid w:val="00C471E3"/>
    <w:rsid w:val="00C76DE4"/>
    <w:rsid w:val="00C944CB"/>
    <w:rsid w:val="00C97557"/>
    <w:rsid w:val="00CB218E"/>
    <w:rsid w:val="00CC15ED"/>
    <w:rsid w:val="00CC1BB2"/>
    <w:rsid w:val="00CC2451"/>
    <w:rsid w:val="00CD3D9D"/>
    <w:rsid w:val="00CF20D6"/>
    <w:rsid w:val="00D11608"/>
    <w:rsid w:val="00D164C8"/>
    <w:rsid w:val="00D47DF6"/>
    <w:rsid w:val="00D6572D"/>
    <w:rsid w:val="00D66265"/>
    <w:rsid w:val="00D66EB7"/>
    <w:rsid w:val="00D8422A"/>
    <w:rsid w:val="00D86560"/>
    <w:rsid w:val="00DC53ED"/>
    <w:rsid w:val="00DD2497"/>
    <w:rsid w:val="00DD3EAB"/>
    <w:rsid w:val="00DE6368"/>
    <w:rsid w:val="00DF3250"/>
    <w:rsid w:val="00DF4550"/>
    <w:rsid w:val="00E10595"/>
    <w:rsid w:val="00E21F17"/>
    <w:rsid w:val="00E279E2"/>
    <w:rsid w:val="00E30F39"/>
    <w:rsid w:val="00E52648"/>
    <w:rsid w:val="00E61A0D"/>
    <w:rsid w:val="00E62EA5"/>
    <w:rsid w:val="00E73ABC"/>
    <w:rsid w:val="00E873D3"/>
    <w:rsid w:val="00E948B7"/>
    <w:rsid w:val="00EC0583"/>
    <w:rsid w:val="00ED0EE4"/>
    <w:rsid w:val="00EE473B"/>
    <w:rsid w:val="00EF260D"/>
    <w:rsid w:val="00EF44EF"/>
    <w:rsid w:val="00F01AE0"/>
    <w:rsid w:val="00F3344E"/>
    <w:rsid w:val="00F400BC"/>
    <w:rsid w:val="00F40384"/>
    <w:rsid w:val="00F4191C"/>
    <w:rsid w:val="00F43F33"/>
    <w:rsid w:val="00F70D03"/>
    <w:rsid w:val="00F765A0"/>
    <w:rsid w:val="00F83549"/>
    <w:rsid w:val="00F84215"/>
    <w:rsid w:val="00FA31AA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58D35A6B"/>
  <w15:chartTrackingRefBased/>
  <w15:docId w15:val="{6E58A850-97A2-4EE4-9D96-9E10B01F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3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13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132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3713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132C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11C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11CF"/>
    <w:rPr>
      <w:rFonts w:ascii="Segoe UI" w:eastAsia="Times New Roman" w:hAnsi="Segoe UI" w:cs="Segoe UI"/>
      <w:sz w:val="18"/>
      <w:szCs w:val="18"/>
      <w:lang w:val="es-ES" w:eastAsia="ar-SA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5556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55566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455566"/>
    <w:rPr>
      <w:vertAlign w:val="superscript"/>
    </w:rPr>
  </w:style>
  <w:style w:type="paragraph" w:styleId="Prrafodelista">
    <w:name w:val="List Paragraph"/>
    <w:basedOn w:val="Normal"/>
    <w:uiPriority w:val="34"/>
    <w:qFormat/>
    <w:rsid w:val="0005285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05285F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5714F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14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14F0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4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714F0"/>
    <w:rPr>
      <w:rFonts w:ascii="Times New Roman" w:eastAsia="Times New Roman" w:hAnsi="Times New Roman" w:cs="Times New Roman"/>
      <w:b/>
      <w:bCs/>
      <w:sz w:val="20"/>
      <w:szCs w:val="20"/>
      <w:lang w:val="es-ES" w:eastAsia="ar-SA"/>
    </w:rPr>
  </w:style>
  <w:style w:type="table" w:styleId="Tablaconcuadrcula">
    <w:name w:val="Table Grid"/>
    <w:basedOn w:val="Tablanormal"/>
    <w:uiPriority w:val="39"/>
    <w:rsid w:val="007B3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BFD6A-5C05-4E93-B51A-89934631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2861</Words>
  <Characters>15738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IEPC-USUARIO</dc:creator>
  <cp:keywords/>
  <dc:description/>
  <cp:lastModifiedBy>Luis Alfonso Campos</cp:lastModifiedBy>
  <cp:revision>6</cp:revision>
  <cp:lastPrinted>2022-03-04T17:54:00Z</cp:lastPrinted>
  <dcterms:created xsi:type="dcterms:W3CDTF">2022-03-02T17:55:00Z</dcterms:created>
  <dcterms:modified xsi:type="dcterms:W3CDTF">2022-03-04T18:01:00Z</dcterms:modified>
</cp:coreProperties>
</file>