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037DB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</w:t>
      </w:r>
      <w:bookmarkStart w:id="0" w:name="_GoBack"/>
      <w:bookmarkEnd w:id="0"/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587E2D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Calibri" w:hAnsi="Trebuchet MS" w:cs="Times New Roman"/>
          <w:sz w:val="24"/>
          <w:szCs w:val="24"/>
        </w:rPr>
        <w:t>Informe de actividades que presenta la Dirección de</w:t>
      </w:r>
      <w:r w:rsidR="00F0294C">
        <w:rPr>
          <w:rFonts w:ascii="Trebuchet MS" w:eastAsia="Calibri" w:hAnsi="Trebuchet MS" w:cs="Times New Roman"/>
          <w:sz w:val="24"/>
          <w:szCs w:val="24"/>
        </w:rPr>
        <w:t xml:space="preserve"> P</w:t>
      </w:r>
      <w:r w:rsidR="003C25CE">
        <w:rPr>
          <w:rFonts w:ascii="Trebuchet MS" w:eastAsia="Calibri" w:hAnsi="Trebuchet MS" w:cs="Times New Roman"/>
          <w:sz w:val="24"/>
          <w:szCs w:val="24"/>
        </w:rPr>
        <w:t>r</w:t>
      </w:r>
      <w:r w:rsidR="00F0294C">
        <w:rPr>
          <w:rFonts w:ascii="Trebuchet MS" w:eastAsia="Calibri" w:hAnsi="Trebuchet MS" w:cs="Times New Roman"/>
          <w:sz w:val="24"/>
          <w:szCs w:val="24"/>
        </w:rPr>
        <w:t>errogativas</w:t>
      </w:r>
      <w:r w:rsidRPr="00587E2D">
        <w:rPr>
          <w:rFonts w:ascii="Trebuchet MS" w:eastAsia="Calibri" w:hAnsi="Trebuchet MS" w:cs="Times New Roman"/>
          <w:sz w:val="24"/>
          <w:szCs w:val="24"/>
        </w:rPr>
        <w:t>.</w:t>
      </w:r>
    </w:p>
    <w:p w:rsidR="00F5262B" w:rsidRPr="00F5262B" w:rsidRDefault="00F5262B" w:rsidP="00F5262B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037DB6" w:rsidP="00037DB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d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ictamen que emite la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rerrogativas a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artidos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olíticos del </w:t>
      </w:r>
      <w:r>
        <w:rPr>
          <w:rFonts w:ascii="Trebuchet MS" w:eastAsia="Calibri" w:hAnsi="Trebuchet MS" w:cs="Times New Roman"/>
          <w:sz w:val="24"/>
          <w:szCs w:val="24"/>
        </w:rPr>
        <w:t>Instituto Electoral y de P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Pr="00037DB6">
        <w:rPr>
          <w:rFonts w:ascii="Trebuchet MS" w:eastAsia="Calibri" w:hAnsi="Trebuchet MS" w:cs="Times New Roman"/>
          <w:sz w:val="24"/>
          <w:szCs w:val="24"/>
        </w:rPr>
        <w:t>alisco</w:t>
      </w:r>
      <w:r>
        <w:rPr>
          <w:rFonts w:ascii="Trebuchet MS" w:eastAsia="Calibri" w:hAnsi="Trebuchet MS" w:cs="Times New Roman"/>
          <w:sz w:val="24"/>
          <w:szCs w:val="24"/>
        </w:rPr>
        <w:t>,</w:t>
      </w:r>
      <w:r w:rsidRPr="00037DB6">
        <w:rPr>
          <w:rFonts w:ascii="Trebuchet MS" w:eastAsia="Calibri" w:hAnsi="Trebuchet MS" w:cs="Times New Roman"/>
          <w:sz w:val="24"/>
          <w:szCs w:val="24"/>
        </w:rPr>
        <w:t xml:space="preserve"> mediante el cual propone un ajuste en la distribución del financiamiento público estatal de los partidos políticos nacionales para el cuarto trimestre de 2020</w:t>
      </w:r>
      <w:r>
        <w:rPr>
          <w:rFonts w:ascii="Trebuchet MS" w:eastAsia="Calibri" w:hAnsi="Trebuchet MS" w:cs="Times New Roman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F0" w:rsidRDefault="00EE43F0" w:rsidP="00EA657E">
      <w:pPr>
        <w:spacing w:after="0" w:line="240" w:lineRule="auto"/>
      </w:pPr>
      <w:r>
        <w:separator/>
      </w:r>
    </w:p>
  </w:endnote>
  <w:endnote w:type="continuationSeparator" w:id="0">
    <w:p w:rsidR="00EE43F0" w:rsidRDefault="00EE43F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EE43F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F0" w:rsidRDefault="00EE43F0" w:rsidP="00EA657E">
      <w:pPr>
        <w:spacing w:after="0" w:line="240" w:lineRule="auto"/>
      </w:pPr>
      <w:r>
        <w:separator/>
      </w:r>
    </w:p>
  </w:footnote>
  <w:footnote w:type="continuationSeparator" w:id="0">
    <w:p w:rsidR="00EE43F0" w:rsidRDefault="00EE43F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E4715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22</cp:revision>
  <cp:lastPrinted>2020-10-09T11:51:00Z</cp:lastPrinted>
  <dcterms:created xsi:type="dcterms:W3CDTF">2018-12-06T21:51:00Z</dcterms:created>
  <dcterms:modified xsi:type="dcterms:W3CDTF">2020-10-09T11:51:00Z</dcterms:modified>
</cp:coreProperties>
</file>