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8BA8" w14:textId="1F70F4B2" w:rsidR="00C23081" w:rsidRDefault="007F0225" w:rsidP="000A6FF6">
      <w:pPr>
        <w:ind w:left="-851" w:right="-801"/>
        <w:jc w:val="center"/>
        <w:rPr>
          <w:rFonts w:ascii="Trebuchet MS" w:hAnsi="Trebuchet MS"/>
          <w:b/>
          <w:bCs/>
          <w:color w:val="7030A0"/>
          <w:spacing w:val="40"/>
          <w:sz w:val="20"/>
          <w:szCs w:val="20"/>
        </w:rPr>
      </w:pPr>
      <w:r w:rsidRPr="000A6FF6">
        <w:rPr>
          <w:rFonts w:ascii="Trebuchet MS" w:hAnsi="Trebuchet MS"/>
          <w:b/>
          <w:bCs/>
          <w:color w:val="7030A0"/>
          <w:spacing w:val="40"/>
          <w:sz w:val="20"/>
          <w:szCs w:val="20"/>
        </w:rPr>
        <w:t>MONTOS SOBRE LOS LÍMITES ANUALES DE FINANCI</w:t>
      </w:r>
      <w:r w:rsidR="003B7F19" w:rsidRPr="000A6FF6">
        <w:rPr>
          <w:rFonts w:ascii="Trebuchet MS" w:hAnsi="Trebuchet MS"/>
          <w:b/>
          <w:bCs/>
          <w:color w:val="7030A0"/>
          <w:spacing w:val="40"/>
          <w:sz w:val="20"/>
          <w:szCs w:val="20"/>
        </w:rPr>
        <w:t>A</w:t>
      </w:r>
      <w:r w:rsidRPr="000A6FF6">
        <w:rPr>
          <w:rFonts w:ascii="Trebuchet MS" w:hAnsi="Trebuchet MS"/>
          <w:b/>
          <w:bCs/>
          <w:color w:val="7030A0"/>
          <w:spacing w:val="40"/>
          <w:sz w:val="20"/>
          <w:szCs w:val="20"/>
        </w:rPr>
        <w:t>MIENTO PRIVADO QUE PODRÁ</w:t>
      </w:r>
      <w:r w:rsidR="001251B4" w:rsidRPr="000A6FF6">
        <w:rPr>
          <w:rFonts w:ascii="Trebuchet MS" w:hAnsi="Trebuchet MS"/>
          <w:b/>
          <w:bCs/>
          <w:color w:val="7030A0"/>
          <w:spacing w:val="40"/>
          <w:sz w:val="20"/>
          <w:szCs w:val="20"/>
        </w:rPr>
        <w:t xml:space="preserve">N PERCIBIR LOS </w:t>
      </w:r>
      <w:r w:rsidRPr="000A6FF6">
        <w:rPr>
          <w:rFonts w:ascii="Trebuchet MS" w:hAnsi="Trebuchet MS"/>
          <w:b/>
          <w:bCs/>
          <w:color w:val="7030A0"/>
          <w:spacing w:val="40"/>
          <w:sz w:val="20"/>
          <w:szCs w:val="20"/>
        </w:rPr>
        <w:t>PARTIDO POLÍTICO</w:t>
      </w:r>
      <w:r w:rsidR="001251B4" w:rsidRPr="000A6FF6">
        <w:rPr>
          <w:rFonts w:ascii="Trebuchet MS" w:hAnsi="Trebuchet MS"/>
          <w:b/>
          <w:bCs/>
          <w:color w:val="7030A0"/>
          <w:spacing w:val="40"/>
          <w:sz w:val="20"/>
          <w:szCs w:val="20"/>
        </w:rPr>
        <w:t xml:space="preserve"> NACIONALES </w:t>
      </w:r>
      <w:r w:rsidR="00CA4BD6" w:rsidRPr="000A6FF6">
        <w:rPr>
          <w:rFonts w:ascii="Trebuchet MS" w:hAnsi="Trebuchet MS"/>
          <w:b/>
          <w:bCs/>
          <w:color w:val="7030A0"/>
          <w:spacing w:val="40"/>
          <w:sz w:val="20"/>
          <w:szCs w:val="20"/>
        </w:rPr>
        <w:t>CON</w:t>
      </w:r>
      <w:r w:rsidR="001251B4" w:rsidRPr="000A6FF6">
        <w:rPr>
          <w:rFonts w:ascii="Trebuchet MS" w:hAnsi="Trebuchet MS"/>
          <w:b/>
          <w:bCs/>
          <w:color w:val="7030A0"/>
          <w:spacing w:val="40"/>
          <w:sz w:val="20"/>
          <w:szCs w:val="20"/>
        </w:rPr>
        <w:t xml:space="preserve"> ACREDITACIÓN EN EL ESTADO DE JALISCO Y LOCALES</w:t>
      </w:r>
      <w:r w:rsidR="00CA4BD6" w:rsidRPr="000A6FF6">
        <w:rPr>
          <w:rFonts w:ascii="Trebuchet MS" w:hAnsi="Trebuchet MS"/>
          <w:b/>
          <w:bCs/>
          <w:color w:val="7030A0"/>
          <w:spacing w:val="40"/>
          <w:sz w:val="20"/>
          <w:szCs w:val="20"/>
        </w:rPr>
        <w:t>,</w:t>
      </w:r>
      <w:r w:rsidRPr="000A6FF6">
        <w:rPr>
          <w:rFonts w:ascii="Trebuchet MS" w:hAnsi="Trebuchet MS"/>
          <w:b/>
          <w:bCs/>
          <w:color w:val="7030A0"/>
          <w:spacing w:val="40"/>
          <w:sz w:val="20"/>
          <w:szCs w:val="20"/>
        </w:rPr>
        <w:t xml:space="preserve"> DURANTE EL AÑO DOS MIL </w:t>
      </w:r>
      <w:r w:rsidR="00DC34AD" w:rsidRPr="000A6FF6">
        <w:rPr>
          <w:rFonts w:ascii="Trebuchet MS" w:hAnsi="Trebuchet MS"/>
          <w:b/>
          <w:bCs/>
          <w:color w:val="7030A0"/>
          <w:spacing w:val="40"/>
          <w:sz w:val="20"/>
          <w:szCs w:val="20"/>
        </w:rPr>
        <w:t>VEINTI</w:t>
      </w:r>
      <w:r w:rsidR="00896AED">
        <w:rPr>
          <w:rFonts w:ascii="Trebuchet MS" w:hAnsi="Trebuchet MS"/>
          <w:b/>
          <w:bCs/>
          <w:color w:val="7030A0"/>
          <w:spacing w:val="40"/>
          <w:sz w:val="20"/>
          <w:szCs w:val="20"/>
        </w:rPr>
        <w:t>TRÉS</w:t>
      </w:r>
    </w:p>
    <w:p w14:paraId="60C35830" w14:textId="77777777" w:rsidR="000A6FF6" w:rsidRPr="000A6FF6" w:rsidRDefault="000A6FF6" w:rsidP="000A6FF6">
      <w:pPr>
        <w:ind w:left="-851" w:right="-801"/>
        <w:jc w:val="center"/>
        <w:rPr>
          <w:rFonts w:ascii="Trebuchet MS" w:hAnsi="Trebuchet MS"/>
          <w:b/>
          <w:bCs/>
          <w:color w:val="7030A0"/>
          <w:spacing w:val="40"/>
          <w:sz w:val="20"/>
          <w:szCs w:val="20"/>
        </w:rPr>
      </w:pPr>
    </w:p>
    <w:tbl>
      <w:tblPr>
        <w:tblW w:w="1109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4"/>
        <w:gridCol w:w="5190"/>
        <w:gridCol w:w="3729"/>
        <w:gridCol w:w="1843"/>
      </w:tblGrid>
      <w:tr w:rsidR="00763430" w:rsidRPr="000A6FF6" w14:paraId="4C31FF39" w14:textId="77777777" w:rsidTr="000A3D05">
        <w:trPr>
          <w:trHeight w:val="893"/>
          <w:jc w:val="center"/>
        </w:trPr>
        <w:tc>
          <w:tcPr>
            <w:tcW w:w="11096" w:type="dxa"/>
            <w:gridSpan w:val="4"/>
            <w:shd w:val="clear" w:color="auto" w:fill="auto"/>
            <w:vAlign w:val="center"/>
          </w:tcPr>
          <w:p w14:paraId="7A1EC4A1" w14:textId="4EE0E875" w:rsidR="00763430" w:rsidRPr="000A6FF6" w:rsidRDefault="00763430" w:rsidP="001F203D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bCs/>
                <w:color w:val="7030A0"/>
                <w:sz w:val="20"/>
                <w:szCs w:val="20"/>
                <w:lang w:val="es-MX"/>
              </w:rPr>
            </w:pPr>
            <w:r w:rsidRPr="000A6FF6">
              <w:rPr>
                <w:rFonts w:ascii="Trebuchet MS" w:hAnsi="Trebuchet MS" w:cs="Arial"/>
                <w:b/>
                <w:bCs/>
                <w:color w:val="7030A0"/>
                <w:sz w:val="20"/>
                <w:szCs w:val="20"/>
                <w:lang w:val="es-MX"/>
              </w:rPr>
              <w:t xml:space="preserve">LÍMITES DE FINANCIAMIENTO PRIVADO QUE LOS </w:t>
            </w:r>
            <w:r w:rsidRPr="003315D8">
              <w:rPr>
                <w:rFonts w:ascii="Trebuchet MS" w:hAnsi="Trebuchet MS" w:cs="Arial"/>
                <w:b/>
                <w:bCs/>
                <w:color w:val="7030A0"/>
                <w:sz w:val="20"/>
                <w:szCs w:val="20"/>
                <w:u w:val="single"/>
                <w:lang w:val="es-MX"/>
              </w:rPr>
              <w:t>PARTIDOS POLÍTICOS</w:t>
            </w:r>
            <w:r w:rsidR="001251B4" w:rsidRPr="003315D8">
              <w:rPr>
                <w:rFonts w:ascii="Trebuchet MS" w:hAnsi="Trebuchet MS" w:cs="Arial"/>
                <w:b/>
                <w:bCs/>
                <w:color w:val="7030A0"/>
                <w:sz w:val="20"/>
                <w:szCs w:val="20"/>
                <w:u w:val="single"/>
                <w:lang w:val="es-MX"/>
              </w:rPr>
              <w:t xml:space="preserve"> NACIONALES </w:t>
            </w:r>
            <w:r w:rsidR="00F753F7" w:rsidRPr="003315D8">
              <w:rPr>
                <w:rFonts w:ascii="Trebuchet MS" w:hAnsi="Trebuchet MS" w:cs="Arial"/>
                <w:b/>
                <w:bCs/>
                <w:color w:val="7030A0"/>
                <w:sz w:val="20"/>
                <w:szCs w:val="20"/>
                <w:u w:val="single"/>
                <w:lang w:val="es-MX"/>
              </w:rPr>
              <w:t>ACR</w:t>
            </w:r>
            <w:r w:rsidR="001251B4" w:rsidRPr="003315D8">
              <w:rPr>
                <w:rFonts w:ascii="Trebuchet MS" w:hAnsi="Trebuchet MS" w:cs="Arial"/>
                <w:b/>
                <w:bCs/>
                <w:color w:val="7030A0"/>
                <w:sz w:val="20"/>
                <w:szCs w:val="20"/>
                <w:u w:val="single"/>
                <w:lang w:val="es-MX"/>
              </w:rPr>
              <w:t>EDITADOS</w:t>
            </w:r>
            <w:r w:rsidR="00F46C56" w:rsidRPr="003315D8">
              <w:rPr>
                <w:rFonts w:ascii="Trebuchet MS" w:hAnsi="Trebuchet MS" w:cs="Arial"/>
                <w:b/>
                <w:bCs/>
                <w:color w:val="7030A0"/>
                <w:sz w:val="20"/>
                <w:szCs w:val="20"/>
                <w:u w:val="single"/>
                <w:lang w:val="es-MX"/>
              </w:rPr>
              <w:t xml:space="preserve"> EN JALISCO</w:t>
            </w:r>
            <w:r w:rsidRPr="000A6FF6">
              <w:rPr>
                <w:rFonts w:ascii="Trebuchet MS" w:hAnsi="Trebuchet MS" w:cs="Arial"/>
                <w:b/>
                <w:bCs/>
                <w:color w:val="7030A0"/>
                <w:sz w:val="20"/>
                <w:szCs w:val="20"/>
                <w:lang w:val="es-MX"/>
              </w:rPr>
              <w:t xml:space="preserve"> PUEDEN OBTENER DURANTE EL EJERCICIO ANUAL </w:t>
            </w:r>
            <w:r w:rsidR="00DC34AD" w:rsidRPr="000A6FF6">
              <w:rPr>
                <w:rFonts w:ascii="Trebuchet MS" w:hAnsi="Trebuchet MS" w:cs="Arial"/>
                <w:b/>
                <w:bCs/>
                <w:color w:val="7030A0"/>
                <w:sz w:val="20"/>
                <w:szCs w:val="20"/>
                <w:lang w:val="es-MX"/>
              </w:rPr>
              <w:t>202</w:t>
            </w:r>
            <w:r w:rsidR="00490152">
              <w:rPr>
                <w:rFonts w:ascii="Trebuchet MS" w:hAnsi="Trebuchet MS" w:cs="Arial"/>
                <w:b/>
                <w:bCs/>
                <w:color w:val="7030A0"/>
                <w:sz w:val="20"/>
                <w:szCs w:val="20"/>
                <w:lang w:val="es-MX"/>
              </w:rPr>
              <w:t>3</w:t>
            </w:r>
          </w:p>
          <w:p w14:paraId="096A4050" w14:textId="2DEA9091" w:rsidR="00EE49E5" w:rsidRPr="000A6FF6" w:rsidRDefault="00EE49E5" w:rsidP="001F203D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>Artículo</w:t>
            </w:r>
            <w:r w:rsidR="00AC16C5"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s </w:t>
            </w:r>
            <w:r w:rsidR="00600244"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41, base II Constitución Política de los Estados Unidos Mexicanos; </w:t>
            </w:r>
            <w:r w:rsidR="00AC16C5"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>53 y 56 de la Ley General de Partidos Políticos; 13, Base V de la Constitución Política del Estado de Jalisco; y</w:t>
            </w:r>
            <w:r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 89, párrafo 3 del Código Electoral del Estado de Jalisco</w:t>
            </w:r>
          </w:p>
        </w:tc>
      </w:tr>
      <w:tr w:rsidR="00A04D77" w:rsidRPr="000A6FF6" w14:paraId="464619AF" w14:textId="77777777" w:rsidTr="000A6FF6">
        <w:trPr>
          <w:trHeight w:val="363"/>
          <w:jc w:val="center"/>
        </w:trPr>
        <w:tc>
          <w:tcPr>
            <w:tcW w:w="5524" w:type="dxa"/>
            <w:gridSpan w:val="2"/>
            <w:shd w:val="clear" w:color="auto" w:fill="auto"/>
            <w:vAlign w:val="center"/>
          </w:tcPr>
          <w:p w14:paraId="35191675" w14:textId="77777777" w:rsidR="00763430" w:rsidRPr="000A6FF6" w:rsidRDefault="00763430" w:rsidP="005464FB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color w:val="7030A0"/>
                <w:sz w:val="20"/>
                <w:szCs w:val="20"/>
                <w:lang w:val="es-MX"/>
              </w:rPr>
            </w:pPr>
            <w:r w:rsidRPr="000A6FF6">
              <w:rPr>
                <w:rFonts w:ascii="Trebuchet MS" w:hAnsi="Trebuchet MS" w:cs="Arial"/>
                <w:color w:val="7030A0"/>
                <w:sz w:val="20"/>
                <w:szCs w:val="20"/>
                <w:lang w:val="es-MX"/>
              </w:rPr>
              <w:t xml:space="preserve">CONCEPTO 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1E7F5DCC" w14:textId="77777777" w:rsidR="00763430" w:rsidRPr="000A6FF6" w:rsidRDefault="00F170B6" w:rsidP="005464FB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color w:val="7030A0"/>
                <w:sz w:val="20"/>
                <w:szCs w:val="20"/>
                <w:lang w:val="es-MX"/>
              </w:rPr>
            </w:pPr>
            <w:r w:rsidRPr="000A6FF6">
              <w:rPr>
                <w:rFonts w:ascii="Trebuchet MS" w:hAnsi="Trebuchet MS" w:cs="Arial"/>
                <w:color w:val="7030A0"/>
                <w:sz w:val="20"/>
                <w:szCs w:val="20"/>
                <w:lang w:val="es-MX"/>
              </w:rPr>
              <w:t>LÍ</w:t>
            </w:r>
            <w:r w:rsidR="00763430" w:rsidRPr="000A6FF6">
              <w:rPr>
                <w:rFonts w:ascii="Trebuchet MS" w:hAnsi="Trebuchet MS" w:cs="Arial"/>
                <w:color w:val="7030A0"/>
                <w:sz w:val="20"/>
                <w:szCs w:val="20"/>
                <w:lang w:val="es-MX"/>
              </w:rPr>
              <w:t>MITES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3E260A" w14:textId="77777777" w:rsidR="00763430" w:rsidRPr="000A6FF6" w:rsidRDefault="00763430" w:rsidP="005464FB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color w:val="7030A0"/>
                <w:sz w:val="20"/>
                <w:szCs w:val="20"/>
                <w:lang w:val="es-MX"/>
              </w:rPr>
            </w:pPr>
            <w:r w:rsidRPr="000A6FF6">
              <w:rPr>
                <w:rFonts w:ascii="Trebuchet MS" w:hAnsi="Trebuchet MS" w:cs="Arial"/>
                <w:color w:val="7030A0"/>
                <w:sz w:val="20"/>
                <w:szCs w:val="20"/>
                <w:lang w:val="es-MX"/>
              </w:rPr>
              <w:t>MONTO</w:t>
            </w:r>
          </w:p>
        </w:tc>
      </w:tr>
      <w:tr w:rsidR="00763430" w:rsidRPr="000A6FF6" w14:paraId="79816B96" w14:textId="77777777" w:rsidTr="00C450E3">
        <w:trPr>
          <w:trHeight w:val="509"/>
          <w:jc w:val="center"/>
        </w:trPr>
        <w:tc>
          <w:tcPr>
            <w:tcW w:w="9253" w:type="dxa"/>
            <w:gridSpan w:val="3"/>
            <w:shd w:val="clear" w:color="auto" w:fill="auto"/>
            <w:vAlign w:val="center"/>
          </w:tcPr>
          <w:p w14:paraId="0A54366E" w14:textId="624E025C" w:rsidR="008E56C7" w:rsidRPr="000A6FF6" w:rsidRDefault="008E56C7" w:rsidP="000A3D05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>Monto del financiamiento público</w:t>
            </w:r>
            <w:r w:rsidR="00A83BB5"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 </w:t>
            </w:r>
            <w:r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otorgado a la totalidad de los partidos políticos </w:t>
            </w:r>
            <w:r w:rsidR="00F46C56"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nacionales acreditados en Jalisco </w:t>
            </w:r>
            <w:r w:rsidR="0089363A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y locales </w:t>
            </w:r>
            <w:r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>para el sostenimiento de sus acti</w:t>
            </w:r>
            <w:r w:rsidR="00A908E3"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>v</w:t>
            </w:r>
            <w:r w:rsidR="00D44DAD"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>idades ordinarias en el año 202</w:t>
            </w:r>
            <w:r w:rsidR="0089363A">
              <w:rPr>
                <w:rFonts w:ascii="Trebuchet MS" w:hAnsi="Trebuchet MS" w:cs="Arial"/>
                <w:sz w:val="20"/>
                <w:szCs w:val="20"/>
                <w:lang w:val="es-MX"/>
              </w:rPr>
              <w:t>3</w:t>
            </w:r>
            <w:r w:rsidRPr="000A6FF6">
              <w:rPr>
                <w:rStyle w:val="Refdenotaalpie"/>
                <w:rFonts w:ascii="Trebuchet MS" w:hAnsi="Trebuchet MS" w:cs="Arial"/>
                <w:sz w:val="20"/>
                <w:szCs w:val="20"/>
                <w:lang w:val="es-MX"/>
              </w:rPr>
              <w:footnoteReference w:id="1"/>
            </w:r>
            <w:r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>.</w:t>
            </w:r>
          </w:p>
          <w:p w14:paraId="5BB8C3FF" w14:textId="77777777" w:rsidR="000A3D05" w:rsidRPr="000A6FF6" w:rsidRDefault="000A3D05" w:rsidP="000A3D05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43E3A7" w14:textId="4EE41246" w:rsidR="008E56C7" w:rsidRPr="000A6FF6" w:rsidRDefault="00791AB2" w:rsidP="000A3D05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  <w:r w:rsidRPr="000A6FF6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$</w:t>
            </w:r>
            <w:r w:rsidR="0089363A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394,181,510.42</w:t>
            </w:r>
          </w:p>
        </w:tc>
      </w:tr>
      <w:tr w:rsidR="00763430" w:rsidRPr="000A6FF6" w14:paraId="12A96587" w14:textId="77777777" w:rsidTr="000A3D05">
        <w:trPr>
          <w:trHeight w:val="117"/>
          <w:jc w:val="center"/>
        </w:trPr>
        <w:tc>
          <w:tcPr>
            <w:tcW w:w="9253" w:type="dxa"/>
            <w:gridSpan w:val="3"/>
            <w:shd w:val="clear" w:color="auto" w:fill="auto"/>
            <w:vAlign w:val="center"/>
          </w:tcPr>
          <w:p w14:paraId="7509453C" w14:textId="3368FC42" w:rsidR="008E56C7" w:rsidRPr="000A6FF6" w:rsidRDefault="008E56C7" w:rsidP="000A3D05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  <w:r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Monto establecido como </w:t>
            </w:r>
            <w:r w:rsidR="001D7531" w:rsidRPr="000A6FF6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TOPE DE GASTO DE CAMPAÑ</w:t>
            </w:r>
            <w:r w:rsidRPr="000A6FF6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 xml:space="preserve">A </w:t>
            </w:r>
            <w:r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para la elección </w:t>
            </w:r>
            <w:r w:rsidR="006B4347">
              <w:rPr>
                <w:rFonts w:ascii="Trebuchet MS" w:hAnsi="Trebuchet MS" w:cs="Arial"/>
                <w:sz w:val="20"/>
                <w:szCs w:val="20"/>
                <w:lang w:val="es-MX"/>
              </w:rPr>
              <w:t>para</w:t>
            </w:r>
            <w:r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 </w:t>
            </w:r>
            <w:r w:rsidR="006B4347">
              <w:rPr>
                <w:rFonts w:ascii="Trebuchet MS" w:hAnsi="Trebuchet MS" w:cs="Arial"/>
                <w:sz w:val="20"/>
                <w:szCs w:val="20"/>
                <w:lang w:val="es-MX"/>
              </w:rPr>
              <w:t>la go</w:t>
            </w:r>
            <w:r w:rsidR="006B4347"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>bernador</w:t>
            </w:r>
            <w:r w:rsidR="006B4347">
              <w:rPr>
                <w:rFonts w:ascii="Trebuchet MS" w:hAnsi="Trebuchet MS" w:cs="Arial"/>
                <w:sz w:val="20"/>
                <w:szCs w:val="20"/>
                <w:lang w:val="es-MX"/>
              </w:rPr>
              <w:t>a</w:t>
            </w:r>
            <w:r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 </w:t>
            </w:r>
            <w:r w:rsidR="006B4347">
              <w:rPr>
                <w:rFonts w:ascii="Trebuchet MS" w:hAnsi="Trebuchet MS" w:cs="Arial"/>
                <w:sz w:val="20"/>
                <w:szCs w:val="20"/>
                <w:lang w:val="es-MX"/>
              </w:rPr>
              <w:t>i</w:t>
            </w:r>
            <w:r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>nmediata anterior</w:t>
            </w:r>
            <w:r w:rsidRPr="000A6FF6">
              <w:rPr>
                <w:rStyle w:val="Refdenotaalpie"/>
                <w:rFonts w:ascii="Trebuchet MS" w:hAnsi="Trebuchet MS" w:cs="Arial"/>
                <w:sz w:val="20"/>
                <w:szCs w:val="20"/>
                <w:lang w:val="es-MX"/>
              </w:rPr>
              <w:footnoteReference w:id="2"/>
            </w:r>
            <w:r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, es decir, la celebrada en el año </w:t>
            </w:r>
            <w:r w:rsidR="00A04D77"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>201</w:t>
            </w:r>
            <w:r w:rsidR="00C172D8"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>8</w:t>
            </w:r>
            <w:r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B216CA" w14:textId="77777777" w:rsidR="001F203D" w:rsidRPr="00490152" w:rsidRDefault="001F203D" w:rsidP="000A3D05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</w:p>
          <w:p w14:paraId="6E21374B" w14:textId="77777777" w:rsidR="008E56C7" w:rsidRPr="00490152" w:rsidRDefault="008E56C7" w:rsidP="00D9528D">
            <w:pPr>
              <w:pStyle w:val="Prrafodelista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  <w:r w:rsidRPr="00490152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$</w:t>
            </w:r>
            <w:r w:rsidR="00A04D77" w:rsidRPr="00490152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28,588,343.45</w:t>
            </w:r>
          </w:p>
          <w:p w14:paraId="0B533874" w14:textId="77777777" w:rsidR="00763430" w:rsidRPr="00490152" w:rsidRDefault="00763430" w:rsidP="000A3D05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</w:p>
        </w:tc>
      </w:tr>
      <w:tr w:rsidR="004F014F" w:rsidRPr="000A6FF6" w14:paraId="6BF697BC" w14:textId="77777777" w:rsidTr="000A3D05">
        <w:trPr>
          <w:trHeight w:val="387"/>
          <w:jc w:val="center"/>
        </w:trPr>
        <w:tc>
          <w:tcPr>
            <w:tcW w:w="11096" w:type="dxa"/>
            <w:gridSpan w:val="4"/>
            <w:shd w:val="clear" w:color="auto" w:fill="auto"/>
            <w:vAlign w:val="center"/>
          </w:tcPr>
          <w:p w14:paraId="07A8A60B" w14:textId="77777777" w:rsidR="004F014F" w:rsidRPr="000A6FF6" w:rsidRDefault="00F170B6" w:rsidP="005464FB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color w:val="7030A0"/>
                <w:spacing w:val="20"/>
                <w:sz w:val="20"/>
                <w:szCs w:val="20"/>
                <w:lang w:val="es-MX"/>
              </w:rPr>
            </w:pPr>
            <w:r w:rsidRPr="000A6FF6">
              <w:rPr>
                <w:rFonts w:ascii="Trebuchet MS" w:hAnsi="Trebuchet MS" w:cs="Arial"/>
                <w:color w:val="7030A0"/>
                <w:spacing w:val="20"/>
                <w:sz w:val="20"/>
                <w:szCs w:val="20"/>
                <w:lang w:val="es-MX"/>
              </w:rPr>
              <w:t>MODALIDADES Y LÍ</w:t>
            </w:r>
            <w:r w:rsidR="00763430" w:rsidRPr="000A6FF6">
              <w:rPr>
                <w:rFonts w:ascii="Trebuchet MS" w:hAnsi="Trebuchet MS" w:cs="Arial"/>
                <w:color w:val="7030A0"/>
                <w:spacing w:val="20"/>
                <w:sz w:val="20"/>
                <w:szCs w:val="20"/>
                <w:lang w:val="es-MX"/>
              </w:rPr>
              <w:t>MITES</w:t>
            </w:r>
          </w:p>
        </w:tc>
      </w:tr>
      <w:tr w:rsidR="00A04D77" w:rsidRPr="000A6FF6" w14:paraId="641F3ED9" w14:textId="77777777" w:rsidTr="000A6FF6">
        <w:trPr>
          <w:trHeight w:val="117"/>
          <w:jc w:val="center"/>
        </w:trPr>
        <w:tc>
          <w:tcPr>
            <w:tcW w:w="334" w:type="dxa"/>
            <w:vMerge w:val="restart"/>
            <w:shd w:val="clear" w:color="auto" w:fill="auto"/>
            <w:vAlign w:val="center"/>
          </w:tcPr>
          <w:p w14:paraId="6E27F9C9" w14:textId="77777777" w:rsidR="00326952" w:rsidRPr="000A6FF6" w:rsidRDefault="00326952" w:rsidP="005464FB">
            <w:pPr>
              <w:pStyle w:val="Prrafodelista"/>
              <w:spacing w:after="0" w:line="240" w:lineRule="auto"/>
              <w:ind w:left="0" w:right="-180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  <w:r w:rsidRPr="000A6FF6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1</w:t>
            </w:r>
          </w:p>
        </w:tc>
        <w:tc>
          <w:tcPr>
            <w:tcW w:w="5190" w:type="dxa"/>
            <w:shd w:val="clear" w:color="auto" w:fill="auto"/>
          </w:tcPr>
          <w:p w14:paraId="0EA682D8" w14:textId="77777777" w:rsidR="00275F8F" w:rsidRPr="000A6FF6" w:rsidRDefault="00275F8F" w:rsidP="006A0EEF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</w:p>
          <w:p w14:paraId="24F63E76" w14:textId="77777777" w:rsidR="00326952" w:rsidRPr="000A6FF6" w:rsidRDefault="00326952" w:rsidP="006A0EEF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 w:rsidRPr="000A6FF6">
              <w:rPr>
                <w:rFonts w:ascii="Trebuchet MS" w:hAnsi="Trebuchet MS" w:cs="Arial"/>
                <w:sz w:val="20"/>
                <w:szCs w:val="20"/>
                <w:lang w:val="es-ES_tradnl"/>
              </w:rPr>
              <w:t xml:space="preserve">Financiamiento por la </w:t>
            </w:r>
            <w:r w:rsidRPr="000A6FF6"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>MILITANCIA</w:t>
            </w:r>
            <w:r w:rsidR="00895F31" w:rsidRPr="000A6FF6">
              <w:rPr>
                <w:rStyle w:val="Refdenotaalpie"/>
                <w:rFonts w:ascii="Trebuchet MS" w:hAnsi="Trebuchet MS" w:cs="Arial"/>
                <w:b/>
                <w:color w:val="7030A0"/>
                <w:sz w:val="20"/>
                <w:szCs w:val="20"/>
                <w:lang w:val="es-ES_tradnl"/>
              </w:rPr>
              <w:footnoteReference w:id="3"/>
            </w:r>
            <w:r w:rsidRPr="000A6FF6">
              <w:rPr>
                <w:rFonts w:ascii="Trebuchet MS" w:hAnsi="Trebuchet MS" w:cs="Arial"/>
                <w:color w:val="7030A0"/>
                <w:sz w:val="20"/>
                <w:szCs w:val="20"/>
                <w:lang w:val="es-MX"/>
              </w:rPr>
              <w:t>. (LGPP, artículo 53, párrafo 1, inciso a)</w:t>
            </w:r>
            <w:r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, incluye: </w:t>
            </w:r>
          </w:p>
        </w:tc>
        <w:tc>
          <w:tcPr>
            <w:tcW w:w="3729" w:type="dxa"/>
            <w:vMerge w:val="restart"/>
            <w:shd w:val="clear" w:color="auto" w:fill="auto"/>
            <w:vAlign w:val="center"/>
          </w:tcPr>
          <w:p w14:paraId="15C6EBDE" w14:textId="77777777" w:rsidR="00326952" w:rsidRPr="000A6FF6" w:rsidRDefault="00326952" w:rsidP="005464FB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  <w:r w:rsidRPr="000A6FF6">
              <w:rPr>
                <w:rFonts w:ascii="Trebuchet MS" w:hAnsi="Trebuchet MS" w:cs="Arial"/>
                <w:sz w:val="20"/>
                <w:szCs w:val="20"/>
                <w:lang w:val="es-ES_tradnl"/>
              </w:rPr>
              <w:t xml:space="preserve">El </w:t>
            </w:r>
            <w:r w:rsidRPr="000A6FF6"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>dos</w:t>
            </w:r>
            <w:r w:rsidRPr="000A6FF6">
              <w:rPr>
                <w:rFonts w:ascii="Trebuchet MS" w:hAnsi="Trebuchet MS" w:cs="Arial"/>
                <w:sz w:val="20"/>
                <w:szCs w:val="20"/>
                <w:lang w:val="es-ES_tradnl"/>
              </w:rPr>
              <w:t xml:space="preserve"> por ciento del financiamiento público otorgado a la totalidad de los partidos políticos para el sostenimiento de sus actividades ordinarias y precampañas en el año de que se trate. </w:t>
            </w:r>
            <w:r w:rsidRPr="000A6FF6">
              <w:rPr>
                <w:rFonts w:ascii="Trebuchet MS" w:hAnsi="Trebuchet MS" w:cs="Arial"/>
                <w:color w:val="7030A0"/>
                <w:sz w:val="20"/>
                <w:szCs w:val="20"/>
                <w:lang w:val="es-MX"/>
              </w:rPr>
              <w:t>(LGPP, artículo 56, párrafo 2, inciso a)</w:t>
            </w:r>
          </w:p>
        </w:tc>
        <w:tc>
          <w:tcPr>
            <w:tcW w:w="1843" w:type="dxa"/>
            <w:vMerge w:val="restart"/>
            <w:vAlign w:val="center"/>
          </w:tcPr>
          <w:p w14:paraId="0B536391" w14:textId="0674D20C" w:rsidR="00326952" w:rsidRPr="000A6FF6" w:rsidRDefault="00326952" w:rsidP="00662B87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  <w:r w:rsidRPr="000A6FF6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$</w:t>
            </w:r>
            <w:r w:rsidR="0089363A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7´883,630.21</w:t>
            </w:r>
          </w:p>
          <w:p w14:paraId="191F62D5" w14:textId="77777777" w:rsidR="001D7531" w:rsidRPr="000A6FF6" w:rsidRDefault="001D7531" w:rsidP="00662B87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</w:p>
        </w:tc>
      </w:tr>
      <w:tr w:rsidR="00A04D77" w:rsidRPr="000A6FF6" w14:paraId="5BD35444" w14:textId="77777777" w:rsidTr="000A6FF6">
        <w:trPr>
          <w:trHeight w:val="117"/>
          <w:jc w:val="center"/>
        </w:trPr>
        <w:tc>
          <w:tcPr>
            <w:tcW w:w="334" w:type="dxa"/>
            <w:vMerge/>
            <w:shd w:val="clear" w:color="auto" w:fill="auto"/>
            <w:vAlign w:val="center"/>
          </w:tcPr>
          <w:p w14:paraId="1DBAF0E3" w14:textId="77777777" w:rsidR="00326952" w:rsidRPr="000A6FF6" w:rsidRDefault="00326952" w:rsidP="005464FB">
            <w:pPr>
              <w:pStyle w:val="Prrafodelista"/>
              <w:spacing w:after="0" w:line="240" w:lineRule="auto"/>
              <w:ind w:left="0" w:right="-180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5190" w:type="dxa"/>
            <w:shd w:val="clear" w:color="auto" w:fill="auto"/>
            <w:vAlign w:val="center"/>
          </w:tcPr>
          <w:p w14:paraId="27B7F714" w14:textId="444A7618" w:rsidR="00326952" w:rsidRPr="000A6FF6" w:rsidRDefault="00326952" w:rsidP="005464FB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  <w:r w:rsidRPr="000A6FF6">
              <w:rPr>
                <w:rFonts w:ascii="Trebuchet MS" w:hAnsi="Trebuchet MS" w:cs="Arial"/>
                <w:sz w:val="20"/>
                <w:szCs w:val="20"/>
                <w:lang w:val="es-ES_tradnl"/>
              </w:rPr>
              <w:t xml:space="preserve">Las aportaciones o cuotas individuales y obligatorias, ordinarias y extraordinarias, en dinero o en especie, que realicen </w:t>
            </w:r>
            <w:r w:rsidR="00C450E3" w:rsidRPr="000A6FF6">
              <w:rPr>
                <w:rFonts w:ascii="Trebuchet MS" w:hAnsi="Trebuchet MS" w:cs="Arial"/>
                <w:sz w:val="20"/>
                <w:szCs w:val="20"/>
                <w:lang w:val="es-ES_tradnl"/>
              </w:rPr>
              <w:t>los militantes</w:t>
            </w:r>
            <w:r w:rsidRPr="000A6FF6">
              <w:rPr>
                <w:rFonts w:ascii="Trebuchet MS" w:hAnsi="Trebuchet MS" w:cs="Arial"/>
                <w:sz w:val="20"/>
                <w:szCs w:val="20"/>
                <w:lang w:val="es-ES_tradnl"/>
              </w:rPr>
              <w:t xml:space="preserve"> de los partidos políticos; </w:t>
            </w:r>
            <w:r w:rsidRPr="000A6FF6">
              <w:rPr>
                <w:rFonts w:ascii="Trebuchet MS" w:hAnsi="Trebuchet MS" w:cs="Arial"/>
                <w:color w:val="7030A0"/>
                <w:sz w:val="20"/>
                <w:szCs w:val="20"/>
                <w:lang w:val="es-MX"/>
              </w:rPr>
              <w:t>(LGPP, artículo 56, párrafo 1, inciso a)</w:t>
            </w:r>
          </w:p>
        </w:tc>
        <w:tc>
          <w:tcPr>
            <w:tcW w:w="3729" w:type="dxa"/>
            <w:vMerge/>
            <w:shd w:val="clear" w:color="auto" w:fill="auto"/>
            <w:vAlign w:val="center"/>
          </w:tcPr>
          <w:p w14:paraId="578E8019" w14:textId="77777777" w:rsidR="00326952" w:rsidRPr="000A6FF6" w:rsidRDefault="00326952" w:rsidP="005464FB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="Arial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Merge/>
            <w:vAlign w:val="center"/>
          </w:tcPr>
          <w:p w14:paraId="10D52403" w14:textId="77777777" w:rsidR="00326952" w:rsidRPr="000A6FF6" w:rsidRDefault="00326952" w:rsidP="00662B87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</w:p>
        </w:tc>
      </w:tr>
      <w:tr w:rsidR="000A6FF6" w:rsidRPr="000A6FF6" w14:paraId="24D76AED" w14:textId="77777777" w:rsidTr="000A6FF6">
        <w:trPr>
          <w:trHeight w:val="2702"/>
          <w:jc w:val="center"/>
        </w:trPr>
        <w:tc>
          <w:tcPr>
            <w:tcW w:w="334" w:type="dxa"/>
            <w:shd w:val="clear" w:color="auto" w:fill="auto"/>
            <w:vAlign w:val="center"/>
          </w:tcPr>
          <w:p w14:paraId="555491FD" w14:textId="77777777" w:rsidR="000A6FF6" w:rsidRPr="000A6FF6" w:rsidRDefault="000A6FF6" w:rsidP="005464FB">
            <w:pPr>
              <w:pStyle w:val="Prrafodelista"/>
              <w:spacing w:after="0" w:line="240" w:lineRule="auto"/>
              <w:ind w:left="0" w:right="-180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  <w:r w:rsidRPr="000A6FF6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2</w:t>
            </w:r>
          </w:p>
        </w:tc>
        <w:tc>
          <w:tcPr>
            <w:tcW w:w="5190" w:type="dxa"/>
            <w:shd w:val="clear" w:color="auto" w:fill="auto"/>
          </w:tcPr>
          <w:p w14:paraId="287805A5" w14:textId="1D7C28F8" w:rsidR="000A6FF6" w:rsidRPr="000A6FF6" w:rsidRDefault="000A6FF6" w:rsidP="006F6565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 w:rsidRPr="000A6FF6">
              <w:rPr>
                <w:rFonts w:ascii="Trebuchet MS" w:hAnsi="Trebuchet MS" w:cs="Arial"/>
                <w:sz w:val="20"/>
                <w:szCs w:val="20"/>
                <w:lang w:val="es-ES_tradnl"/>
              </w:rPr>
              <w:t xml:space="preserve">Financiamiento por los </w:t>
            </w:r>
            <w:r w:rsidRPr="000A6FF6"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>SIMPATIZANTES</w:t>
            </w:r>
            <w:r w:rsidRPr="000A6FF6">
              <w:rPr>
                <w:rStyle w:val="Refdenotaalpie"/>
                <w:rFonts w:ascii="Trebuchet MS" w:hAnsi="Trebuchet MS" w:cs="Arial"/>
                <w:sz w:val="20"/>
                <w:szCs w:val="20"/>
                <w:lang w:val="es-MX"/>
              </w:rPr>
              <w:footnoteReference w:id="4"/>
            </w:r>
            <w:r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. </w:t>
            </w:r>
            <w:r w:rsidRPr="000A6FF6">
              <w:rPr>
                <w:rFonts w:ascii="Trebuchet MS" w:hAnsi="Trebuchet MS" w:cs="Arial"/>
                <w:color w:val="7030A0"/>
                <w:sz w:val="20"/>
                <w:szCs w:val="20"/>
                <w:lang w:val="es-MX"/>
              </w:rPr>
              <w:t xml:space="preserve">(LGPP, artículo 53, párrafo 1, inciso b); </w:t>
            </w:r>
            <w:r w:rsidR="009072AA">
              <w:rPr>
                <w:rFonts w:ascii="Trebuchet MS" w:hAnsi="Trebuchet MS" w:cs="Arial"/>
                <w:color w:val="7030A0"/>
                <w:sz w:val="20"/>
                <w:szCs w:val="20"/>
                <w:lang w:val="es-ES"/>
              </w:rPr>
              <w:t>JURISPRUDENCIA 6/2017</w:t>
            </w:r>
            <w:r w:rsidR="009072AA">
              <w:rPr>
                <w:rStyle w:val="Refdenotaalpie"/>
                <w:rFonts w:ascii="Trebuchet MS" w:hAnsi="Trebuchet MS" w:cs="Arial"/>
                <w:color w:val="7030A0"/>
                <w:sz w:val="20"/>
                <w:szCs w:val="20"/>
                <w:lang w:val="es-ES"/>
              </w:rPr>
              <w:footnoteReference w:id="5"/>
            </w:r>
            <w:r w:rsidR="009072AA">
              <w:rPr>
                <w:rFonts w:ascii="Trebuchet MS" w:hAnsi="Trebuchet MS" w:cs="Arial"/>
                <w:color w:val="7030A0"/>
                <w:sz w:val="20"/>
                <w:szCs w:val="20"/>
                <w:lang w:val="es-ES"/>
              </w:rPr>
              <w:t xml:space="preserve"> APORTACIONES DE SIMPATIZANTES A PARTIDOS POLÍTICOS. ES INCONSTITUCIONAL LIMITARLAS A LOS PROCESOS ELECTORALES.  </w:t>
            </w:r>
            <w:r w:rsidRPr="000A6FF6">
              <w:rPr>
                <w:rFonts w:ascii="Trebuchet MS" w:hAnsi="Trebuchet MS" w:cs="Arial"/>
                <w:color w:val="7030A0"/>
                <w:sz w:val="20"/>
                <w:szCs w:val="20"/>
                <w:lang w:val="es-MX"/>
              </w:rPr>
              <w:t>(LGPP, artículo 56, párrafo 1, inciso c)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1F7D4E28" w14:textId="2A395A10" w:rsidR="000A6FF6" w:rsidRPr="000A6FF6" w:rsidRDefault="000A6FF6" w:rsidP="005464FB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  <w:r w:rsidRPr="000A6FF6">
              <w:rPr>
                <w:rFonts w:ascii="Trebuchet MS" w:hAnsi="Trebuchet MS" w:cs="Arial"/>
                <w:sz w:val="20"/>
                <w:szCs w:val="20"/>
                <w:lang w:val="es-ES_tradnl"/>
              </w:rPr>
              <w:t xml:space="preserve">El </w:t>
            </w:r>
            <w:r w:rsidRPr="000A6FF6"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>diez</w:t>
            </w:r>
            <w:r w:rsidRPr="000A6FF6">
              <w:rPr>
                <w:rFonts w:ascii="Trebuchet MS" w:hAnsi="Trebuchet MS" w:cs="Arial"/>
                <w:sz w:val="20"/>
                <w:szCs w:val="20"/>
                <w:lang w:val="es-ES_tradnl"/>
              </w:rPr>
              <w:t xml:space="preserve"> por ciento del tope de gasto para la elección (presidencial) de la gobernatura inmediata anterior, para ser utilizadas en las campañas de sus candidatos. (Candidatos y simpatizantes). </w:t>
            </w:r>
            <w:r w:rsidRPr="000A6FF6">
              <w:rPr>
                <w:rFonts w:ascii="Trebuchet MS" w:hAnsi="Trebuchet MS" w:cs="Arial"/>
                <w:color w:val="7030A0"/>
                <w:sz w:val="20"/>
                <w:szCs w:val="20"/>
                <w:lang w:val="es-MX"/>
              </w:rPr>
              <w:t>(LGPP, artículo 56, párrafo 2, inciso b)</w:t>
            </w:r>
          </w:p>
        </w:tc>
        <w:tc>
          <w:tcPr>
            <w:tcW w:w="1843" w:type="dxa"/>
            <w:vAlign w:val="center"/>
          </w:tcPr>
          <w:p w14:paraId="252C0563" w14:textId="77777777" w:rsidR="000A6FF6" w:rsidRPr="000A6FF6" w:rsidRDefault="000A6FF6" w:rsidP="00662B87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  <w:r w:rsidRPr="000A6FF6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$2´858,834.34</w:t>
            </w:r>
          </w:p>
        </w:tc>
      </w:tr>
      <w:tr w:rsidR="00A04D77" w:rsidRPr="000A6FF6" w14:paraId="5FB170DD" w14:textId="77777777" w:rsidTr="000A6FF6">
        <w:trPr>
          <w:trHeight w:val="274"/>
          <w:jc w:val="center"/>
        </w:trPr>
        <w:tc>
          <w:tcPr>
            <w:tcW w:w="334" w:type="dxa"/>
            <w:shd w:val="clear" w:color="auto" w:fill="auto"/>
            <w:vAlign w:val="center"/>
          </w:tcPr>
          <w:p w14:paraId="102D1F78" w14:textId="77777777" w:rsidR="00813D4D" w:rsidRPr="000A6FF6" w:rsidRDefault="00813D4D" w:rsidP="005464FB">
            <w:pPr>
              <w:pStyle w:val="Prrafodelista"/>
              <w:spacing w:after="0" w:line="240" w:lineRule="auto"/>
              <w:ind w:left="0" w:right="-180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  <w:r w:rsidRPr="000A6FF6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2E1CEA47" w14:textId="77777777" w:rsidR="00813D4D" w:rsidRPr="000A6FF6" w:rsidRDefault="00813D4D" w:rsidP="005464FB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  <w:r w:rsidRPr="000A6FF6"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>AUTOFINANCIAMIENTO</w:t>
            </w:r>
            <w:r w:rsidRPr="000A6FF6">
              <w:rPr>
                <w:rFonts w:ascii="Trebuchet MS" w:hAnsi="Trebuchet MS" w:cs="Arial"/>
                <w:sz w:val="20"/>
                <w:szCs w:val="20"/>
                <w:lang w:val="es-ES_tradnl"/>
              </w:rPr>
              <w:t xml:space="preserve">. </w:t>
            </w:r>
            <w:r w:rsidRPr="000A6FF6">
              <w:rPr>
                <w:rFonts w:ascii="Trebuchet MS" w:hAnsi="Trebuchet MS" w:cs="Arial"/>
                <w:color w:val="7030A0"/>
                <w:sz w:val="20"/>
                <w:szCs w:val="20"/>
                <w:lang w:val="es-MX"/>
              </w:rPr>
              <w:t>(LGPP, artículo 53, párrafo 1, inciso c)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26547BAA" w14:textId="77777777" w:rsidR="00813D4D" w:rsidRPr="000A6FF6" w:rsidRDefault="00813D4D" w:rsidP="005464FB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="Arial"/>
                <w:bCs/>
                <w:sz w:val="20"/>
                <w:szCs w:val="20"/>
                <w:lang w:val="es-MX"/>
              </w:rPr>
            </w:pPr>
            <w:r w:rsidRPr="000A6FF6">
              <w:rPr>
                <w:rFonts w:ascii="Trebuchet MS" w:hAnsi="Trebuchet MS" w:cs="Arial"/>
                <w:bCs/>
                <w:sz w:val="20"/>
                <w:szCs w:val="20"/>
                <w:lang w:val="es-MX"/>
              </w:rPr>
              <w:t xml:space="preserve">La LGPP no prevé límite para que los partidos reciban este tipo de financiamiento privado. </w:t>
            </w:r>
          </w:p>
        </w:tc>
        <w:tc>
          <w:tcPr>
            <w:tcW w:w="1843" w:type="dxa"/>
            <w:vMerge w:val="restart"/>
            <w:vAlign w:val="center"/>
          </w:tcPr>
          <w:p w14:paraId="1218E261" w14:textId="77777777" w:rsidR="00813D4D" w:rsidRPr="000A6FF6" w:rsidRDefault="00C172D8" w:rsidP="00F753F7">
            <w:pPr>
              <w:pStyle w:val="Prrafodelista"/>
              <w:spacing w:after="0" w:line="240" w:lineRule="auto"/>
              <w:ind w:left="0"/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>Art. 41, base II CPEUM</w:t>
            </w:r>
            <w:r w:rsidR="00813D4D" w:rsidRPr="000A6FF6">
              <w:rPr>
                <w:rStyle w:val="Refdenotaalpie"/>
                <w:rFonts w:ascii="Trebuchet MS" w:hAnsi="Trebuchet MS" w:cs="Arial"/>
                <w:sz w:val="20"/>
                <w:szCs w:val="20"/>
                <w:lang w:val="es-MX"/>
              </w:rPr>
              <w:footnoteReference w:id="6"/>
            </w:r>
          </w:p>
        </w:tc>
      </w:tr>
      <w:tr w:rsidR="00A04D77" w:rsidRPr="000A6FF6" w14:paraId="5432CADA" w14:textId="77777777" w:rsidTr="000A6FF6">
        <w:trPr>
          <w:trHeight w:val="975"/>
          <w:jc w:val="center"/>
        </w:trPr>
        <w:tc>
          <w:tcPr>
            <w:tcW w:w="334" w:type="dxa"/>
            <w:shd w:val="clear" w:color="auto" w:fill="auto"/>
            <w:vAlign w:val="center"/>
          </w:tcPr>
          <w:p w14:paraId="3543AF05" w14:textId="77777777" w:rsidR="00813D4D" w:rsidRPr="000A6FF6" w:rsidRDefault="00813D4D" w:rsidP="005464FB">
            <w:pPr>
              <w:pStyle w:val="Prrafodelista"/>
              <w:spacing w:after="0" w:line="240" w:lineRule="auto"/>
              <w:ind w:left="0" w:right="-180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  <w:r w:rsidRPr="000A6FF6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lastRenderedPageBreak/>
              <w:t>4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009E1967" w14:textId="77777777" w:rsidR="00813D4D" w:rsidRPr="000A6FF6" w:rsidRDefault="00813D4D" w:rsidP="005464FB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  <w:r w:rsidRPr="000A6FF6">
              <w:rPr>
                <w:rFonts w:ascii="Trebuchet MS" w:hAnsi="Trebuchet MS" w:cs="Arial"/>
                <w:sz w:val="20"/>
                <w:szCs w:val="20"/>
                <w:lang w:val="es-ES_tradnl"/>
              </w:rPr>
              <w:t xml:space="preserve">Financiamiento por </w:t>
            </w:r>
            <w:r w:rsidRPr="000A6FF6">
              <w:rPr>
                <w:rFonts w:ascii="Trebuchet MS" w:hAnsi="Trebuchet MS" w:cs="Arial"/>
                <w:b/>
                <w:sz w:val="20"/>
                <w:szCs w:val="20"/>
                <w:lang w:val="es-ES_tradnl"/>
              </w:rPr>
              <w:t>RENDIMIENTOS</w:t>
            </w:r>
            <w:r w:rsidRPr="000A6FF6">
              <w:rPr>
                <w:rFonts w:ascii="Trebuchet MS" w:hAnsi="Trebuchet MS" w:cs="Arial"/>
                <w:sz w:val="20"/>
                <w:szCs w:val="20"/>
                <w:lang w:val="es-ES_tradnl"/>
              </w:rPr>
              <w:t xml:space="preserve"> financieros, fondos y fideicomisos. </w:t>
            </w:r>
            <w:r w:rsidRPr="000A6FF6">
              <w:rPr>
                <w:rFonts w:ascii="Trebuchet MS" w:hAnsi="Trebuchet MS" w:cs="Arial"/>
                <w:color w:val="7030A0"/>
                <w:sz w:val="20"/>
                <w:szCs w:val="20"/>
                <w:lang w:val="es-MX"/>
              </w:rPr>
              <w:t>(LGPP, artículo 53, párrafo 1, inciso d)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B02E23C" w14:textId="2B5BAFBD" w:rsidR="00813D4D" w:rsidRPr="000A6FF6" w:rsidRDefault="00813D4D" w:rsidP="005464FB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="Arial"/>
                <w:bCs/>
                <w:sz w:val="20"/>
                <w:szCs w:val="20"/>
                <w:lang w:val="es-MX"/>
              </w:rPr>
            </w:pPr>
            <w:r w:rsidRPr="000A6FF6">
              <w:rPr>
                <w:rFonts w:ascii="Trebuchet MS" w:hAnsi="Trebuchet MS" w:cs="Arial"/>
                <w:bCs/>
                <w:sz w:val="20"/>
                <w:szCs w:val="20"/>
                <w:lang w:val="es-MX"/>
              </w:rPr>
              <w:t xml:space="preserve">La LGPP no prevé límite para que los partidos reciban este tipo de financiamiento privado. </w:t>
            </w:r>
          </w:p>
        </w:tc>
        <w:tc>
          <w:tcPr>
            <w:tcW w:w="1843" w:type="dxa"/>
            <w:vMerge/>
            <w:vAlign w:val="center"/>
          </w:tcPr>
          <w:p w14:paraId="48ADF23C" w14:textId="77777777" w:rsidR="00813D4D" w:rsidRPr="000A6FF6" w:rsidRDefault="00813D4D" w:rsidP="005464FB">
            <w:pPr>
              <w:pStyle w:val="Prrafodelista"/>
              <w:spacing w:after="0" w:line="240" w:lineRule="auto"/>
              <w:ind w:left="0"/>
              <w:jc w:val="right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</w:p>
        </w:tc>
      </w:tr>
      <w:tr w:rsidR="004F014F" w:rsidRPr="000A6FF6" w14:paraId="5F79128C" w14:textId="77777777" w:rsidTr="00F753F7">
        <w:trPr>
          <w:trHeight w:val="349"/>
          <w:jc w:val="center"/>
        </w:trPr>
        <w:tc>
          <w:tcPr>
            <w:tcW w:w="9253" w:type="dxa"/>
            <w:gridSpan w:val="3"/>
            <w:shd w:val="clear" w:color="auto" w:fill="auto"/>
            <w:vAlign w:val="center"/>
          </w:tcPr>
          <w:p w14:paraId="7575E4B9" w14:textId="504A225E" w:rsidR="000A3D05" w:rsidRPr="000A6FF6" w:rsidRDefault="000A3D05" w:rsidP="00A04D77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="Arial"/>
                <w:sz w:val="20"/>
                <w:szCs w:val="20"/>
                <w:lang w:val="es-MX"/>
              </w:rPr>
            </w:pPr>
            <w:r w:rsidRPr="000A6FF6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LÍMITE DE FINANCIAMIENTO PRIVADO</w:t>
            </w:r>
            <w:r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 </w:t>
            </w:r>
            <w:r w:rsidR="004F014F"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que los partidos políticos </w:t>
            </w:r>
            <w:r w:rsidR="00791AB2"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nacionales acreditados en el Estado de Jalisco </w:t>
            </w:r>
            <w:r w:rsidR="004F014F"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pueden obtener para el </w:t>
            </w:r>
            <w:r w:rsidR="00D44DAD" w:rsidRPr="000A6FF6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EJERCICIO ANUAL 202</w:t>
            </w:r>
            <w:r w:rsidR="009072AA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3</w:t>
            </w:r>
            <w:r w:rsidRPr="000A6FF6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,</w:t>
            </w:r>
            <w:r w:rsidR="000B5DEF" w:rsidRPr="000A6FF6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 de las modalidades de financiamiento por la militancia y financiamiento de simpatizantes.</w:t>
            </w:r>
          </w:p>
        </w:tc>
        <w:tc>
          <w:tcPr>
            <w:tcW w:w="1843" w:type="dxa"/>
            <w:vAlign w:val="center"/>
          </w:tcPr>
          <w:p w14:paraId="46D47429" w14:textId="1FBB553C" w:rsidR="009072AA" w:rsidRPr="000A6FF6" w:rsidRDefault="00A04D77" w:rsidP="009072AA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  <w:r w:rsidRPr="000A6FF6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$</w:t>
            </w:r>
            <w:r w:rsidR="009072AA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>10´742,464.55</w:t>
            </w:r>
          </w:p>
        </w:tc>
      </w:tr>
    </w:tbl>
    <w:p w14:paraId="42C973E7" w14:textId="77777777" w:rsidR="004F014F" w:rsidRPr="00831AE0" w:rsidRDefault="004F014F" w:rsidP="004F014F">
      <w:pPr>
        <w:ind w:left="142"/>
        <w:jc w:val="both"/>
        <w:rPr>
          <w:rFonts w:ascii="Trebuchet MS" w:hAnsi="Trebuchet MS" w:cs="Arial"/>
          <w:b/>
          <w:sz w:val="10"/>
        </w:rPr>
      </w:pPr>
    </w:p>
    <w:tbl>
      <w:tblPr>
        <w:tblW w:w="110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24"/>
        <w:gridCol w:w="3651"/>
        <w:gridCol w:w="1852"/>
      </w:tblGrid>
      <w:tr w:rsidR="004F014F" w:rsidRPr="003315D8" w14:paraId="23A48D7B" w14:textId="77777777" w:rsidTr="000A6FF6">
        <w:trPr>
          <w:trHeight w:val="594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4570461A" w14:textId="093A6765" w:rsidR="004F014F" w:rsidRPr="003315D8" w:rsidRDefault="004F014F" w:rsidP="00387DFE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</w:pPr>
            <w:r w:rsidRPr="003315D8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 xml:space="preserve">LÍMITE INDIVIDUAL </w:t>
            </w:r>
            <w:r w:rsidRPr="003315D8">
              <w:rPr>
                <w:rFonts w:ascii="Trebuchet MS" w:hAnsi="Trebuchet MS" w:cs="Arial"/>
                <w:sz w:val="20"/>
                <w:szCs w:val="20"/>
                <w:lang w:val="es-MX"/>
              </w:rPr>
              <w:t>anual en dinero que puede realizar cada</w:t>
            </w:r>
            <w:r w:rsidRPr="003315D8">
              <w:rPr>
                <w:rFonts w:ascii="Trebuchet MS" w:hAnsi="Trebuchet MS" w:cs="Arial"/>
                <w:b/>
                <w:sz w:val="20"/>
                <w:szCs w:val="20"/>
                <w:lang w:val="es-MX"/>
              </w:rPr>
              <w:t xml:space="preserve"> SIMPATIZANTE </w:t>
            </w:r>
            <w:r w:rsidR="00A05966" w:rsidRPr="003315D8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de partidos políticos nacionales con acreditación local </w:t>
            </w:r>
            <w:r w:rsidR="00D44DAD" w:rsidRPr="003315D8">
              <w:rPr>
                <w:rFonts w:ascii="Trebuchet MS" w:hAnsi="Trebuchet MS" w:cs="Arial"/>
                <w:sz w:val="20"/>
                <w:szCs w:val="20"/>
                <w:lang w:val="es-MX"/>
              </w:rPr>
              <w:t>para el ejercicio anual 202</w:t>
            </w:r>
            <w:r w:rsidR="00490152">
              <w:rPr>
                <w:rFonts w:ascii="Trebuchet MS" w:hAnsi="Trebuchet MS" w:cs="Arial"/>
                <w:sz w:val="20"/>
                <w:szCs w:val="20"/>
                <w:lang w:val="es-MX"/>
              </w:rPr>
              <w:t>3</w:t>
            </w:r>
            <w:r w:rsidRPr="003315D8">
              <w:rPr>
                <w:rFonts w:ascii="Trebuchet MS" w:hAnsi="Trebuchet MS" w:cs="Arial"/>
                <w:sz w:val="20"/>
                <w:szCs w:val="20"/>
                <w:lang w:val="es-MX"/>
              </w:rPr>
              <w:t xml:space="preserve">. </w:t>
            </w:r>
            <w:r w:rsidRPr="003315D8">
              <w:rPr>
                <w:rFonts w:ascii="Trebuchet MS" w:hAnsi="Trebuchet MS" w:cs="Arial"/>
                <w:color w:val="7030A0"/>
                <w:sz w:val="20"/>
                <w:szCs w:val="20"/>
                <w:lang w:val="es-MX"/>
              </w:rPr>
              <w:t>(LGPP, artículo 56, párrafo 2, inciso d)</w:t>
            </w:r>
          </w:p>
        </w:tc>
        <w:tc>
          <w:tcPr>
            <w:tcW w:w="3651" w:type="dxa"/>
            <w:shd w:val="clear" w:color="auto" w:fill="auto"/>
          </w:tcPr>
          <w:p w14:paraId="7782B955" w14:textId="29E5578E" w:rsidR="000A3D05" w:rsidRPr="00315906" w:rsidRDefault="004F014F" w:rsidP="005464FB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="Arial"/>
                <w:sz w:val="20"/>
                <w:szCs w:val="20"/>
                <w:lang w:val="es-ES_tradnl"/>
              </w:rPr>
            </w:pPr>
            <w:r w:rsidRPr="003315D8">
              <w:rPr>
                <w:rFonts w:ascii="Trebuchet MS" w:hAnsi="Trebuchet MS" w:cs="Arial"/>
                <w:sz w:val="20"/>
                <w:szCs w:val="20"/>
                <w:lang w:val="es-ES_tradnl"/>
              </w:rPr>
              <w:t>El 0.5 por ciento del tope de gasto para la elección (</w:t>
            </w:r>
            <w:r w:rsidRPr="003315D8">
              <w:rPr>
                <w:rFonts w:ascii="Trebuchet MS" w:hAnsi="Trebuchet MS" w:cs="Arial"/>
                <w:sz w:val="20"/>
                <w:szCs w:val="20"/>
                <w:u w:val="single"/>
                <w:lang w:val="es-ES_tradnl"/>
              </w:rPr>
              <w:t>presidencial</w:t>
            </w:r>
            <w:r w:rsidRPr="003315D8">
              <w:rPr>
                <w:rFonts w:ascii="Trebuchet MS" w:hAnsi="Trebuchet MS" w:cs="Arial"/>
                <w:sz w:val="20"/>
                <w:szCs w:val="20"/>
                <w:lang w:val="es-ES_tradnl"/>
              </w:rPr>
              <w:t>) de</w:t>
            </w:r>
            <w:r w:rsidR="00315906">
              <w:rPr>
                <w:rFonts w:ascii="Trebuchet MS" w:hAnsi="Trebuchet MS" w:cs="Arial"/>
                <w:sz w:val="20"/>
                <w:szCs w:val="20"/>
                <w:lang w:val="es-ES_tradnl"/>
              </w:rPr>
              <w:t xml:space="preserve"> la gobernatura </w:t>
            </w:r>
            <w:r w:rsidRPr="003315D8">
              <w:rPr>
                <w:rFonts w:ascii="Trebuchet MS" w:hAnsi="Trebuchet MS" w:cs="Arial"/>
                <w:sz w:val="20"/>
                <w:szCs w:val="20"/>
                <w:lang w:val="es-ES_tradnl"/>
              </w:rPr>
              <w:t xml:space="preserve">inmediata anterior. </w:t>
            </w:r>
            <w:r w:rsidRPr="003315D8">
              <w:rPr>
                <w:rFonts w:ascii="Trebuchet MS" w:hAnsi="Trebuchet MS" w:cs="Arial"/>
                <w:color w:val="7030A0"/>
                <w:sz w:val="20"/>
                <w:szCs w:val="20"/>
                <w:lang w:val="es-MX"/>
              </w:rPr>
              <w:t>(LGPP, artículo 56, párrafo 2, inciso d)</w:t>
            </w:r>
          </w:p>
        </w:tc>
        <w:tc>
          <w:tcPr>
            <w:tcW w:w="1852" w:type="dxa"/>
            <w:vAlign w:val="center"/>
          </w:tcPr>
          <w:p w14:paraId="6D0CEB1C" w14:textId="7D6F992C" w:rsidR="004F014F" w:rsidRPr="003315D8" w:rsidRDefault="00387DFE" w:rsidP="00F753F7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  <w:lang w:val="es-MX"/>
              </w:rPr>
            </w:pPr>
            <w:r w:rsidRPr="003315D8">
              <w:rPr>
                <w:rFonts w:ascii="Trebuchet MS" w:hAnsi="Trebuchet MS" w:cs="Arial"/>
                <w:b/>
                <w:bCs/>
                <w:sz w:val="20"/>
                <w:szCs w:val="20"/>
                <w:lang w:val="es-MX"/>
              </w:rPr>
              <w:t>$</w:t>
            </w:r>
            <w:r w:rsidR="001C56BC" w:rsidRPr="003315D8">
              <w:rPr>
                <w:rFonts w:ascii="Trebuchet MS" w:hAnsi="Trebuchet MS" w:cs="Arial"/>
                <w:b/>
                <w:bCs/>
                <w:sz w:val="20"/>
                <w:szCs w:val="20"/>
                <w:lang w:val="es-MX"/>
              </w:rPr>
              <w:t>142,941.71</w:t>
            </w:r>
          </w:p>
        </w:tc>
      </w:tr>
    </w:tbl>
    <w:p w14:paraId="7AD46858" w14:textId="77777777" w:rsidR="004F014F" w:rsidRPr="00831AE0" w:rsidRDefault="004F014F" w:rsidP="00DC7F9E">
      <w:pPr>
        <w:pStyle w:val="Ningnestilodeprrafo"/>
        <w:spacing w:line="240" w:lineRule="auto"/>
        <w:rPr>
          <w:rFonts w:ascii="Trebuchet MS" w:hAnsi="Trebuchet MS"/>
          <w:sz w:val="16"/>
          <w:szCs w:val="16"/>
          <w:lang w:val="es-MX"/>
        </w:rPr>
      </w:pPr>
    </w:p>
    <w:p w14:paraId="1D93ACAA" w14:textId="619035EA" w:rsidR="003315D8" w:rsidRDefault="003315D8">
      <w:pPr>
        <w:widowControl/>
        <w:suppressAutoHyphens w:val="0"/>
        <w:rPr>
          <w:rFonts w:ascii="Trebuchet MS" w:eastAsia="Times-Roman" w:hAnsi="Trebuchet MS"/>
          <w:color w:val="000000"/>
          <w:sz w:val="16"/>
          <w:szCs w:val="16"/>
        </w:rPr>
      </w:pPr>
    </w:p>
    <w:sectPr w:rsidR="003315D8" w:rsidSect="000A6FF6">
      <w:headerReference w:type="default" r:id="rId8"/>
      <w:footerReference w:type="default" r:id="rId9"/>
      <w:footnotePr>
        <w:pos w:val="beneathText"/>
      </w:footnotePr>
      <w:pgSz w:w="12240" w:h="15840"/>
      <w:pgMar w:top="1560" w:right="1701" w:bottom="1417" w:left="1701" w:header="56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D75B" w14:textId="77777777" w:rsidR="001E63AB" w:rsidRDefault="001E63AB" w:rsidP="00DA308E">
      <w:r>
        <w:separator/>
      </w:r>
    </w:p>
  </w:endnote>
  <w:endnote w:type="continuationSeparator" w:id="0">
    <w:p w14:paraId="000AFAAE" w14:textId="77777777" w:rsidR="001E63AB" w:rsidRDefault="001E63AB" w:rsidP="00DA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0CDC" w14:textId="77777777" w:rsidR="00D76CB2" w:rsidRPr="0056591C" w:rsidRDefault="00D76CB2">
    <w:pPr>
      <w:pStyle w:val="Piedepgina"/>
      <w:jc w:val="right"/>
      <w:rPr>
        <w:rFonts w:ascii="Trebuchet MS" w:hAnsi="Trebuchet MS"/>
        <w:kern w:val="24"/>
        <w:sz w:val="16"/>
      </w:rPr>
    </w:pPr>
    <w:r w:rsidRPr="0056591C">
      <w:rPr>
        <w:rFonts w:ascii="Trebuchet MS" w:hAnsi="Trebuchet MS"/>
        <w:kern w:val="24"/>
        <w:sz w:val="16"/>
        <w:lang w:val="es-ES"/>
      </w:rPr>
      <w:t xml:space="preserve">Página </w:t>
    </w:r>
    <w:r w:rsidRPr="0056591C">
      <w:rPr>
        <w:rFonts w:ascii="Trebuchet MS" w:hAnsi="Trebuchet MS"/>
        <w:b/>
        <w:bCs/>
        <w:kern w:val="24"/>
        <w:sz w:val="16"/>
      </w:rPr>
      <w:fldChar w:fldCharType="begin"/>
    </w:r>
    <w:r w:rsidRPr="0056591C">
      <w:rPr>
        <w:rFonts w:ascii="Trebuchet MS" w:hAnsi="Trebuchet MS"/>
        <w:b/>
        <w:bCs/>
        <w:kern w:val="24"/>
        <w:sz w:val="16"/>
      </w:rPr>
      <w:instrText>PAGE</w:instrText>
    </w:r>
    <w:r w:rsidRPr="0056591C">
      <w:rPr>
        <w:rFonts w:ascii="Trebuchet MS" w:hAnsi="Trebuchet MS"/>
        <w:b/>
        <w:bCs/>
        <w:kern w:val="24"/>
        <w:sz w:val="16"/>
      </w:rPr>
      <w:fldChar w:fldCharType="separate"/>
    </w:r>
    <w:r w:rsidR="009B47D8">
      <w:rPr>
        <w:rFonts w:ascii="Trebuchet MS" w:hAnsi="Trebuchet MS"/>
        <w:b/>
        <w:bCs/>
        <w:noProof/>
        <w:kern w:val="24"/>
        <w:sz w:val="16"/>
      </w:rPr>
      <w:t>1</w:t>
    </w:r>
    <w:r w:rsidRPr="0056591C">
      <w:rPr>
        <w:rFonts w:ascii="Trebuchet MS" w:hAnsi="Trebuchet MS"/>
        <w:b/>
        <w:bCs/>
        <w:kern w:val="24"/>
        <w:sz w:val="16"/>
      </w:rPr>
      <w:fldChar w:fldCharType="end"/>
    </w:r>
    <w:r w:rsidRPr="0056591C">
      <w:rPr>
        <w:rFonts w:ascii="Trebuchet MS" w:hAnsi="Trebuchet MS"/>
        <w:kern w:val="24"/>
        <w:sz w:val="16"/>
        <w:lang w:val="es-ES"/>
      </w:rPr>
      <w:t xml:space="preserve"> de </w:t>
    </w:r>
    <w:r w:rsidRPr="0056591C">
      <w:rPr>
        <w:rFonts w:ascii="Trebuchet MS" w:hAnsi="Trebuchet MS"/>
        <w:b/>
        <w:bCs/>
        <w:kern w:val="24"/>
        <w:sz w:val="16"/>
      </w:rPr>
      <w:fldChar w:fldCharType="begin"/>
    </w:r>
    <w:r w:rsidRPr="0056591C">
      <w:rPr>
        <w:rFonts w:ascii="Trebuchet MS" w:hAnsi="Trebuchet MS"/>
        <w:b/>
        <w:bCs/>
        <w:kern w:val="24"/>
        <w:sz w:val="16"/>
      </w:rPr>
      <w:instrText>NUMPAGES</w:instrText>
    </w:r>
    <w:r w:rsidRPr="0056591C">
      <w:rPr>
        <w:rFonts w:ascii="Trebuchet MS" w:hAnsi="Trebuchet MS"/>
        <w:b/>
        <w:bCs/>
        <w:kern w:val="24"/>
        <w:sz w:val="16"/>
      </w:rPr>
      <w:fldChar w:fldCharType="separate"/>
    </w:r>
    <w:r w:rsidR="009B47D8">
      <w:rPr>
        <w:rFonts w:ascii="Trebuchet MS" w:hAnsi="Trebuchet MS"/>
        <w:b/>
        <w:bCs/>
        <w:noProof/>
        <w:kern w:val="24"/>
        <w:sz w:val="16"/>
      </w:rPr>
      <w:t>3</w:t>
    </w:r>
    <w:r w:rsidRPr="0056591C">
      <w:rPr>
        <w:rFonts w:ascii="Trebuchet MS" w:hAnsi="Trebuchet MS"/>
        <w:b/>
        <w:bCs/>
        <w:kern w:val="24"/>
        <w:sz w:val="16"/>
      </w:rPr>
      <w:fldChar w:fldCharType="end"/>
    </w:r>
  </w:p>
  <w:p w14:paraId="706DF2A4" w14:textId="77777777" w:rsidR="00D76CB2" w:rsidRPr="0056591C" w:rsidRDefault="00D76CB2">
    <w:pPr>
      <w:pStyle w:val="Piedepgina"/>
      <w:rPr>
        <w:rFonts w:ascii="Trebuchet MS" w:hAnsi="Trebuchet MS"/>
        <w:kern w:val="24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C8BB" w14:textId="77777777" w:rsidR="001E63AB" w:rsidRDefault="001E63AB" w:rsidP="00DA308E">
      <w:r>
        <w:separator/>
      </w:r>
    </w:p>
  </w:footnote>
  <w:footnote w:type="continuationSeparator" w:id="0">
    <w:p w14:paraId="36E09B48" w14:textId="77777777" w:rsidR="001E63AB" w:rsidRDefault="001E63AB" w:rsidP="00DA308E">
      <w:r>
        <w:continuationSeparator/>
      </w:r>
    </w:p>
  </w:footnote>
  <w:footnote w:id="1">
    <w:p w14:paraId="1DE86E58" w14:textId="7BC3E4C1" w:rsidR="00D76CB2" w:rsidRPr="006B4347" w:rsidRDefault="00D76CB2" w:rsidP="00DC7F9E">
      <w:pPr>
        <w:pStyle w:val="Textonotapie"/>
        <w:ind w:left="-851" w:right="-943"/>
        <w:jc w:val="both"/>
        <w:rPr>
          <w:rFonts w:asciiTheme="minorHAnsi" w:hAnsiTheme="minorHAnsi"/>
          <w:sz w:val="16"/>
          <w:szCs w:val="16"/>
          <w:lang w:val="es-ES"/>
        </w:rPr>
      </w:pPr>
      <w:r w:rsidRPr="000A6FF6">
        <w:rPr>
          <w:rStyle w:val="Refdenotaalpie"/>
          <w:rFonts w:asciiTheme="minorHAnsi" w:hAnsiTheme="minorHAnsi"/>
          <w:sz w:val="16"/>
          <w:szCs w:val="16"/>
        </w:rPr>
        <w:footnoteRef/>
      </w:r>
      <w:r w:rsidRPr="000A6FF6">
        <w:rPr>
          <w:rFonts w:asciiTheme="minorHAnsi" w:hAnsiTheme="minorHAnsi"/>
          <w:sz w:val="16"/>
          <w:szCs w:val="16"/>
        </w:rPr>
        <w:t xml:space="preserve"> Mediante Acuerdo </w:t>
      </w:r>
      <w:r w:rsidR="00D42D4F" w:rsidRPr="000A6FF6">
        <w:rPr>
          <w:rFonts w:asciiTheme="minorHAnsi" w:hAnsiTheme="minorHAnsi"/>
          <w:b/>
          <w:sz w:val="16"/>
          <w:szCs w:val="16"/>
        </w:rPr>
        <w:t>IEPC-ACG-</w:t>
      </w:r>
      <w:r w:rsidR="0089363A">
        <w:rPr>
          <w:rFonts w:asciiTheme="minorHAnsi" w:hAnsiTheme="minorHAnsi"/>
          <w:b/>
          <w:sz w:val="16"/>
          <w:szCs w:val="16"/>
          <w:lang w:val="es-ES"/>
        </w:rPr>
        <w:t>057</w:t>
      </w:r>
      <w:r w:rsidR="00D42D4F" w:rsidRPr="000A6FF6">
        <w:rPr>
          <w:rFonts w:asciiTheme="minorHAnsi" w:hAnsiTheme="minorHAnsi"/>
          <w:b/>
          <w:sz w:val="16"/>
          <w:szCs w:val="16"/>
        </w:rPr>
        <w:t>/202</w:t>
      </w:r>
      <w:r w:rsidR="0089363A">
        <w:rPr>
          <w:rFonts w:asciiTheme="minorHAnsi" w:hAnsiTheme="minorHAnsi"/>
          <w:b/>
          <w:sz w:val="16"/>
          <w:szCs w:val="16"/>
          <w:lang w:val="es-ES"/>
        </w:rPr>
        <w:t>2</w:t>
      </w:r>
      <w:r w:rsidRPr="000A6FF6">
        <w:rPr>
          <w:rFonts w:asciiTheme="minorHAnsi" w:hAnsiTheme="minorHAnsi"/>
          <w:sz w:val="16"/>
          <w:szCs w:val="16"/>
        </w:rPr>
        <w:t xml:space="preserve"> (</w:t>
      </w:r>
      <w:r w:rsidR="00A83BB5" w:rsidRPr="000A6FF6">
        <w:rPr>
          <w:rFonts w:asciiTheme="minorHAnsi" w:hAnsiTheme="minorHAnsi"/>
          <w:sz w:val="16"/>
          <w:szCs w:val="16"/>
          <w:lang w:val="es-ES"/>
        </w:rPr>
        <w:t>Financiamiento público por actividades ordinarias permanentes</w:t>
      </w:r>
      <w:r w:rsidRPr="000A6FF6">
        <w:rPr>
          <w:rFonts w:asciiTheme="minorHAnsi" w:hAnsiTheme="minorHAnsi"/>
          <w:sz w:val="16"/>
          <w:szCs w:val="16"/>
        </w:rPr>
        <w:t>) aproba</w:t>
      </w:r>
      <w:r w:rsidR="00D42D4F" w:rsidRPr="000A6FF6">
        <w:rPr>
          <w:rFonts w:asciiTheme="minorHAnsi" w:hAnsiTheme="minorHAnsi"/>
          <w:sz w:val="16"/>
          <w:szCs w:val="16"/>
        </w:rPr>
        <w:t xml:space="preserve">do en sesión extraordinaria el </w:t>
      </w:r>
      <w:r w:rsidR="0089363A">
        <w:rPr>
          <w:rFonts w:asciiTheme="minorHAnsi" w:hAnsiTheme="minorHAnsi"/>
          <w:sz w:val="16"/>
          <w:szCs w:val="16"/>
          <w:lang w:val="es-ES"/>
        </w:rPr>
        <w:t>10 de noviembre</w:t>
      </w:r>
      <w:r w:rsidR="00D42D4F" w:rsidRPr="000A6FF6">
        <w:rPr>
          <w:rFonts w:asciiTheme="minorHAnsi" w:hAnsiTheme="minorHAnsi"/>
          <w:sz w:val="16"/>
          <w:szCs w:val="16"/>
        </w:rPr>
        <w:t xml:space="preserve"> de 202</w:t>
      </w:r>
      <w:r w:rsidR="0089363A">
        <w:rPr>
          <w:rFonts w:asciiTheme="minorHAnsi" w:hAnsiTheme="minorHAnsi"/>
          <w:sz w:val="16"/>
          <w:szCs w:val="16"/>
          <w:lang w:val="es-ES"/>
        </w:rPr>
        <w:t>2</w:t>
      </w:r>
      <w:r w:rsidRPr="000A6FF6">
        <w:rPr>
          <w:rFonts w:asciiTheme="minorHAnsi" w:hAnsiTheme="minorHAnsi"/>
          <w:sz w:val="16"/>
          <w:szCs w:val="16"/>
        </w:rPr>
        <w:t>, por el Consejo General del Instituto Electoral y de Participación Ciudadana del Estado de Jalisco.</w:t>
      </w:r>
      <w:r w:rsidR="006B4347">
        <w:rPr>
          <w:rFonts w:asciiTheme="minorHAnsi" w:hAnsiTheme="minorHAnsi"/>
          <w:sz w:val="16"/>
          <w:szCs w:val="16"/>
          <w:lang w:val="es-ES"/>
        </w:rPr>
        <w:t xml:space="preserve"> Consultable en </w:t>
      </w:r>
      <w:hyperlink r:id="rId1" w:history="1">
        <w:r w:rsidR="006B4347" w:rsidRPr="00804ACE">
          <w:rPr>
            <w:rStyle w:val="Hipervnculo"/>
            <w:rFonts w:asciiTheme="minorHAnsi" w:hAnsiTheme="minorHAnsi"/>
            <w:sz w:val="16"/>
            <w:szCs w:val="16"/>
            <w:lang w:val="es-ES"/>
          </w:rPr>
          <w:t>https://www.iepcjalisco.org.mx/sites/default/files/sesiones-de-consejo/consejo%20general/2022-11-10/04-iepc-acg-057-2022.pdf</w:t>
        </w:r>
      </w:hyperlink>
      <w:r w:rsidR="006B4347">
        <w:rPr>
          <w:rFonts w:asciiTheme="minorHAnsi" w:hAnsiTheme="minorHAnsi"/>
          <w:sz w:val="16"/>
          <w:szCs w:val="16"/>
          <w:lang w:val="es-ES"/>
        </w:rPr>
        <w:t xml:space="preserve"> </w:t>
      </w:r>
    </w:p>
  </w:footnote>
  <w:footnote w:id="2">
    <w:p w14:paraId="78DDF9F6" w14:textId="2EAE5181" w:rsidR="00D76CB2" w:rsidRPr="000A6FF6" w:rsidRDefault="00D76CB2" w:rsidP="00DC7F9E">
      <w:pPr>
        <w:pStyle w:val="Textonotapie"/>
        <w:ind w:left="-851" w:right="-943"/>
        <w:jc w:val="both"/>
        <w:rPr>
          <w:rFonts w:asciiTheme="minorHAnsi" w:hAnsiTheme="minorHAnsi"/>
          <w:sz w:val="16"/>
          <w:szCs w:val="16"/>
          <w:lang w:val="es-ES"/>
        </w:rPr>
      </w:pPr>
      <w:r w:rsidRPr="000A6FF6">
        <w:rPr>
          <w:rStyle w:val="Refdenotaalpie"/>
          <w:rFonts w:asciiTheme="minorHAnsi" w:hAnsiTheme="minorHAnsi"/>
          <w:sz w:val="16"/>
          <w:szCs w:val="16"/>
        </w:rPr>
        <w:footnoteRef/>
      </w:r>
      <w:r w:rsidRPr="000A6FF6">
        <w:rPr>
          <w:rFonts w:asciiTheme="minorHAnsi" w:hAnsiTheme="minorHAnsi"/>
          <w:sz w:val="16"/>
          <w:szCs w:val="16"/>
        </w:rPr>
        <w:t xml:space="preserve"> </w:t>
      </w:r>
      <w:r w:rsidRPr="000A6FF6">
        <w:rPr>
          <w:rFonts w:asciiTheme="minorHAnsi" w:hAnsiTheme="minorHAnsi"/>
          <w:sz w:val="16"/>
          <w:szCs w:val="16"/>
        </w:rPr>
        <w:t xml:space="preserve">Mediante el Acuerdo </w:t>
      </w:r>
      <w:r w:rsidRPr="000A6FF6">
        <w:rPr>
          <w:rFonts w:asciiTheme="minorHAnsi" w:hAnsiTheme="minorHAnsi"/>
          <w:b/>
          <w:bCs/>
          <w:sz w:val="16"/>
          <w:szCs w:val="16"/>
        </w:rPr>
        <w:t>IEPC-ACG-156/2017</w:t>
      </w:r>
      <w:r w:rsidRPr="000A6FF6">
        <w:rPr>
          <w:rFonts w:asciiTheme="minorHAnsi" w:hAnsiTheme="minorHAnsi"/>
          <w:sz w:val="16"/>
          <w:szCs w:val="16"/>
        </w:rPr>
        <w:t xml:space="preserve"> aprobado en sesión ordinaria celebrada el  30 de diciembre de 2017, por el Consejo General del Instituto Electoral y de Participación Ciudadana del Estado de Jalisco.</w:t>
      </w:r>
      <w:r w:rsidR="00D90FB6" w:rsidRPr="000A6FF6">
        <w:rPr>
          <w:rFonts w:asciiTheme="minorHAnsi" w:hAnsiTheme="minorHAnsi"/>
          <w:sz w:val="16"/>
          <w:szCs w:val="16"/>
          <w:lang w:val="es-ES"/>
        </w:rPr>
        <w:t xml:space="preserve"> Consultable en </w:t>
      </w:r>
      <w:hyperlink r:id="rId2" w:history="1">
        <w:r w:rsidR="00D90FB6" w:rsidRPr="000A6FF6">
          <w:rPr>
            <w:rStyle w:val="Hipervnculo"/>
            <w:rFonts w:asciiTheme="minorHAnsi" w:hAnsiTheme="minorHAnsi"/>
            <w:sz w:val="16"/>
            <w:szCs w:val="16"/>
            <w:lang w:val="es-ES"/>
          </w:rPr>
          <w:t>http://www.iepcjalisco.org.mx/sites/default/files/sesiones-de-consejo/consejo%20general/2017-12-30/p7iepc-acg-156-2017.pdf</w:t>
        </w:r>
      </w:hyperlink>
      <w:r w:rsidR="00D90FB6" w:rsidRPr="000A6FF6">
        <w:rPr>
          <w:rFonts w:asciiTheme="minorHAnsi" w:hAnsiTheme="minorHAnsi"/>
          <w:sz w:val="16"/>
          <w:szCs w:val="16"/>
          <w:lang w:val="es-ES"/>
        </w:rPr>
        <w:t xml:space="preserve"> </w:t>
      </w:r>
    </w:p>
  </w:footnote>
  <w:footnote w:id="3">
    <w:p w14:paraId="76CB43F5" w14:textId="77777777" w:rsidR="00D76CB2" w:rsidRPr="000A6FF6" w:rsidRDefault="00D76CB2" w:rsidP="00DC7F9E">
      <w:pPr>
        <w:pStyle w:val="Textonotapie"/>
        <w:ind w:left="-851" w:right="-943"/>
        <w:jc w:val="both"/>
        <w:rPr>
          <w:rFonts w:asciiTheme="minorHAnsi" w:hAnsiTheme="minorHAnsi"/>
          <w:color w:val="FF0000"/>
          <w:sz w:val="16"/>
          <w:szCs w:val="16"/>
        </w:rPr>
      </w:pPr>
      <w:r w:rsidRPr="000A6FF6">
        <w:rPr>
          <w:rStyle w:val="Refdenotaalpie"/>
          <w:rFonts w:asciiTheme="minorHAnsi" w:hAnsiTheme="minorHAnsi"/>
          <w:sz w:val="16"/>
          <w:szCs w:val="16"/>
        </w:rPr>
        <w:footnoteRef/>
      </w:r>
      <w:r w:rsidRPr="000A6FF6">
        <w:rPr>
          <w:rFonts w:asciiTheme="minorHAnsi" w:hAnsiTheme="minorHAnsi"/>
          <w:sz w:val="16"/>
          <w:szCs w:val="16"/>
        </w:rPr>
        <w:t xml:space="preserve"> El </w:t>
      </w:r>
      <w:r w:rsidRPr="000A6FF6">
        <w:rPr>
          <w:rFonts w:asciiTheme="minorHAnsi" w:hAnsiTheme="minorHAnsi"/>
          <w:b/>
          <w:sz w:val="16"/>
          <w:szCs w:val="16"/>
        </w:rPr>
        <w:t>artículo 56, párrafo 2, inciso c), de la Ley General de Partidos Políticos</w:t>
      </w:r>
      <w:r w:rsidRPr="000A6FF6">
        <w:rPr>
          <w:rFonts w:asciiTheme="minorHAnsi" w:hAnsiTheme="minorHAnsi"/>
          <w:sz w:val="16"/>
          <w:szCs w:val="16"/>
        </w:rPr>
        <w:t xml:space="preserve"> señala que: “</w:t>
      </w:r>
      <w:r w:rsidRPr="000A6FF6">
        <w:rPr>
          <w:rFonts w:asciiTheme="minorHAnsi" w:hAnsiTheme="minorHAnsi"/>
          <w:sz w:val="16"/>
          <w:szCs w:val="16"/>
          <w:lang w:val="es-ES_tradnl"/>
        </w:rPr>
        <w:t>Cada partido político, a través del órgano previsto en el artículo 43 inciso c) de esta Ley determinará libremente los montos mínimos y máximos y la periodicidad de las cuotas ordinarias y extraordinarias de sus militantes, así como de las aportaciones voluntarias y personales que los precandidatos y candidatos aporten exclusivamente para sus precampañas y campañas”.</w:t>
      </w:r>
      <w:r w:rsidR="006F6565" w:rsidRPr="000A6FF6">
        <w:rPr>
          <w:rFonts w:asciiTheme="minorHAnsi" w:hAnsiTheme="minorHAnsi"/>
          <w:sz w:val="16"/>
          <w:szCs w:val="16"/>
          <w:lang w:val="es-ES_tradnl"/>
        </w:rPr>
        <w:t xml:space="preserve"> </w:t>
      </w:r>
    </w:p>
  </w:footnote>
  <w:footnote w:id="4">
    <w:p w14:paraId="6EFAF5ED" w14:textId="77777777" w:rsidR="000A6FF6" w:rsidRPr="000A6FF6" w:rsidRDefault="000A6FF6" w:rsidP="00DC7F9E">
      <w:pPr>
        <w:pStyle w:val="Textonotapie"/>
        <w:ind w:left="-851" w:right="-943"/>
        <w:jc w:val="both"/>
        <w:rPr>
          <w:rFonts w:asciiTheme="minorHAnsi" w:hAnsiTheme="minorHAnsi"/>
          <w:sz w:val="16"/>
          <w:szCs w:val="16"/>
        </w:rPr>
      </w:pPr>
      <w:r w:rsidRPr="000A6FF6">
        <w:rPr>
          <w:rStyle w:val="Refdenotaalpie"/>
          <w:rFonts w:asciiTheme="minorHAnsi" w:hAnsiTheme="minorHAnsi"/>
          <w:sz w:val="16"/>
          <w:szCs w:val="16"/>
        </w:rPr>
        <w:footnoteRef/>
      </w:r>
      <w:r w:rsidRPr="000A6FF6">
        <w:rPr>
          <w:rFonts w:asciiTheme="minorHAnsi" w:hAnsiTheme="minorHAnsi"/>
          <w:sz w:val="16"/>
          <w:szCs w:val="16"/>
        </w:rPr>
        <w:t xml:space="preserve"> El </w:t>
      </w:r>
      <w:r w:rsidRPr="000A6FF6">
        <w:rPr>
          <w:rFonts w:asciiTheme="minorHAnsi" w:hAnsiTheme="minorHAnsi"/>
          <w:b/>
          <w:sz w:val="16"/>
          <w:szCs w:val="16"/>
        </w:rPr>
        <w:t>artículo 55, párrafo 2, de la Ley General de Partidos Políticos</w:t>
      </w:r>
      <w:r w:rsidRPr="000A6FF6">
        <w:rPr>
          <w:rFonts w:asciiTheme="minorHAnsi" w:hAnsiTheme="minorHAnsi"/>
          <w:sz w:val="16"/>
          <w:szCs w:val="16"/>
        </w:rPr>
        <w:t xml:space="preserve"> refiere que: “Las aportaciones en dinero que los simpatizantes realicen a los partidos políticos, serán deducibles del Impuesto sobre la Renta, hasta en un monto del veinticinco por ciento”.</w:t>
      </w:r>
    </w:p>
  </w:footnote>
  <w:footnote w:id="5">
    <w:p w14:paraId="3F3C7262" w14:textId="4C3C2CAE" w:rsidR="009072AA" w:rsidRPr="009072AA" w:rsidRDefault="009072AA" w:rsidP="009072AA">
      <w:pPr>
        <w:pStyle w:val="Textonotapie"/>
        <w:ind w:left="-851"/>
        <w:rPr>
          <w:rStyle w:val="Hipervnculo"/>
          <w:rFonts w:asciiTheme="majorHAnsi" w:hAnsiTheme="majorHAnsi" w:cstheme="majorHAnsi"/>
          <w:sz w:val="12"/>
          <w:szCs w:val="12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9072AA">
        <w:rPr>
          <w:rFonts w:asciiTheme="minorHAnsi" w:hAnsiTheme="minorHAnsi"/>
          <w:b/>
          <w:sz w:val="16"/>
          <w:szCs w:val="16"/>
        </w:rPr>
        <w:t xml:space="preserve">JURISPRUDENCIA 6/2017  </w:t>
      </w:r>
      <w:r>
        <w:rPr>
          <w:rFonts w:asciiTheme="minorHAnsi" w:hAnsiTheme="minorHAnsi"/>
          <w:b/>
          <w:sz w:val="16"/>
          <w:szCs w:val="16"/>
          <w:lang w:val="es-ES"/>
        </w:rPr>
        <w:t>A</w:t>
      </w:r>
      <w:r w:rsidRPr="009072AA">
        <w:rPr>
          <w:rFonts w:asciiTheme="minorHAnsi" w:hAnsiTheme="minorHAnsi"/>
          <w:b/>
          <w:sz w:val="16"/>
          <w:szCs w:val="16"/>
        </w:rPr>
        <w:t>portaciones de simpatizantes a partidos políticos. Es inconstitucional limitarlas a los procesos electorales</w:t>
      </w:r>
      <w:r>
        <w:rPr>
          <w:rFonts w:asciiTheme="minorHAnsi" w:hAnsiTheme="minorHAnsi"/>
          <w:b/>
          <w:sz w:val="16"/>
          <w:szCs w:val="16"/>
          <w:lang w:val="es-ES"/>
        </w:rPr>
        <w:t>.</w:t>
      </w:r>
      <w:r w:rsidRPr="009072AA">
        <w:t xml:space="preserve"> </w:t>
      </w:r>
      <w:r>
        <w:rPr>
          <w:lang w:val="es-ES"/>
        </w:rPr>
        <w:t xml:space="preserve"> </w:t>
      </w:r>
      <w:r w:rsidRPr="009072AA">
        <w:rPr>
          <w:rStyle w:val="Hipervnculo"/>
          <w:rFonts w:asciiTheme="majorHAnsi" w:hAnsiTheme="majorHAnsi" w:cstheme="majorHAnsi"/>
          <w:sz w:val="16"/>
          <w:szCs w:val="16"/>
          <w:lang w:val="es-ES"/>
        </w:rPr>
        <w:t>https://www.te.gob.mx/IUSEapp/tesisjur.aspx?idtesis=6/2017&amp;tpoBusqueda=A&amp;sWord=6/2017</w:t>
      </w:r>
    </w:p>
  </w:footnote>
  <w:footnote w:id="6">
    <w:p w14:paraId="2CB982E7" w14:textId="77777777" w:rsidR="00D76CB2" w:rsidRPr="00F753F7" w:rsidRDefault="00D76CB2" w:rsidP="00662B87">
      <w:pPr>
        <w:pStyle w:val="Textonotapie"/>
        <w:ind w:left="-851" w:right="-943"/>
        <w:jc w:val="both"/>
        <w:rPr>
          <w:rFonts w:asciiTheme="minorHAnsi" w:hAnsiTheme="minorHAnsi"/>
          <w:lang w:val="es-MX"/>
        </w:rPr>
      </w:pPr>
      <w:r w:rsidRPr="000A6FF6">
        <w:rPr>
          <w:rStyle w:val="Refdenotaalpie"/>
          <w:rFonts w:asciiTheme="minorHAnsi" w:hAnsiTheme="minorHAnsi"/>
          <w:sz w:val="16"/>
          <w:szCs w:val="16"/>
        </w:rPr>
        <w:footnoteRef/>
      </w:r>
      <w:r w:rsidRPr="000A6FF6">
        <w:rPr>
          <w:rFonts w:asciiTheme="minorHAnsi" w:hAnsiTheme="minorHAnsi"/>
          <w:sz w:val="16"/>
          <w:szCs w:val="16"/>
        </w:rPr>
        <w:t xml:space="preserve"> En términos del </w:t>
      </w:r>
      <w:r w:rsidRPr="000A6FF6">
        <w:rPr>
          <w:rFonts w:asciiTheme="minorHAnsi" w:hAnsiTheme="minorHAnsi"/>
          <w:b/>
          <w:sz w:val="16"/>
          <w:szCs w:val="16"/>
        </w:rPr>
        <w:t xml:space="preserve">artículo 41, base II de la Constitución Política de los </w:t>
      </w:r>
      <w:r w:rsidR="00C172D8" w:rsidRPr="000A6FF6">
        <w:rPr>
          <w:rFonts w:asciiTheme="minorHAnsi" w:hAnsiTheme="minorHAnsi"/>
          <w:b/>
          <w:sz w:val="16"/>
          <w:szCs w:val="16"/>
        </w:rPr>
        <w:t>E</w:t>
      </w:r>
      <w:r w:rsidRPr="000A6FF6">
        <w:rPr>
          <w:rFonts w:asciiTheme="minorHAnsi" w:hAnsiTheme="minorHAnsi"/>
          <w:b/>
          <w:sz w:val="16"/>
          <w:szCs w:val="16"/>
        </w:rPr>
        <w:t>stados Unidos</w:t>
      </w:r>
      <w:r w:rsidR="00C172D8" w:rsidRPr="000A6FF6">
        <w:rPr>
          <w:rFonts w:asciiTheme="minorHAnsi" w:hAnsiTheme="minorHAnsi"/>
          <w:b/>
          <w:sz w:val="16"/>
          <w:szCs w:val="16"/>
        </w:rPr>
        <w:t xml:space="preserve"> Mexicanos</w:t>
      </w:r>
      <w:r w:rsidR="00662B87" w:rsidRPr="000A6FF6">
        <w:rPr>
          <w:rFonts w:asciiTheme="minorHAnsi" w:hAnsiTheme="minorHAnsi"/>
          <w:b/>
          <w:sz w:val="16"/>
          <w:szCs w:val="16"/>
          <w:lang w:val="es-MX"/>
        </w:rPr>
        <w:t>:</w:t>
      </w:r>
      <w:r w:rsidRPr="000A6FF6">
        <w:rPr>
          <w:rFonts w:asciiTheme="minorHAnsi" w:hAnsiTheme="minorHAnsi"/>
          <w:sz w:val="16"/>
          <w:szCs w:val="16"/>
        </w:rPr>
        <w:t xml:space="preserve"> </w:t>
      </w:r>
      <w:r w:rsidR="00F753F7" w:rsidRPr="000A6FF6">
        <w:rPr>
          <w:rFonts w:asciiTheme="minorHAnsi" w:hAnsiTheme="minorHAnsi"/>
          <w:sz w:val="16"/>
          <w:szCs w:val="16"/>
          <w:lang w:val="es-MX"/>
        </w:rPr>
        <w:t>“</w:t>
      </w:r>
      <w:r w:rsidR="00662B87" w:rsidRPr="000A6FF6">
        <w:rPr>
          <w:rFonts w:ascii="Calibri" w:hAnsi="Calibri"/>
          <w:sz w:val="16"/>
          <w:szCs w:val="16"/>
        </w:rPr>
        <w:t>La ley garantizará que los partidos políticos nacionales cuenten de manera equitativa con</w:t>
      </w:r>
      <w:r w:rsidR="00662B87" w:rsidRPr="000A6FF6">
        <w:rPr>
          <w:rFonts w:ascii="Calibri" w:hAnsi="Calibri"/>
          <w:sz w:val="16"/>
          <w:szCs w:val="16"/>
          <w:lang w:val="es-MX"/>
        </w:rPr>
        <w:t xml:space="preserve"> </w:t>
      </w:r>
      <w:r w:rsidR="00662B87" w:rsidRPr="000A6FF6">
        <w:rPr>
          <w:rFonts w:ascii="Calibri" w:hAnsi="Calibri"/>
          <w:sz w:val="16"/>
          <w:szCs w:val="16"/>
        </w:rPr>
        <w:t>elementos para llevar a cabo sus actividades y señalará las reglas a que se sujetará el</w:t>
      </w:r>
      <w:r w:rsidR="00662B87" w:rsidRPr="000A6FF6">
        <w:rPr>
          <w:rFonts w:ascii="Calibri" w:hAnsi="Calibri"/>
          <w:sz w:val="16"/>
          <w:szCs w:val="16"/>
          <w:lang w:val="es-MX"/>
        </w:rPr>
        <w:t xml:space="preserve"> </w:t>
      </w:r>
      <w:r w:rsidR="00662B87" w:rsidRPr="000A6FF6">
        <w:rPr>
          <w:rFonts w:ascii="Calibri" w:hAnsi="Calibri"/>
          <w:sz w:val="16"/>
          <w:szCs w:val="16"/>
        </w:rPr>
        <w:t>financiamiento de los propios partidos y sus campañas electorales, debiendo garantizar que los</w:t>
      </w:r>
      <w:r w:rsidR="00662B87" w:rsidRPr="000A6FF6">
        <w:rPr>
          <w:rFonts w:ascii="Calibri" w:hAnsi="Calibri"/>
          <w:sz w:val="16"/>
          <w:szCs w:val="16"/>
          <w:lang w:val="es-MX"/>
        </w:rPr>
        <w:t xml:space="preserve"> </w:t>
      </w:r>
      <w:r w:rsidR="00662B87" w:rsidRPr="000A6FF6">
        <w:rPr>
          <w:rFonts w:ascii="Calibri" w:hAnsi="Calibri"/>
          <w:sz w:val="16"/>
          <w:szCs w:val="16"/>
        </w:rPr>
        <w:t>recursos públicos</w:t>
      </w:r>
      <w:r w:rsidR="00662B87" w:rsidRPr="00F753F7">
        <w:rPr>
          <w:rFonts w:ascii="Calibri" w:hAnsi="Calibri"/>
        </w:rPr>
        <w:t xml:space="preserve"> </w:t>
      </w:r>
      <w:r w:rsidR="00662B87" w:rsidRPr="000A6FF6">
        <w:rPr>
          <w:rFonts w:ascii="Calibri" w:hAnsi="Calibri"/>
          <w:sz w:val="16"/>
          <w:szCs w:val="16"/>
        </w:rPr>
        <w:t>prevalez</w:t>
      </w:r>
      <w:r w:rsidR="00F753F7" w:rsidRPr="000A6FF6">
        <w:rPr>
          <w:rFonts w:ascii="Calibri" w:hAnsi="Calibri"/>
          <w:sz w:val="16"/>
          <w:szCs w:val="16"/>
        </w:rPr>
        <w:t>can sobre los de origen privado”</w:t>
      </w:r>
      <w:r w:rsidR="00F753F7" w:rsidRPr="000A6FF6">
        <w:rPr>
          <w:rFonts w:ascii="Calibri" w:hAnsi="Calibri"/>
          <w:sz w:val="16"/>
          <w:szCs w:val="16"/>
          <w:lang w:val="es-MX"/>
        </w:rPr>
        <w:t>.</w:t>
      </w:r>
      <w:r w:rsidR="00F753F7">
        <w:rPr>
          <w:rFonts w:ascii="Calibri" w:hAnsi="Calibri"/>
          <w:lang w:val="es-MX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774A" w14:textId="3043F429" w:rsidR="00591EAE" w:rsidRPr="00896AED" w:rsidRDefault="00F753F7" w:rsidP="00754FA6">
    <w:pPr>
      <w:pStyle w:val="Encabezado"/>
      <w:tabs>
        <w:tab w:val="clear" w:pos="8838"/>
      </w:tabs>
      <w:ind w:right="-801"/>
      <w:jc w:val="right"/>
      <w:rPr>
        <w:rFonts w:ascii="Trebuchet MS" w:hAnsi="Trebuchet MS"/>
        <w:color w:val="BFBFBF" w:themeColor="background1" w:themeShade="BF"/>
        <w:spacing w:val="20"/>
        <w:kern w:val="24"/>
        <w:sz w:val="18"/>
        <w:szCs w:val="22"/>
        <w:lang w:val="es-MX"/>
      </w:rPr>
    </w:pPr>
    <w:r w:rsidRPr="00896AED">
      <w:rPr>
        <w:rFonts w:ascii="Trebuchet MS" w:hAnsi="Trebuchet MS"/>
        <w:noProof/>
        <w:color w:val="BFBFBF" w:themeColor="background1" w:themeShade="BF"/>
        <w:spacing w:val="20"/>
        <w:kern w:val="24"/>
        <w:sz w:val="18"/>
        <w:szCs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6961BE47" wp14:editId="461A573E">
          <wp:simplePos x="0" y="0"/>
          <wp:positionH relativeFrom="column">
            <wp:posOffset>-606425</wp:posOffset>
          </wp:positionH>
          <wp:positionV relativeFrom="paragraph">
            <wp:posOffset>-339090</wp:posOffset>
          </wp:positionV>
          <wp:extent cx="1473200" cy="885825"/>
          <wp:effectExtent l="0" t="0" r="0" b="9525"/>
          <wp:wrapSquare wrapText="bothSides"/>
          <wp:docPr id="19" name="Imagen 19" descr="C:\Users\miriam.gutierrez\Pictures\Logo iepc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iam.gutierrez\Pictures\Logo iepc 20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9E5" w:rsidRPr="00896AED">
      <w:rPr>
        <w:rFonts w:ascii="Trebuchet MS" w:hAnsi="Trebuchet MS"/>
        <w:color w:val="BFBFBF" w:themeColor="background1" w:themeShade="BF"/>
        <w:spacing w:val="20"/>
        <w:kern w:val="24"/>
        <w:sz w:val="18"/>
        <w:szCs w:val="22"/>
        <w:lang w:val="es-MX"/>
      </w:rPr>
      <w:t xml:space="preserve">DIRECCIÓN </w:t>
    </w:r>
    <w:r w:rsidR="00896AED" w:rsidRPr="00896AED">
      <w:rPr>
        <w:rFonts w:ascii="Trebuchet MS" w:hAnsi="Trebuchet MS"/>
        <w:color w:val="BFBFBF" w:themeColor="background1" w:themeShade="BF"/>
        <w:spacing w:val="20"/>
        <w:kern w:val="24"/>
        <w:sz w:val="18"/>
        <w:szCs w:val="22"/>
        <w:lang w:val="es-MX"/>
      </w:rPr>
      <w:t xml:space="preserve">EJECUTIVA </w:t>
    </w:r>
    <w:r w:rsidR="00EE49E5" w:rsidRPr="00896AED">
      <w:rPr>
        <w:rFonts w:ascii="Trebuchet MS" w:hAnsi="Trebuchet MS"/>
        <w:color w:val="BFBFBF" w:themeColor="background1" w:themeShade="BF"/>
        <w:spacing w:val="20"/>
        <w:kern w:val="24"/>
        <w:sz w:val="18"/>
        <w:szCs w:val="22"/>
        <w:lang w:val="es-MX"/>
      </w:rPr>
      <w:t>DE PRERROGATIVAS</w:t>
    </w:r>
  </w:p>
  <w:p w14:paraId="14139667" w14:textId="2B79B486" w:rsidR="00754FA6" w:rsidRPr="00896AED" w:rsidRDefault="00754FA6" w:rsidP="00754FA6">
    <w:pPr>
      <w:pStyle w:val="Encabezado"/>
      <w:tabs>
        <w:tab w:val="clear" w:pos="8838"/>
      </w:tabs>
      <w:ind w:right="-801"/>
      <w:jc w:val="right"/>
      <w:rPr>
        <w:rFonts w:ascii="Trebuchet MS" w:hAnsi="Trebuchet MS"/>
        <w:color w:val="BFBFBF" w:themeColor="background1" w:themeShade="BF"/>
        <w:spacing w:val="20"/>
        <w:kern w:val="24"/>
        <w:sz w:val="22"/>
        <w:szCs w:val="22"/>
        <w:lang w:val="es-MX"/>
      </w:rPr>
    </w:pPr>
    <w:r w:rsidRPr="00896AED">
      <w:rPr>
        <w:rFonts w:ascii="Trebuchet MS" w:hAnsi="Trebuchet MS"/>
        <w:color w:val="BFBFBF" w:themeColor="background1" w:themeShade="BF"/>
        <w:spacing w:val="20"/>
        <w:kern w:val="24"/>
        <w:sz w:val="18"/>
        <w:szCs w:val="22"/>
        <w:lang w:val="es-MX"/>
      </w:rPr>
      <w:t xml:space="preserve">Diciembre </w:t>
    </w:r>
    <w:r w:rsidR="00896AED" w:rsidRPr="00896AED">
      <w:rPr>
        <w:rFonts w:ascii="Trebuchet MS" w:hAnsi="Trebuchet MS"/>
        <w:color w:val="BFBFBF" w:themeColor="background1" w:themeShade="BF"/>
        <w:spacing w:val="20"/>
        <w:kern w:val="24"/>
        <w:sz w:val="18"/>
        <w:szCs w:val="22"/>
        <w:lang w:val="es-MX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B028C"/>
    <w:multiLevelType w:val="hybridMultilevel"/>
    <w:tmpl w:val="C26C53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496698">
    <w:abstractNumId w:val="0"/>
  </w:num>
  <w:num w:numId="2" w16cid:durableId="159698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081"/>
    <w:rsid w:val="000048B5"/>
    <w:rsid w:val="000078AA"/>
    <w:rsid w:val="000145CE"/>
    <w:rsid w:val="000156CC"/>
    <w:rsid w:val="00021123"/>
    <w:rsid w:val="00025BE0"/>
    <w:rsid w:val="00033D3C"/>
    <w:rsid w:val="00037992"/>
    <w:rsid w:val="00050B45"/>
    <w:rsid w:val="000749FB"/>
    <w:rsid w:val="0008082C"/>
    <w:rsid w:val="000863DA"/>
    <w:rsid w:val="000941A0"/>
    <w:rsid w:val="000A3D05"/>
    <w:rsid w:val="000A523B"/>
    <w:rsid w:val="000A6207"/>
    <w:rsid w:val="000A6FF6"/>
    <w:rsid w:val="000B5DEF"/>
    <w:rsid w:val="000D072E"/>
    <w:rsid w:val="000D5764"/>
    <w:rsid w:val="000D7018"/>
    <w:rsid w:val="000E0736"/>
    <w:rsid w:val="000E4D70"/>
    <w:rsid w:val="000F4ECA"/>
    <w:rsid w:val="00117912"/>
    <w:rsid w:val="001251B4"/>
    <w:rsid w:val="00137E0C"/>
    <w:rsid w:val="00137EE0"/>
    <w:rsid w:val="00143633"/>
    <w:rsid w:val="00170B6F"/>
    <w:rsid w:val="00176D97"/>
    <w:rsid w:val="0018067A"/>
    <w:rsid w:val="00184AA0"/>
    <w:rsid w:val="001A0898"/>
    <w:rsid w:val="001A19B9"/>
    <w:rsid w:val="001A27C3"/>
    <w:rsid w:val="001A28D0"/>
    <w:rsid w:val="001A7495"/>
    <w:rsid w:val="001A7784"/>
    <w:rsid w:val="001B6389"/>
    <w:rsid w:val="001C26EE"/>
    <w:rsid w:val="001C56BC"/>
    <w:rsid w:val="001D39B0"/>
    <w:rsid w:val="001D7531"/>
    <w:rsid w:val="001E63AB"/>
    <w:rsid w:val="001F203D"/>
    <w:rsid w:val="002000D9"/>
    <w:rsid w:val="0021398A"/>
    <w:rsid w:val="00216535"/>
    <w:rsid w:val="00223F4B"/>
    <w:rsid w:val="00237CA1"/>
    <w:rsid w:val="00242B7B"/>
    <w:rsid w:val="00275F8F"/>
    <w:rsid w:val="00293E02"/>
    <w:rsid w:val="0029759B"/>
    <w:rsid w:val="002A6FC5"/>
    <w:rsid w:val="002B6BB6"/>
    <w:rsid w:val="002E2DEC"/>
    <w:rsid w:val="002F1751"/>
    <w:rsid w:val="00315906"/>
    <w:rsid w:val="00326952"/>
    <w:rsid w:val="003315D8"/>
    <w:rsid w:val="003338D1"/>
    <w:rsid w:val="00342E35"/>
    <w:rsid w:val="00351A8F"/>
    <w:rsid w:val="0035535F"/>
    <w:rsid w:val="003651F2"/>
    <w:rsid w:val="0036566D"/>
    <w:rsid w:val="00381178"/>
    <w:rsid w:val="00383097"/>
    <w:rsid w:val="00387DFE"/>
    <w:rsid w:val="00391EDA"/>
    <w:rsid w:val="003925A6"/>
    <w:rsid w:val="003940EC"/>
    <w:rsid w:val="00395747"/>
    <w:rsid w:val="003A6978"/>
    <w:rsid w:val="003B1224"/>
    <w:rsid w:val="003B7F19"/>
    <w:rsid w:val="003C771F"/>
    <w:rsid w:val="003E39DD"/>
    <w:rsid w:val="003E4B26"/>
    <w:rsid w:val="003E6C2A"/>
    <w:rsid w:val="003E7623"/>
    <w:rsid w:val="0040336B"/>
    <w:rsid w:val="0040393D"/>
    <w:rsid w:val="00404594"/>
    <w:rsid w:val="00412A62"/>
    <w:rsid w:val="004152F2"/>
    <w:rsid w:val="00420AC3"/>
    <w:rsid w:val="00421395"/>
    <w:rsid w:val="00422E92"/>
    <w:rsid w:val="00424625"/>
    <w:rsid w:val="004247FC"/>
    <w:rsid w:val="0043219F"/>
    <w:rsid w:val="00444065"/>
    <w:rsid w:val="00446C93"/>
    <w:rsid w:val="00450A1F"/>
    <w:rsid w:val="004512A3"/>
    <w:rsid w:val="0047567A"/>
    <w:rsid w:val="00490152"/>
    <w:rsid w:val="004B0094"/>
    <w:rsid w:val="004B235B"/>
    <w:rsid w:val="004C2101"/>
    <w:rsid w:val="004D4680"/>
    <w:rsid w:val="004D4DF7"/>
    <w:rsid w:val="004F014F"/>
    <w:rsid w:val="0051484E"/>
    <w:rsid w:val="00523395"/>
    <w:rsid w:val="005348C8"/>
    <w:rsid w:val="0054243B"/>
    <w:rsid w:val="0054614E"/>
    <w:rsid w:val="005464FB"/>
    <w:rsid w:val="00560DCA"/>
    <w:rsid w:val="0056591C"/>
    <w:rsid w:val="005808AF"/>
    <w:rsid w:val="00586E4A"/>
    <w:rsid w:val="00591EAE"/>
    <w:rsid w:val="00592C76"/>
    <w:rsid w:val="005A241C"/>
    <w:rsid w:val="005B027F"/>
    <w:rsid w:val="005B10F4"/>
    <w:rsid w:val="005B29D1"/>
    <w:rsid w:val="005B7C17"/>
    <w:rsid w:val="005C5A7A"/>
    <w:rsid w:val="005D0AEA"/>
    <w:rsid w:val="005D0E2A"/>
    <w:rsid w:val="005D2D66"/>
    <w:rsid w:val="00600244"/>
    <w:rsid w:val="0060257F"/>
    <w:rsid w:val="00605E9A"/>
    <w:rsid w:val="006134F4"/>
    <w:rsid w:val="0063092A"/>
    <w:rsid w:val="0063256C"/>
    <w:rsid w:val="0063359D"/>
    <w:rsid w:val="00644C28"/>
    <w:rsid w:val="00645597"/>
    <w:rsid w:val="00646A6D"/>
    <w:rsid w:val="006534FD"/>
    <w:rsid w:val="00662B87"/>
    <w:rsid w:val="006671DD"/>
    <w:rsid w:val="00675327"/>
    <w:rsid w:val="0068291F"/>
    <w:rsid w:val="006975D5"/>
    <w:rsid w:val="00697E28"/>
    <w:rsid w:val="006A0EEF"/>
    <w:rsid w:val="006A597E"/>
    <w:rsid w:val="006B2012"/>
    <w:rsid w:val="006B4347"/>
    <w:rsid w:val="006B6D42"/>
    <w:rsid w:val="006D4C75"/>
    <w:rsid w:val="006D6C7E"/>
    <w:rsid w:val="006F0174"/>
    <w:rsid w:val="006F1B0D"/>
    <w:rsid w:val="006F6565"/>
    <w:rsid w:val="00706CD2"/>
    <w:rsid w:val="00721224"/>
    <w:rsid w:val="00754FA6"/>
    <w:rsid w:val="00763430"/>
    <w:rsid w:val="0076389D"/>
    <w:rsid w:val="007762D3"/>
    <w:rsid w:val="00791AB2"/>
    <w:rsid w:val="00791C0B"/>
    <w:rsid w:val="0079737E"/>
    <w:rsid w:val="007B42AC"/>
    <w:rsid w:val="007C7255"/>
    <w:rsid w:val="007C7D37"/>
    <w:rsid w:val="007D6BCF"/>
    <w:rsid w:val="007F0225"/>
    <w:rsid w:val="00802C91"/>
    <w:rsid w:val="00813D4D"/>
    <w:rsid w:val="0082026E"/>
    <w:rsid w:val="00831AE0"/>
    <w:rsid w:val="00842E62"/>
    <w:rsid w:val="00842F87"/>
    <w:rsid w:val="00844DBE"/>
    <w:rsid w:val="00850348"/>
    <w:rsid w:val="0086107F"/>
    <w:rsid w:val="008735D8"/>
    <w:rsid w:val="008759AE"/>
    <w:rsid w:val="00875A84"/>
    <w:rsid w:val="00885BB7"/>
    <w:rsid w:val="0089363A"/>
    <w:rsid w:val="00895B90"/>
    <w:rsid w:val="00895F31"/>
    <w:rsid w:val="0089662B"/>
    <w:rsid w:val="00896AED"/>
    <w:rsid w:val="008B1697"/>
    <w:rsid w:val="008B279E"/>
    <w:rsid w:val="008C60D1"/>
    <w:rsid w:val="008E56C7"/>
    <w:rsid w:val="008E6C4F"/>
    <w:rsid w:val="008F22B7"/>
    <w:rsid w:val="008F31DD"/>
    <w:rsid w:val="008F61A9"/>
    <w:rsid w:val="009072AA"/>
    <w:rsid w:val="009072E9"/>
    <w:rsid w:val="00910235"/>
    <w:rsid w:val="00912F95"/>
    <w:rsid w:val="0093275A"/>
    <w:rsid w:val="0093653B"/>
    <w:rsid w:val="0097438D"/>
    <w:rsid w:val="009871F5"/>
    <w:rsid w:val="00997D71"/>
    <w:rsid w:val="009B47D8"/>
    <w:rsid w:val="009B71BD"/>
    <w:rsid w:val="009C3980"/>
    <w:rsid w:val="009F771E"/>
    <w:rsid w:val="00A03BA8"/>
    <w:rsid w:val="00A04D77"/>
    <w:rsid w:val="00A05966"/>
    <w:rsid w:val="00A065C9"/>
    <w:rsid w:val="00A0728B"/>
    <w:rsid w:val="00A07BC5"/>
    <w:rsid w:val="00A1117C"/>
    <w:rsid w:val="00A1646A"/>
    <w:rsid w:val="00A4182E"/>
    <w:rsid w:val="00A61D19"/>
    <w:rsid w:val="00A62F5E"/>
    <w:rsid w:val="00A65B39"/>
    <w:rsid w:val="00A7186A"/>
    <w:rsid w:val="00A73CBC"/>
    <w:rsid w:val="00A8107A"/>
    <w:rsid w:val="00A83BB5"/>
    <w:rsid w:val="00A908E3"/>
    <w:rsid w:val="00A9677D"/>
    <w:rsid w:val="00AA7961"/>
    <w:rsid w:val="00AC16C5"/>
    <w:rsid w:val="00AC2449"/>
    <w:rsid w:val="00AC446B"/>
    <w:rsid w:val="00AD6C3B"/>
    <w:rsid w:val="00AE3171"/>
    <w:rsid w:val="00AF3F54"/>
    <w:rsid w:val="00B05C4C"/>
    <w:rsid w:val="00B073BA"/>
    <w:rsid w:val="00B40017"/>
    <w:rsid w:val="00B467F6"/>
    <w:rsid w:val="00B84A3F"/>
    <w:rsid w:val="00BA45EF"/>
    <w:rsid w:val="00BB2963"/>
    <w:rsid w:val="00BB4A4B"/>
    <w:rsid w:val="00BD0F42"/>
    <w:rsid w:val="00BD40A3"/>
    <w:rsid w:val="00C12CA8"/>
    <w:rsid w:val="00C172D8"/>
    <w:rsid w:val="00C23081"/>
    <w:rsid w:val="00C329B3"/>
    <w:rsid w:val="00C442E2"/>
    <w:rsid w:val="00C450E3"/>
    <w:rsid w:val="00C474CA"/>
    <w:rsid w:val="00C87E98"/>
    <w:rsid w:val="00C920B3"/>
    <w:rsid w:val="00C92F14"/>
    <w:rsid w:val="00CA372E"/>
    <w:rsid w:val="00CA4BD6"/>
    <w:rsid w:val="00CC328E"/>
    <w:rsid w:val="00CC618C"/>
    <w:rsid w:val="00CD028A"/>
    <w:rsid w:val="00CD2070"/>
    <w:rsid w:val="00CF0296"/>
    <w:rsid w:val="00D10A2F"/>
    <w:rsid w:val="00D20FE0"/>
    <w:rsid w:val="00D42B6A"/>
    <w:rsid w:val="00D42D4F"/>
    <w:rsid w:val="00D44DAD"/>
    <w:rsid w:val="00D55AF2"/>
    <w:rsid w:val="00D60507"/>
    <w:rsid w:val="00D63D70"/>
    <w:rsid w:val="00D72228"/>
    <w:rsid w:val="00D76CB2"/>
    <w:rsid w:val="00D775AD"/>
    <w:rsid w:val="00D82778"/>
    <w:rsid w:val="00D90FB6"/>
    <w:rsid w:val="00D92490"/>
    <w:rsid w:val="00D9528D"/>
    <w:rsid w:val="00D96770"/>
    <w:rsid w:val="00DA308E"/>
    <w:rsid w:val="00DC34AD"/>
    <w:rsid w:val="00DC7F9E"/>
    <w:rsid w:val="00DD5A22"/>
    <w:rsid w:val="00DE20B5"/>
    <w:rsid w:val="00DE2682"/>
    <w:rsid w:val="00E12BC5"/>
    <w:rsid w:val="00E276F7"/>
    <w:rsid w:val="00E44583"/>
    <w:rsid w:val="00E63A53"/>
    <w:rsid w:val="00E72119"/>
    <w:rsid w:val="00E86D30"/>
    <w:rsid w:val="00E96D99"/>
    <w:rsid w:val="00EA55D6"/>
    <w:rsid w:val="00EA5EB3"/>
    <w:rsid w:val="00EB7FC6"/>
    <w:rsid w:val="00EC3A37"/>
    <w:rsid w:val="00EC60E2"/>
    <w:rsid w:val="00ED1A91"/>
    <w:rsid w:val="00ED2512"/>
    <w:rsid w:val="00EE05CF"/>
    <w:rsid w:val="00EE414B"/>
    <w:rsid w:val="00EE49E5"/>
    <w:rsid w:val="00F0361D"/>
    <w:rsid w:val="00F07701"/>
    <w:rsid w:val="00F14FEE"/>
    <w:rsid w:val="00F170B6"/>
    <w:rsid w:val="00F217A2"/>
    <w:rsid w:val="00F22FBA"/>
    <w:rsid w:val="00F321C3"/>
    <w:rsid w:val="00F4048D"/>
    <w:rsid w:val="00F46C56"/>
    <w:rsid w:val="00F57D57"/>
    <w:rsid w:val="00F71E20"/>
    <w:rsid w:val="00F753F7"/>
    <w:rsid w:val="00F83CDB"/>
    <w:rsid w:val="00F86AA3"/>
    <w:rsid w:val="00F876A6"/>
    <w:rsid w:val="00F94AAE"/>
    <w:rsid w:val="00FB09CB"/>
    <w:rsid w:val="00FB7291"/>
    <w:rsid w:val="00FC5628"/>
    <w:rsid w:val="00FD6BF7"/>
    <w:rsid w:val="00FE3163"/>
    <w:rsid w:val="00FE63D3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EEF21"/>
  <w15:chartTrackingRefBased/>
  <w15:docId w15:val="{477F5853-754A-4129-A673-EE6BCDC2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081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ngnestilodeprrafo">
    <w:name w:val="[Ningún estilo de párrafo]"/>
    <w:rsid w:val="00C23081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  <w:sz w:val="24"/>
      <w:szCs w:val="24"/>
      <w:lang w:val="es-ES_tradnl" w:eastAsia="en-US"/>
    </w:rPr>
  </w:style>
  <w:style w:type="table" w:styleId="Tablaconcuadrcula">
    <w:name w:val="Table Grid"/>
    <w:basedOn w:val="Tablanormal"/>
    <w:uiPriority w:val="59"/>
    <w:rsid w:val="00F0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308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es-MX"/>
    </w:rPr>
  </w:style>
  <w:style w:type="character" w:styleId="Textoennegrita">
    <w:name w:val="Strong"/>
    <w:uiPriority w:val="22"/>
    <w:qFormat/>
    <w:rsid w:val="00DA308E"/>
    <w:rPr>
      <w:b/>
      <w:bCs/>
    </w:rPr>
  </w:style>
  <w:style w:type="character" w:customStyle="1" w:styleId="apple-converted-space">
    <w:name w:val="apple-converted-space"/>
    <w:rsid w:val="00DA308E"/>
  </w:style>
  <w:style w:type="paragraph" w:styleId="Textonotapie">
    <w:name w:val="footnote text"/>
    <w:basedOn w:val="Normal"/>
    <w:link w:val="TextonotapieCar"/>
    <w:uiPriority w:val="99"/>
    <w:semiHidden/>
    <w:unhideWhenUsed/>
    <w:rsid w:val="00DA308E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DA308E"/>
    <w:rPr>
      <w:rFonts w:ascii="Times New Roman" w:eastAsia="Arial Unicode MS" w:hAnsi="Times New Roman"/>
      <w:kern w:val="1"/>
      <w:lang w:eastAsia="en-US"/>
    </w:rPr>
  </w:style>
  <w:style w:type="character" w:styleId="Refdenotaalpie">
    <w:name w:val="footnote reference"/>
    <w:uiPriority w:val="99"/>
    <w:semiHidden/>
    <w:unhideWhenUsed/>
    <w:rsid w:val="00DA308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6591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56591C"/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6591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56591C"/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customStyle="1" w:styleId="Default">
    <w:name w:val="Default"/>
    <w:rsid w:val="00B84A3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6566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x-none"/>
    </w:rPr>
  </w:style>
  <w:style w:type="character" w:customStyle="1" w:styleId="PrrafodelistaCar">
    <w:name w:val="Párrafo de lista Car"/>
    <w:link w:val="Prrafodelista"/>
    <w:uiPriority w:val="34"/>
    <w:locked/>
    <w:rsid w:val="0036566D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0EEF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6A0EEF"/>
    <w:rPr>
      <w:rFonts w:ascii="Tahoma" w:eastAsia="Arial Unicode MS" w:hAnsi="Tahoma" w:cs="Tahoma"/>
      <w:kern w:val="1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A0EEF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6A0EEF"/>
    <w:rPr>
      <w:rFonts w:ascii="Times New Roman" w:eastAsia="Arial Unicode MS" w:hAnsi="Times New Roman"/>
      <w:kern w:val="1"/>
      <w:lang w:eastAsia="en-US"/>
    </w:rPr>
  </w:style>
  <w:style w:type="character" w:styleId="Refdenotaalfinal">
    <w:name w:val="endnote reference"/>
    <w:uiPriority w:val="99"/>
    <w:semiHidden/>
    <w:unhideWhenUsed/>
    <w:rsid w:val="006A0EE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90F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0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epcjalisco.org.mx/sites/default/files/sesiones-de-consejo/consejo%20general/2017-12-30/p7iepc-acg-156-2017.pdf" TargetMode="External"/><Relationship Id="rId1" Type="http://schemas.openxmlformats.org/officeDocument/2006/relationships/hyperlink" Target="https://www.iepcjalisco.org.mx/sites/default/files/sesiones-de-consejo/consejo%20general/2022-11-10/04-iepc-acg-057-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87FBD-9BFA-4F2E-87B7-0212568F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Hernández</dc:creator>
  <cp:keywords/>
  <cp:lastModifiedBy>Miriam Guadalupe Gutierrez Mora</cp:lastModifiedBy>
  <cp:revision>2</cp:revision>
  <cp:lastPrinted>2022-12-07T18:41:00Z</cp:lastPrinted>
  <dcterms:created xsi:type="dcterms:W3CDTF">2022-12-07T18:42:00Z</dcterms:created>
  <dcterms:modified xsi:type="dcterms:W3CDTF">2022-12-07T18:42:00Z</dcterms:modified>
</cp:coreProperties>
</file>